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B7F" w:rsidRDefault="007F35B8" w:rsidP="00E44914">
      <w:pPr>
        <w:rPr>
          <w:b/>
          <w:sz w:val="28"/>
          <w:szCs w:val="28"/>
        </w:rPr>
      </w:pPr>
      <w:r>
        <w:rPr>
          <w:noProof/>
          <w:lang w:eastAsia="en-AU"/>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85725</wp:posOffset>
                </wp:positionV>
                <wp:extent cx="5723305" cy="752475"/>
                <wp:effectExtent l="0" t="0" r="1079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305" cy="752475"/>
                        </a:xfrm>
                        <a:prstGeom prst="rect">
                          <a:avLst/>
                        </a:prstGeom>
                        <a:solidFill>
                          <a:srgbClr val="FFFFFF"/>
                        </a:solidFill>
                        <a:ln w="9525">
                          <a:solidFill>
                            <a:srgbClr val="000000"/>
                          </a:solidFill>
                          <a:miter lim="800000"/>
                          <a:headEnd/>
                          <a:tailEnd/>
                        </a:ln>
                      </wps:spPr>
                      <wps:txbx>
                        <w:txbxContent>
                          <w:p w:rsidR="00ED0317" w:rsidRDefault="00ED0317" w:rsidP="00E44914">
                            <w:pPr>
                              <w:spacing w:before="120" w:after="120"/>
                              <w:jc w:val="center"/>
                              <w:rPr>
                                <w:b/>
                                <w:sz w:val="24"/>
                                <w:szCs w:val="24"/>
                              </w:rPr>
                            </w:pPr>
                            <w:r w:rsidRPr="00E44914">
                              <w:rPr>
                                <w:b/>
                                <w:sz w:val="24"/>
                                <w:szCs w:val="24"/>
                              </w:rPr>
                              <w:t xml:space="preserve">Task </w:t>
                            </w:r>
                            <w:r>
                              <w:rPr>
                                <w:b/>
                                <w:sz w:val="24"/>
                                <w:szCs w:val="24"/>
                              </w:rPr>
                              <w:t>7</w:t>
                            </w:r>
                            <w:r w:rsidRPr="00E44914">
                              <w:rPr>
                                <w:b/>
                                <w:sz w:val="24"/>
                                <w:szCs w:val="24"/>
                              </w:rPr>
                              <w:t xml:space="preserve">: </w:t>
                            </w:r>
                            <w:r>
                              <w:rPr>
                                <w:b/>
                                <w:sz w:val="24"/>
                                <w:szCs w:val="24"/>
                              </w:rPr>
                              <w:t xml:space="preserve">Australia: Celebrations, Traditions and Immigration </w:t>
                            </w:r>
                          </w:p>
                          <w:p w:rsidR="00ED0317" w:rsidRPr="00E44914" w:rsidRDefault="00ED0317" w:rsidP="00E44914">
                            <w:pPr>
                              <w:spacing w:before="120" w:after="120"/>
                              <w:jc w:val="center"/>
                              <w:rPr>
                                <w:b/>
                                <w:sz w:val="24"/>
                                <w:szCs w:val="24"/>
                              </w:rPr>
                            </w:pPr>
                            <w:r>
                              <w:rPr>
                                <w:b/>
                                <w:sz w:val="24"/>
                                <w:szCs w:val="24"/>
                              </w:rPr>
                              <w:t>Annotated Collage Task Brief NAEP ENGLISH</w:t>
                            </w:r>
                          </w:p>
                          <w:p w:rsidR="00ED0317" w:rsidRDefault="00ED03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9.45pt;margin-top:6.75pt;width:450.65pt;height:59.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">
                <v:textbox>
                  <w:txbxContent>
                    <w:p w:rsidR="00ED0317" w:rsidRDefault="00ED0317" w:rsidP="00E44914">
                      <w:pPr>
                        <w:spacing w:before="120" w:after="120"/>
                        <w:jc w:val="center"/>
                        <w:rPr>
                          <w:b/>
                          <w:sz w:val="24"/>
                          <w:szCs w:val="24"/>
                        </w:rPr>
                      </w:pPr>
                      <w:r w:rsidRPr="00E44914">
                        <w:rPr>
                          <w:b/>
                          <w:sz w:val="24"/>
                          <w:szCs w:val="24"/>
                        </w:rPr>
                        <w:t xml:space="preserve">Task </w:t>
                      </w:r>
                      <w:r>
                        <w:rPr>
                          <w:b/>
                          <w:sz w:val="24"/>
                          <w:szCs w:val="24"/>
                        </w:rPr>
                        <w:t>7</w:t>
                      </w:r>
                      <w:r w:rsidRPr="00E44914">
                        <w:rPr>
                          <w:b/>
                          <w:sz w:val="24"/>
                          <w:szCs w:val="24"/>
                        </w:rPr>
                        <w:t xml:space="preserve">: </w:t>
                      </w:r>
                      <w:r>
                        <w:rPr>
                          <w:b/>
                          <w:sz w:val="24"/>
                          <w:szCs w:val="24"/>
                        </w:rPr>
                        <w:t xml:space="preserve">Australia: Celebrations, Traditions and Immigration </w:t>
                      </w:r>
                    </w:p>
                    <w:p w:rsidR="00ED0317" w:rsidRPr="00E44914" w:rsidRDefault="00ED0317" w:rsidP="00E44914">
                      <w:pPr>
                        <w:spacing w:before="120" w:after="120"/>
                        <w:jc w:val="center"/>
                        <w:rPr>
                          <w:b/>
                          <w:sz w:val="24"/>
                          <w:szCs w:val="24"/>
                        </w:rPr>
                      </w:pPr>
                      <w:r>
                        <w:rPr>
                          <w:b/>
                          <w:sz w:val="24"/>
                          <w:szCs w:val="24"/>
                        </w:rPr>
                        <w:t>Annotated Collage Task Brief NAEP ENGLISH</w:t>
                      </w:r>
                    </w:p>
                    <w:p w:rsidR="00ED0317" w:rsidRDefault="00ED0317"/>
                  </w:txbxContent>
                </v:textbox>
                <w10:wrap anchorx="margin"/>
              </v:shape>
            </w:pict>
          </mc:Fallback>
        </mc:AlternateContent>
      </w:r>
      <w:r w:rsidR="005A6927">
        <w:rPr>
          <w:noProof/>
          <w:lang w:eastAsia="en-AU"/>
        </w:rPr>
        <w:drawing>
          <wp:inline distT="0" distB="0" distL="0" distR="0" wp14:anchorId="06E37A56" wp14:editId="5FD8D948">
            <wp:extent cx="665018" cy="692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6049" cy="724759"/>
                    </a:xfrm>
                    <a:prstGeom prst="rect">
                      <a:avLst/>
                    </a:prstGeom>
                    <a:noFill/>
                  </pic:spPr>
                </pic:pic>
              </a:graphicData>
            </a:graphic>
          </wp:inline>
        </w:drawing>
      </w:r>
    </w:p>
    <w:p w:rsidR="005A6927" w:rsidRDefault="005A6927" w:rsidP="005A6927">
      <w:pPr>
        <w:spacing w:after="120"/>
        <w:rPr>
          <w:b/>
          <w:sz w:val="16"/>
          <w:szCs w:val="16"/>
        </w:rPr>
      </w:pPr>
    </w:p>
    <w:p w:rsidR="00045905" w:rsidRDefault="00045905" w:rsidP="007B6B7F">
      <w:pPr>
        <w:rPr>
          <w:b/>
          <w:sz w:val="24"/>
          <w:szCs w:val="24"/>
        </w:rPr>
      </w:pPr>
    </w:p>
    <w:p w:rsidR="007B6B7F" w:rsidRPr="00E44914" w:rsidRDefault="007B6B7F" w:rsidP="007B6B7F">
      <w:pPr>
        <w:rPr>
          <w:b/>
          <w:sz w:val="24"/>
          <w:szCs w:val="24"/>
        </w:rPr>
      </w:pPr>
      <w:r w:rsidRPr="001925EC">
        <w:rPr>
          <w:b/>
          <w:sz w:val="24"/>
          <w:szCs w:val="24"/>
        </w:rPr>
        <w:t>DUE DATE</w:t>
      </w:r>
      <w:r w:rsidR="001925EC">
        <w:rPr>
          <w:b/>
          <w:sz w:val="24"/>
          <w:szCs w:val="24"/>
        </w:rPr>
        <w:t xml:space="preserve">: </w:t>
      </w:r>
      <w:r w:rsidR="00313296">
        <w:rPr>
          <w:b/>
          <w:sz w:val="24"/>
          <w:szCs w:val="24"/>
        </w:rPr>
        <w:t>Tue</w:t>
      </w:r>
      <w:r w:rsidR="00E77549">
        <w:rPr>
          <w:b/>
          <w:sz w:val="24"/>
          <w:szCs w:val="24"/>
        </w:rPr>
        <w:t>sday, Week 3, 15 May</w:t>
      </w:r>
    </w:p>
    <w:p w:rsidR="007B6B7F" w:rsidRPr="00E44914" w:rsidRDefault="007B6B7F" w:rsidP="005A6927">
      <w:pPr>
        <w:spacing w:after="120"/>
        <w:rPr>
          <w:b/>
          <w:sz w:val="24"/>
          <w:szCs w:val="24"/>
        </w:rPr>
      </w:pPr>
    </w:p>
    <w:p w:rsidR="007B6B7F" w:rsidRDefault="007B6B7F" w:rsidP="002A11E7">
      <w:pPr>
        <w:spacing w:after="240"/>
        <w:rPr>
          <w:sz w:val="24"/>
          <w:szCs w:val="24"/>
        </w:rPr>
      </w:pPr>
      <w:r w:rsidRPr="00E44914">
        <w:rPr>
          <w:b/>
          <w:sz w:val="24"/>
          <w:szCs w:val="24"/>
        </w:rPr>
        <w:t xml:space="preserve">NAME: </w:t>
      </w:r>
      <w:r w:rsidRPr="00E44914">
        <w:rPr>
          <w:sz w:val="24"/>
          <w:szCs w:val="24"/>
        </w:rPr>
        <w:t>_________________________________</w:t>
      </w:r>
      <w:r w:rsidR="001925EC">
        <w:rPr>
          <w:sz w:val="24"/>
          <w:szCs w:val="24"/>
        </w:rPr>
        <w:t>____</w:t>
      </w:r>
      <w:r w:rsidRPr="00E44914">
        <w:rPr>
          <w:sz w:val="24"/>
          <w:szCs w:val="24"/>
        </w:rPr>
        <w:t xml:space="preserve"> </w:t>
      </w:r>
      <w:r w:rsidRPr="00E44914">
        <w:rPr>
          <w:b/>
          <w:sz w:val="24"/>
          <w:szCs w:val="24"/>
        </w:rPr>
        <w:t xml:space="preserve">TEACHER </w:t>
      </w:r>
      <w:r w:rsidRPr="00E44914">
        <w:rPr>
          <w:sz w:val="24"/>
          <w:szCs w:val="24"/>
        </w:rPr>
        <w:t>__________________</w:t>
      </w:r>
      <w:r w:rsidR="001925EC">
        <w:rPr>
          <w:sz w:val="24"/>
          <w:szCs w:val="24"/>
        </w:rPr>
        <w:t>_______</w:t>
      </w:r>
    </w:p>
    <w:p w:rsidR="00466E7C" w:rsidRPr="00466E7C" w:rsidRDefault="00466E7C" w:rsidP="002A11E7">
      <w:pPr>
        <w:spacing w:after="240"/>
        <w:rPr>
          <w:sz w:val="12"/>
          <w:szCs w:val="12"/>
        </w:rPr>
      </w:pPr>
    </w:p>
    <w:p w:rsidR="00B823B7" w:rsidRDefault="00B823B7" w:rsidP="00B823B7">
      <w:pPr>
        <w:jc w:val="center"/>
        <w:rPr>
          <w:b/>
          <w:sz w:val="20"/>
          <w:szCs w:val="20"/>
        </w:rPr>
      </w:pPr>
      <w:r w:rsidRPr="00BD40AB">
        <w:rPr>
          <w:b/>
          <w:sz w:val="20"/>
          <w:szCs w:val="20"/>
        </w:rPr>
        <w:t>I declare that the words and ideas in this task are all my own.</w:t>
      </w:r>
    </w:p>
    <w:p w:rsidR="00045905" w:rsidRPr="00BD40AB" w:rsidRDefault="00045905" w:rsidP="00B823B7">
      <w:pPr>
        <w:jc w:val="center"/>
        <w:rPr>
          <w:b/>
          <w:sz w:val="20"/>
          <w:szCs w:val="20"/>
        </w:rPr>
      </w:pPr>
    </w:p>
    <w:p w:rsidR="002A11E7" w:rsidRDefault="00B823B7" w:rsidP="00B823B7">
      <w:pPr>
        <w:rPr>
          <w:b/>
          <w:sz w:val="20"/>
          <w:szCs w:val="20"/>
        </w:rPr>
      </w:pPr>
      <w:r w:rsidRPr="00BD40AB">
        <w:rPr>
          <w:b/>
          <w:sz w:val="20"/>
          <w:szCs w:val="20"/>
        </w:rPr>
        <w:t xml:space="preserve">    </w:t>
      </w:r>
      <w:r w:rsidR="002A11E7" w:rsidRPr="00BD40AB">
        <w:rPr>
          <w:b/>
          <w:sz w:val="20"/>
          <w:szCs w:val="20"/>
        </w:rPr>
        <w:t xml:space="preserve">              </w:t>
      </w:r>
      <w:r w:rsidRPr="00BD40AB">
        <w:rPr>
          <w:b/>
          <w:sz w:val="20"/>
          <w:szCs w:val="20"/>
        </w:rPr>
        <w:t xml:space="preserve"> Student Signature: _________________________________</w:t>
      </w:r>
      <w:r w:rsidR="002A11E7" w:rsidRPr="00BD40AB">
        <w:rPr>
          <w:b/>
          <w:sz w:val="20"/>
          <w:szCs w:val="20"/>
        </w:rPr>
        <w:t xml:space="preserve"> Date: _____________</w:t>
      </w:r>
      <w:r w:rsidR="00615B58">
        <w:rPr>
          <w:b/>
          <w:sz w:val="20"/>
          <w:szCs w:val="20"/>
        </w:rPr>
        <w:t>___</w:t>
      </w:r>
    </w:p>
    <w:p w:rsidR="00C44E61" w:rsidRDefault="00C44E61" w:rsidP="00C44E61">
      <w:pPr>
        <w:spacing w:after="0"/>
        <w:rPr>
          <w:b/>
          <w:sz w:val="24"/>
          <w:szCs w:val="24"/>
        </w:rPr>
      </w:pPr>
    </w:p>
    <w:p w:rsidR="00CA3DB9" w:rsidRDefault="00CA3DB9" w:rsidP="00B823B7">
      <w:pPr>
        <w:rPr>
          <w:b/>
          <w:sz w:val="24"/>
          <w:szCs w:val="24"/>
        </w:rPr>
      </w:pPr>
      <w:r w:rsidRPr="00CA3DB9">
        <w:rPr>
          <w:b/>
          <w:sz w:val="24"/>
          <w:szCs w:val="24"/>
        </w:rPr>
        <w:t xml:space="preserve">WEIGHTING: </w:t>
      </w:r>
      <w:r w:rsidR="00CF68A9">
        <w:rPr>
          <w:sz w:val="24"/>
          <w:szCs w:val="24"/>
        </w:rPr>
        <w:t>R &amp; V</w:t>
      </w:r>
      <w:r w:rsidR="002B374D">
        <w:rPr>
          <w:sz w:val="24"/>
          <w:szCs w:val="24"/>
        </w:rPr>
        <w:t xml:space="preserve"> 5</w:t>
      </w:r>
      <w:r w:rsidRPr="00956AF1">
        <w:rPr>
          <w:sz w:val="24"/>
          <w:szCs w:val="24"/>
        </w:rPr>
        <w:t>%</w:t>
      </w:r>
    </w:p>
    <w:p w:rsidR="00CA3DB9" w:rsidRDefault="00CA3DB9" w:rsidP="00B823B7">
      <w:pPr>
        <w:rPr>
          <w:b/>
          <w:sz w:val="24"/>
          <w:szCs w:val="24"/>
        </w:rPr>
      </w:pPr>
      <w:r>
        <w:rPr>
          <w:b/>
          <w:sz w:val="24"/>
          <w:szCs w:val="24"/>
        </w:rPr>
        <w:t>CONDITIONS:</w:t>
      </w:r>
      <w:r w:rsidR="00956AF1">
        <w:rPr>
          <w:b/>
          <w:sz w:val="24"/>
          <w:szCs w:val="24"/>
        </w:rPr>
        <w:t xml:space="preserve"> </w:t>
      </w:r>
      <w:bookmarkStart w:id="0" w:name="_GoBack"/>
      <w:bookmarkEnd w:id="0"/>
    </w:p>
    <w:p w:rsidR="00ED0317" w:rsidRDefault="00C85A99" w:rsidP="00F3024D">
      <w:pPr>
        <w:rPr>
          <w:sz w:val="24"/>
          <w:szCs w:val="24"/>
        </w:rPr>
      </w:pPr>
      <w:r w:rsidRPr="00F3024D">
        <w:rPr>
          <w:sz w:val="24"/>
          <w:szCs w:val="24"/>
        </w:rPr>
        <w:t>In this task, students will</w:t>
      </w:r>
      <w:r w:rsidR="00ED0317">
        <w:rPr>
          <w:sz w:val="24"/>
          <w:szCs w:val="24"/>
        </w:rPr>
        <w:t>:</w:t>
      </w:r>
    </w:p>
    <w:p w:rsidR="00ED0317" w:rsidRPr="00ED0317" w:rsidRDefault="00ED0317" w:rsidP="00ED0317">
      <w:pPr>
        <w:pStyle w:val="ListParagraph"/>
        <w:numPr>
          <w:ilvl w:val="0"/>
          <w:numId w:val="5"/>
        </w:numPr>
        <w:rPr>
          <w:i/>
          <w:sz w:val="24"/>
          <w:szCs w:val="24"/>
        </w:rPr>
      </w:pPr>
      <w:r w:rsidRPr="00ED0317">
        <w:rPr>
          <w:sz w:val="24"/>
          <w:szCs w:val="24"/>
        </w:rPr>
        <w:t xml:space="preserve">view the documentary </w:t>
      </w:r>
      <w:r w:rsidRPr="00ED0317">
        <w:rPr>
          <w:i/>
          <w:sz w:val="24"/>
          <w:szCs w:val="24"/>
        </w:rPr>
        <w:t>Cronulla Riots: The Day that Shocked the Nation</w:t>
      </w:r>
    </w:p>
    <w:p w:rsidR="00ED0317" w:rsidRDefault="00ED0317" w:rsidP="00ED0317">
      <w:pPr>
        <w:pStyle w:val="ListParagraph"/>
        <w:numPr>
          <w:ilvl w:val="0"/>
          <w:numId w:val="5"/>
        </w:numPr>
        <w:rPr>
          <w:sz w:val="24"/>
          <w:szCs w:val="24"/>
        </w:rPr>
      </w:pPr>
      <w:r>
        <w:rPr>
          <w:sz w:val="24"/>
          <w:szCs w:val="24"/>
        </w:rPr>
        <w:t>Identify any symbols/icons used in the documentary</w:t>
      </w:r>
    </w:p>
    <w:p w:rsidR="00ED0317" w:rsidRDefault="00ED0317" w:rsidP="00ED0317">
      <w:pPr>
        <w:pStyle w:val="ListParagraph"/>
        <w:numPr>
          <w:ilvl w:val="0"/>
          <w:numId w:val="5"/>
        </w:numPr>
        <w:autoSpaceDE w:val="0"/>
        <w:autoSpaceDN w:val="0"/>
        <w:adjustRightInd w:val="0"/>
        <w:spacing w:after="0" w:line="240" w:lineRule="auto"/>
        <w:rPr>
          <w:sz w:val="24"/>
          <w:szCs w:val="24"/>
        </w:rPr>
      </w:pPr>
      <w:r w:rsidRPr="00ED0317">
        <w:rPr>
          <w:sz w:val="24"/>
          <w:szCs w:val="24"/>
        </w:rPr>
        <w:t>Address the following questions: Who used the symbol/icon? What does the symbol/icon mean to those who used it?  What are the alternative connotations of that symbol/icon as seen</w:t>
      </w:r>
      <w:r w:rsidRPr="00ED0317">
        <w:t xml:space="preserve"> </w:t>
      </w:r>
      <w:r w:rsidRPr="00ED0317">
        <w:rPr>
          <w:sz w:val="24"/>
          <w:szCs w:val="24"/>
        </w:rPr>
        <w:t>from other perspectives e.g. different connotations of the Australian flag?</w:t>
      </w:r>
    </w:p>
    <w:p w:rsidR="00ED0317" w:rsidRPr="00ED0317" w:rsidRDefault="00ED0317" w:rsidP="00ED0317">
      <w:pPr>
        <w:pStyle w:val="ListParagraph"/>
        <w:numPr>
          <w:ilvl w:val="0"/>
          <w:numId w:val="5"/>
        </w:numPr>
        <w:autoSpaceDE w:val="0"/>
        <w:autoSpaceDN w:val="0"/>
        <w:adjustRightInd w:val="0"/>
        <w:spacing w:after="0" w:line="240" w:lineRule="auto"/>
        <w:rPr>
          <w:sz w:val="24"/>
          <w:szCs w:val="24"/>
        </w:rPr>
      </w:pPr>
      <w:r w:rsidRPr="00ED0317">
        <w:rPr>
          <w:sz w:val="24"/>
          <w:szCs w:val="24"/>
        </w:rPr>
        <w:t xml:space="preserve">Suggested riot theme sources: navigate to Riot Themes at the following website address, </w:t>
      </w:r>
      <w:hyperlink r:id="rId6" w:anchor="chapters/introduction" w:history="1">
        <w:r w:rsidRPr="00ED0317">
          <w:rPr>
            <w:rStyle w:val="Hyperlink"/>
            <w:sz w:val="24"/>
            <w:szCs w:val="24"/>
          </w:rPr>
          <w:t>http://www.sbs.com.au/cronullariots/documentary#chapters/introduction</w:t>
        </w:r>
      </w:hyperlink>
      <w:r w:rsidRPr="00ED0317">
        <w:rPr>
          <w:rStyle w:val="Hyperlink"/>
          <w:sz w:val="24"/>
          <w:szCs w:val="24"/>
        </w:rPr>
        <w:t xml:space="preserve">  </w:t>
      </w:r>
      <w:r w:rsidRPr="00ED0317">
        <w:rPr>
          <w:sz w:val="24"/>
          <w:szCs w:val="24"/>
        </w:rPr>
        <w:t xml:space="preserve">to access the following sources: Symbols – The Inciting Incident; Symbols – </w:t>
      </w:r>
      <w:proofErr w:type="spellStart"/>
      <w:r w:rsidRPr="00ED0317">
        <w:rPr>
          <w:sz w:val="24"/>
          <w:szCs w:val="24"/>
        </w:rPr>
        <w:t>Prof.</w:t>
      </w:r>
      <w:proofErr w:type="spellEnd"/>
      <w:r w:rsidRPr="00ED0317">
        <w:rPr>
          <w:sz w:val="24"/>
          <w:szCs w:val="24"/>
        </w:rPr>
        <w:t xml:space="preserve"> Greg Noble on Burning the Flag; Symbols – The Beach as an Icon of Australian Art; Racism – Riot Day</w:t>
      </w:r>
    </w:p>
    <w:p w:rsidR="00ED0317" w:rsidRPr="00ED0317" w:rsidRDefault="00ED0317" w:rsidP="00ED0317">
      <w:pPr>
        <w:pStyle w:val="ListParagraph"/>
        <w:autoSpaceDE w:val="0"/>
        <w:autoSpaceDN w:val="0"/>
        <w:adjustRightInd w:val="0"/>
        <w:spacing w:after="0" w:line="240" w:lineRule="auto"/>
        <w:rPr>
          <w:sz w:val="24"/>
          <w:szCs w:val="24"/>
        </w:rPr>
      </w:pPr>
    </w:p>
    <w:p w:rsidR="00C44E61" w:rsidRPr="00C85A99" w:rsidRDefault="00C44E61" w:rsidP="00C85A99">
      <w:pPr>
        <w:rPr>
          <w:sz w:val="24"/>
          <w:szCs w:val="24"/>
        </w:rPr>
      </w:pPr>
      <w:r w:rsidRPr="00C85A99">
        <w:rPr>
          <w:b/>
          <w:sz w:val="24"/>
          <w:szCs w:val="24"/>
        </w:rPr>
        <w:t xml:space="preserve">Time for the task: </w:t>
      </w:r>
      <w:r w:rsidR="00CF68A9">
        <w:rPr>
          <w:sz w:val="24"/>
          <w:szCs w:val="24"/>
        </w:rPr>
        <w:t>Two lessons</w:t>
      </w:r>
      <w:r w:rsidRPr="00C85A99">
        <w:rPr>
          <w:sz w:val="24"/>
          <w:szCs w:val="24"/>
        </w:rPr>
        <w:t xml:space="preserve"> in-class</w:t>
      </w:r>
      <w:r w:rsidR="00CF68A9">
        <w:rPr>
          <w:sz w:val="24"/>
          <w:szCs w:val="24"/>
        </w:rPr>
        <w:t xml:space="preserve"> and time at home</w:t>
      </w:r>
      <w:r w:rsidRPr="00C85A99">
        <w:rPr>
          <w:sz w:val="24"/>
          <w:szCs w:val="24"/>
        </w:rPr>
        <w:t>.</w:t>
      </w:r>
    </w:p>
    <w:p w:rsidR="00C44E61" w:rsidRDefault="00C44E61" w:rsidP="00B823B7">
      <w:pPr>
        <w:rPr>
          <w:sz w:val="24"/>
          <w:szCs w:val="24"/>
        </w:rPr>
      </w:pPr>
      <w:r w:rsidRPr="00C44E61">
        <w:rPr>
          <w:b/>
          <w:sz w:val="24"/>
          <w:szCs w:val="24"/>
        </w:rPr>
        <w:t>Assessment type:</w:t>
      </w:r>
      <w:r>
        <w:rPr>
          <w:sz w:val="24"/>
          <w:szCs w:val="24"/>
        </w:rPr>
        <w:t xml:space="preserve"> </w:t>
      </w:r>
      <w:r w:rsidR="00CF68A9">
        <w:rPr>
          <w:sz w:val="24"/>
          <w:szCs w:val="24"/>
        </w:rPr>
        <w:t>Reading and Viewing</w:t>
      </w:r>
    </w:p>
    <w:tbl>
      <w:tblPr>
        <w:tblStyle w:val="TableGrid"/>
        <w:tblW w:w="0" w:type="auto"/>
        <w:tblLook w:val="04A0" w:firstRow="1" w:lastRow="0" w:firstColumn="1" w:lastColumn="0" w:noHBand="0" w:noVBand="1"/>
      </w:tblPr>
      <w:tblGrid>
        <w:gridCol w:w="10456"/>
      </w:tblGrid>
      <w:tr w:rsidR="00CF68A9" w:rsidTr="00CF68A9">
        <w:tc>
          <w:tcPr>
            <w:tcW w:w="10456" w:type="dxa"/>
          </w:tcPr>
          <w:p w:rsidR="00CF68A9" w:rsidRDefault="00C35784" w:rsidP="00DA609A">
            <w:pPr>
              <w:spacing w:before="120" w:after="120"/>
              <w:rPr>
                <w:b/>
                <w:sz w:val="24"/>
                <w:szCs w:val="24"/>
              </w:rPr>
            </w:pPr>
            <w:r>
              <w:rPr>
                <w:b/>
                <w:sz w:val="24"/>
                <w:szCs w:val="24"/>
              </w:rPr>
              <w:t>Task 7</w:t>
            </w:r>
            <w:r w:rsidR="00CF68A9" w:rsidRPr="001925EC">
              <w:rPr>
                <w:b/>
                <w:sz w:val="24"/>
                <w:szCs w:val="24"/>
              </w:rPr>
              <w:t xml:space="preserve">: </w:t>
            </w:r>
            <w:r>
              <w:rPr>
                <w:b/>
                <w:sz w:val="24"/>
                <w:szCs w:val="24"/>
              </w:rPr>
              <w:t>Annotated Collage</w:t>
            </w:r>
          </w:p>
          <w:p w:rsidR="00CF68A9" w:rsidRDefault="00CF68A9" w:rsidP="00CF68A9">
            <w:pPr>
              <w:pStyle w:val="ListParagraph"/>
              <w:spacing w:before="240"/>
              <w:ind w:left="0"/>
              <w:rPr>
                <w:sz w:val="24"/>
                <w:szCs w:val="24"/>
              </w:rPr>
            </w:pPr>
            <w:r w:rsidRPr="00CF68A9">
              <w:rPr>
                <w:sz w:val="24"/>
                <w:szCs w:val="24"/>
              </w:rPr>
              <w:t xml:space="preserve">Create an annotated collage of the symbols and icons used by the participants in the Cronulla Riots, as well as the media and politicians in their response to it. Respond to a series of </w:t>
            </w:r>
          </w:p>
          <w:p w:rsidR="00E77549" w:rsidRDefault="00ED0317" w:rsidP="00CF68A9">
            <w:pPr>
              <w:pStyle w:val="ListParagraph"/>
              <w:spacing w:before="240"/>
              <w:ind w:left="0"/>
              <w:rPr>
                <w:sz w:val="24"/>
                <w:szCs w:val="24"/>
              </w:rPr>
            </w:pPr>
            <w:r w:rsidRPr="00CF68A9">
              <w:rPr>
                <w:sz w:val="24"/>
                <w:szCs w:val="24"/>
              </w:rPr>
              <w:t>Q</w:t>
            </w:r>
            <w:r w:rsidR="00CF68A9" w:rsidRPr="00CF68A9">
              <w:rPr>
                <w:sz w:val="24"/>
                <w:szCs w:val="24"/>
              </w:rPr>
              <w:t>uestions</w:t>
            </w:r>
            <w:r>
              <w:rPr>
                <w:sz w:val="24"/>
                <w:szCs w:val="24"/>
              </w:rPr>
              <w:t xml:space="preserve"> (listed above)</w:t>
            </w:r>
            <w:r w:rsidR="00CF68A9" w:rsidRPr="00CF68A9">
              <w:rPr>
                <w:sz w:val="24"/>
                <w:szCs w:val="24"/>
              </w:rPr>
              <w:t xml:space="preserve"> on the symbols and icons.</w:t>
            </w:r>
            <w:r w:rsidR="00CF68A9">
              <w:rPr>
                <w:sz w:val="24"/>
                <w:szCs w:val="24"/>
              </w:rPr>
              <w:t xml:space="preserve">   </w:t>
            </w:r>
            <w:r w:rsidR="00CF68A9">
              <w:rPr>
                <w:sz w:val="24"/>
                <w:szCs w:val="24"/>
              </w:rPr>
              <w:tab/>
            </w:r>
            <w:r w:rsidR="00CF68A9">
              <w:rPr>
                <w:sz w:val="24"/>
                <w:szCs w:val="24"/>
              </w:rPr>
              <w:tab/>
            </w:r>
            <w:r w:rsidR="00CF68A9">
              <w:rPr>
                <w:sz w:val="24"/>
                <w:szCs w:val="24"/>
              </w:rPr>
              <w:tab/>
            </w:r>
            <w:r w:rsidR="00CF68A9">
              <w:rPr>
                <w:sz w:val="24"/>
                <w:szCs w:val="24"/>
              </w:rPr>
              <w:tab/>
            </w:r>
          </w:p>
          <w:p w:rsidR="00E77549" w:rsidRDefault="00E77549" w:rsidP="00CF68A9">
            <w:pPr>
              <w:pStyle w:val="ListParagraph"/>
              <w:spacing w:before="240"/>
              <w:ind w:left="0"/>
              <w:rPr>
                <w:sz w:val="24"/>
                <w:szCs w:val="24"/>
              </w:rPr>
            </w:pPr>
          </w:p>
          <w:p w:rsidR="00CF68A9" w:rsidRPr="00030FFA" w:rsidRDefault="00E77549" w:rsidP="00CF68A9">
            <w:pPr>
              <w:pStyle w:val="ListParagraph"/>
              <w:spacing w:before="240"/>
              <w:ind w:left="0"/>
              <w:rPr>
                <w:rFonts w:eastAsia="Times New Roman"/>
                <w:b/>
                <w:sz w:val="24"/>
                <w:szCs w:val="24"/>
                <w:lang w:val="en-US" w:eastAsia="en-AU"/>
              </w:rPr>
            </w:pPr>
            <w:r>
              <w:rPr>
                <w:rFonts w:eastAsia="Times New Roman"/>
                <w:b/>
                <w:sz w:val="24"/>
                <w:szCs w:val="24"/>
                <w:lang w:val="en-US" w:eastAsia="en-AU"/>
              </w:rPr>
              <w:t>Due: Term 2, Week 3</w:t>
            </w:r>
          </w:p>
          <w:p w:rsidR="00CF68A9" w:rsidRDefault="00CF68A9" w:rsidP="00B823B7">
            <w:pPr>
              <w:rPr>
                <w:sz w:val="24"/>
                <w:szCs w:val="24"/>
              </w:rPr>
            </w:pPr>
          </w:p>
        </w:tc>
      </w:tr>
    </w:tbl>
    <w:p w:rsidR="00BC1CA6" w:rsidRPr="00584122" w:rsidRDefault="00584122" w:rsidP="00B823B7">
      <w:pPr>
        <w:spacing w:before="240" w:after="120" w:line="276" w:lineRule="auto"/>
        <w:rPr>
          <w:b/>
          <w:sz w:val="28"/>
        </w:rPr>
      </w:pPr>
      <w:r>
        <w:rPr>
          <w:b/>
          <w:sz w:val="28"/>
        </w:rPr>
        <w:t>FEEDBACK</w:t>
      </w:r>
      <w:r w:rsidRPr="00584122">
        <w:rPr>
          <w:b/>
          <w:sz w:val="28"/>
        </w:rPr>
        <w:t>:</w:t>
      </w:r>
      <w:r w:rsidR="00BC1CA6" w:rsidRPr="00584122">
        <w:rPr>
          <w:b/>
          <w:sz w:val="28"/>
        </w:rPr>
        <w:br w:type="page"/>
      </w:r>
    </w:p>
    <w:p w:rsidR="0022002B" w:rsidRPr="00F3024D" w:rsidRDefault="00620055" w:rsidP="00620055">
      <w:pPr>
        <w:keepNext/>
        <w:keepLines/>
        <w:spacing w:after="120" w:line="264" w:lineRule="auto"/>
        <w:ind w:left="567"/>
        <w:contextualSpacing/>
        <w:outlineLvl w:val="0"/>
        <w:rPr>
          <w:rFonts w:eastAsiaTheme="majorEastAsia"/>
          <w:b/>
          <w:bCs/>
          <w:sz w:val="28"/>
          <w:szCs w:val="28"/>
        </w:rPr>
      </w:pPr>
      <w:r w:rsidRPr="00F3024D">
        <w:rPr>
          <w:rFonts w:eastAsiaTheme="majorEastAsia"/>
          <w:b/>
          <w:bCs/>
          <w:sz w:val="28"/>
          <w:szCs w:val="28"/>
        </w:rPr>
        <w:lastRenderedPageBreak/>
        <w:t>Marking Criteria</w:t>
      </w:r>
      <w:r w:rsidR="00EF69C6" w:rsidRPr="00F3024D">
        <w:rPr>
          <w:rFonts w:eastAsiaTheme="majorEastAsia"/>
          <w:b/>
          <w:bCs/>
          <w:sz w:val="28"/>
          <w:szCs w:val="28"/>
        </w:rPr>
        <w:t xml:space="preserve">: </w:t>
      </w:r>
      <w:r w:rsidR="003762F4">
        <w:rPr>
          <w:rFonts w:eastAsiaTheme="majorEastAsia"/>
          <w:b/>
          <w:bCs/>
          <w:sz w:val="28"/>
          <w:szCs w:val="28"/>
        </w:rPr>
        <w:t>Reading and Viewing</w:t>
      </w:r>
    </w:p>
    <w:p w:rsidR="00D50F0D" w:rsidRPr="00D50F0D" w:rsidRDefault="00D50F0D" w:rsidP="00F36FCE">
      <w:pPr>
        <w:keepNext/>
        <w:keepLines/>
        <w:spacing w:before="120" w:after="120" w:line="264" w:lineRule="auto"/>
        <w:contextualSpacing/>
        <w:outlineLvl w:val="0"/>
        <w:rPr>
          <w:rFonts w:asciiTheme="majorHAnsi" w:eastAsiaTheme="majorEastAsia" w:hAnsiTheme="majorHAnsi" w:cstheme="majorBidi"/>
          <w:b/>
          <w:bCs/>
          <w:color w:val="2E74B5" w:themeColor="accent1" w:themeShade="BF"/>
          <w:sz w:val="12"/>
          <w:szCs w:val="1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3"/>
        <w:gridCol w:w="1078"/>
      </w:tblGrid>
      <w:tr w:rsidR="00BC1CA6" w:rsidRPr="00BC1CA6" w:rsidTr="00661339">
        <w:tc>
          <w:tcPr>
            <w:tcW w:w="7683" w:type="dxa"/>
            <w:shd w:val="clear" w:color="auto" w:fill="FFFFFF"/>
          </w:tcPr>
          <w:p w:rsidR="00BC1CA6" w:rsidRPr="00407F02" w:rsidRDefault="00BC1CA6" w:rsidP="00BC1CA6">
            <w:pPr>
              <w:spacing w:before="120" w:after="0" w:line="240" w:lineRule="auto"/>
              <w:jc w:val="center"/>
              <w:rPr>
                <w:rFonts w:eastAsia="Times New Roman"/>
                <w:b/>
                <w:sz w:val="24"/>
                <w:szCs w:val="24"/>
                <w:lang w:val="en-US"/>
              </w:rPr>
            </w:pPr>
            <w:r w:rsidRPr="00407F02">
              <w:rPr>
                <w:rFonts w:eastAsia="Times New Roman"/>
                <w:b/>
                <w:sz w:val="24"/>
                <w:szCs w:val="24"/>
                <w:lang w:val="en-US"/>
              </w:rPr>
              <w:t>CRITERIA AND CATEGORIES</w:t>
            </w:r>
          </w:p>
          <w:p w:rsidR="00BC1CA6" w:rsidRPr="00BC1CA6" w:rsidRDefault="00BC1CA6" w:rsidP="00BC1CA6">
            <w:pPr>
              <w:spacing w:after="0" w:line="240" w:lineRule="auto"/>
              <w:jc w:val="center"/>
              <w:rPr>
                <w:rFonts w:eastAsia="Times New Roman"/>
                <w:b/>
                <w:sz w:val="20"/>
                <w:szCs w:val="20"/>
                <w:lang w:val="en-US"/>
              </w:rPr>
            </w:pPr>
          </w:p>
        </w:tc>
        <w:tc>
          <w:tcPr>
            <w:tcW w:w="1078" w:type="dxa"/>
            <w:shd w:val="clear" w:color="auto" w:fill="FFFFFF"/>
          </w:tcPr>
          <w:p w:rsidR="00BC1CA6" w:rsidRDefault="00BC1CA6" w:rsidP="00BC1CA6">
            <w:pPr>
              <w:spacing w:before="120" w:after="0" w:line="240" w:lineRule="auto"/>
              <w:jc w:val="center"/>
              <w:rPr>
                <w:rFonts w:eastAsia="Times New Roman"/>
                <w:b/>
                <w:sz w:val="20"/>
                <w:szCs w:val="20"/>
                <w:lang w:val="en-US"/>
              </w:rPr>
            </w:pPr>
            <w:r w:rsidRPr="00BC1CA6">
              <w:rPr>
                <w:rFonts w:eastAsia="Times New Roman"/>
                <w:b/>
                <w:sz w:val="20"/>
                <w:szCs w:val="20"/>
                <w:lang w:val="en-US"/>
              </w:rPr>
              <w:t>Marks</w:t>
            </w:r>
          </w:p>
          <w:p w:rsidR="00BC1CA6" w:rsidRPr="00BC1CA6" w:rsidRDefault="00BC1CA6" w:rsidP="00407F02">
            <w:pPr>
              <w:spacing w:after="120" w:line="240" w:lineRule="auto"/>
              <w:jc w:val="center"/>
              <w:rPr>
                <w:rFonts w:eastAsia="Times New Roman"/>
                <w:b/>
                <w:sz w:val="20"/>
                <w:szCs w:val="20"/>
                <w:lang w:val="en-US"/>
              </w:rPr>
            </w:pPr>
            <w:r>
              <w:rPr>
                <w:rFonts w:eastAsia="Times New Roman"/>
                <w:b/>
                <w:sz w:val="20"/>
                <w:szCs w:val="20"/>
                <w:lang w:val="en-US"/>
              </w:rPr>
              <w:t>/30</w:t>
            </w:r>
          </w:p>
        </w:tc>
      </w:tr>
      <w:tr w:rsidR="00BC1CA6" w:rsidRPr="00BC1CA6" w:rsidTr="00661339">
        <w:tc>
          <w:tcPr>
            <w:tcW w:w="7683" w:type="dxa"/>
            <w:shd w:val="clear" w:color="auto" w:fill="D9D9D9"/>
          </w:tcPr>
          <w:p w:rsidR="00BC1CA6" w:rsidRPr="00BC1CA6" w:rsidRDefault="003762F4" w:rsidP="00BC1CA6">
            <w:pPr>
              <w:spacing w:before="120" w:after="120" w:line="238" w:lineRule="auto"/>
              <w:rPr>
                <w:rFonts w:eastAsia="Times New Roman"/>
                <w:b/>
                <w:bCs/>
                <w:color w:val="000000"/>
                <w:sz w:val="24"/>
                <w:szCs w:val="24"/>
                <w:lang w:val="en-US" w:eastAsia="en-AU"/>
              </w:rPr>
            </w:pPr>
            <w:r>
              <w:rPr>
                <w:rFonts w:eastAsia="Times New Roman"/>
                <w:b/>
                <w:bCs/>
                <w:color w:val="000000"/>
                <w:sz w:val="24"/>
                <w:szCs w:val="24"/>
                <w:lang w:val="en-US" w:eastAsia="en-AU"/>
              </w:rPr>
              <w:t>Interpreting</w:t>
            </w:r>
            <w:r w:rsidR="00BC1CA6" w:rsidRPr="00BC1CA6">
              <w:rPr>
                <w:rFonts w:eastAsia="Times New Roman"/>
                <w:b/>
                <w:bCs/>
                <w:color w:val="000000"/>
                <w:sz w:val="24"/>
                <w:szCs w:val="24"/>
                <w:lang w:val="en-US" w:eastAsia="en-AU"/>
              </w:rPr>
              <w:t xml:space="preserve"> </w:t>
            </w:r>
          </w:p>
        </w:tc>
        <w:tc>
          <w:tcPr>
            <w:tcW w:w="1078" w:type="dxa"/>
            <w:shd w:val="clear" w:color="auto" w:fill="D9D9D9"/>
          </w:tcPr>
          <w:p w:rsidR="00BC1CA6" w:rsidRPr="00BC1CA6" w:rsidRDefault="00BC1CA6" w:rsidP="00BC1CA6">
            <w:pPr>
              <w:spacing w:before="120" w:after="0" w:line="240" w:lineRule="auto"/>
              <w:jc w:val="center"/>
              <w:rPr>
                <w:rFonts w:eastAsia="Times New Roman"/>
                <w:b/>
                <w:sz w:val="24"/>
                <w:szCs w:val="24"/>
                <w:lang w:val="en-US"/>
              </w:rPr>
            </w:pPr>
            <w:r w:rsidRPr="00BC1CA6">
              <w:rPr>
                <w:rFonts w:eastAsia="Times New Roman"/>
                <w:b/>
                <w:sz w:val="24"/>
                <w:szCs w:val="24"/>
                <w:lang w:val="en-US"/>
              </w:rPr>
              <w:t>/10</w:t>
            </w:r>
          </w:p>
        </w:tc>
      </w:tr>
      <w:tr w:rsidR="00BC1CA6" w:rsidRPr="00BC1CA6" w:rsidTr="00661339">
        <w:tc>
          <w:tcPr>
            <w:tcW w:w="7683" w:type="dxa"/>
            <w:shd w:val="clear" w:color="auto" w:fill="auto"/>
          </w:tcPr>
          <w:p w:rsidR="00BC1CA6" w:rsidRPr="00F3024D" w:rsidRDefault="003762F4" w:rsidP="005A6927">
            <w:pPr>
              <w:spacing w:before="120" w:after="120" w:line="240" w:lineRule="auto"/>
              <w:rPr>
                <w:rFonts w:eastAsia="Times New Roman"/>
              </w:rPr>
            </w:pPr>
            <w:r>
              <w:rPr>
                <w:szCs w:val="18"/>
              </w:rPr>
              <w:t>Explores implied and explicit assumptions, values and beliefs reflected in a text.</w:t>
            </w:r>
          </w:p>
        </w:tc>
        <w:tc>
          <w:tcPr>
            <w:tcW w:w="1078" w:type="dxa"/>
            <w:shd w:val="clear" w:color="auto" w:fill="auto"/>
          </w:tcPr>
          <w:p w:rsidR="00BC1CA6" w:rsidRPr="00F3024D" w:rsidRDefault="00BC1CA6" w:rsidP="00BC1CA6">
            <w:pPr>
              <w:spacing w:before="120" w:after="0" w:line="240" w:lineRule="auto"/>
              <w:jc w:val="center"/>
              <w:rPr>
                <w:rFonts w:eastAsia="Times New Roman"/>
                <w:lang w:val="en-US"/>
              </w:rPr>
            </w:pPr>
            <w:r w:rsidRPr="00F3024D">
              <w:rPr>
                <w:rFonts w:eastAsia="Times New Roman"/>
                <w:lang w:val="en-US"/>
              </w:rPr>
              <w:t>8 - 10</w:t>
            </w:r>
          </w:p>
        </w:tc>
      </w:tr>
      <w:tr w:rsidR="00BC1CA6" w:rsidRPr="00BC1CA6" w:rsidTr="00661339">
        <w:tc>
          <w:tcPr>
            <w:tcW w:w="7683" w:type="dxa"/>
            <w:shd w:val="clear" w:color="auto" w:fill="auto"/>
          </w:tcPr>
          <w:p w:rsidR="00BC1CA6" w:rsidRPr="00F3024D" w:rsidRDefault="003762F4" w:rsidP="00936683">
            <w:pPr>
              <w:spacing w:before="120" w:after="120" w:line="240" w:lineRule="auto"/>
              <w:rPr>
                <w:rFonts w:eastAsia="Times New Roman"/>
              </w:rPr>
            </w:pPr>
            <w:r>
              <w:rPr>
                <w:szCs w:val="18"/>
              </w:rPr>
              <w:t>Describes implied and explicit assumptions, values and beliefs reflected in a text.</w:t>
            </w:r>
          </w:p>
        </w:tc>
        <w:tc>
          <w:tcPr>
            <w:tcW w:w="1078" w:type="dxa"/>
            <w:shd w:val="clear" w:color="auto" w:fill="auto"/>
          </w:tcPr>
          <w:p w:rsidR="00BC1CA6" w:rsidRPr="00F3024D" w:rsidRDefault="00BC1CA6" w:rsidP="00BC1CA6">
            <w:pPr>
              <w:spacing w:before="120" w:after="0" w:line="240" w:lineRule="auto"/>
              <w:jc w:val="center"/>
              <w:rPr>
                <w:rFonts w:eastAsia="Times New Roman"/>
                <w:lang w:val="en-US"/>
              </w:rPr>
            </w:pPr>
            <w:r w:rsidRPr="00F3024D">
              <w:rPr>
                <w:rFonts w:eastAsia="Times New Roman"/>
                <w:lang w:val="en-US"/>
              </w:rPr>
              <w:t>6.5 - 7.5</w:t>
            </w:r>
          </w:p>
        </w:tc>
      </w:tr>
      <w:tr w:rsidR="00BC1CA6" w:rsidRPr="00BC1CA6" w:rsidTr="00661339">
        <w:tc>
          <w:tcPr>
            <w:tcW w:w="7683" w:type="dxa"/>
            <w:shd w:val="clear" w:color="auto" w:fill="auto"/>
          </w:tcPr>
          <w:p w:rsidR="00BC1CA6" w:rsidRPr="00F3024D" w:rsidRDefault="003762F4" w:rsidP="00936683">
            <w:pPr>
              <w:spacing w:before="120" w:after="120" w:line="240" w:lineRule="auto"/>
              <w:rPr>
                <w:rFonts w:eastAsia="Times New Roman"/>
              </w:rPr>
            </w:pPr>
            <w:r>
              <w:rPr>
                <w:szCs w:val="18"/>
              </w:rPr>
              <w:t>Identifies explicit assumptions, values and beliefs reflected in a text.</w:t>
            </w:r>
          </w:p>
        </w:tc>
        <w:tc>
          <w:tcPr>
            <w:tcW w:w="1078" w:type="dxa"/>
            <w:shd w:val="clear" w:color="auto" w:fill="auto"/>
          </w:tcPr>
          <w:p w:rsidR="00BC1CA6" w:rsidRPr="00F3024D" w:rsidRDefault="00BC1CA6" w:rsidP="00BC1CA6">
            <w:pPr>
              <w:spacing w:before="120" w:after="0" w:line="240" w:lineRule="auto"/>
              <w:jc w:val="center"/>
              <w:rPr>
                <w:rFonts w:eastAsia="Times New Roman"/>
                <w:lang w:val="en-US"/>
              </w:rPr>
            </w:pPr>
            <w:r w:rsidRPr="00F3024D">
              <w:rPr>
                <w:rFonts w:eastAsia="Times New Roman"/>
                <w:lang w:val="en-US"/>
              </w:rPr>
              <w:t>5 – 6</w:t>
            </w:r>
          </w:p>
        </w:tc>
      </w:tr>
      <w:tr w:rsidR="0022002B" w:rsidRPr="00BC1CA6" w:rsidTr="00661339">
        <w:tc>
          <w:tcPr>
            <w:tcW w:w="7683" w:type="dxa"/>
            <w:shd w:val="clear" w:color="auto" w:fill="auto"/>
          </w:tcPr>
          <w:p w:rsidR="0022002B" w:rsidRPr="00F3024D" w:rsidRDefault="003762F4" w:rsidP="0022002B">
            <w:pPr>
              <w:spacing w:before="120"/>
            </w:pPr>
            <w:r w:rsidRPr="003762F4">
              <w:t>Identifies common stereotypes reflected in a text.</w:t>
            </w:r>
          </w:p>
        </w:tc>
        <w:tc>
          <w:tcPr>
            <w:tcW w:w="1078" w:type="dxa"/>
            <w:shd w:val="clear" w:color="auto" w:fill="auto"/>
          </w:tcPr>
          <w:p w:rsidR="0022002B" w:rsidRPr="00F3024D" w:rsidRDefault="0022002B" w:rsidP="0022002B">
            <w:pPr>
              <w:spacing w:before="120" w:after="0" w:line="240" w:lineRule="auto"/>
              <w:jc w:val="center"/>
              <w:rPr>
                <w:rFonts w:eastAsia="Times New Roman"/>
                <w:lang w:val="en-US"/>
              </w:rPr>
            </w:pPr>
            <w:r w:rsidRPr="00F3024D">
              <w:rPr>
                <w:rFonts w:eastAsia="Times New Roman"/>
                <w:lang w:val="en-US"/>
              </w:rPr>
              <w:t>3 – 4.5</w:t>
            </w:r>
          </w:p>
        </w:tc>
      </w:tr>
      <w:tr w:rsidR="0022002B" w:rsidRPr="00BC1CA6" w:rsidTr="00661339">
        <w:tc>
          <w:tcPr>
            <w:tcW w:w="7683" w:type="dxa"/>
            <w:shd w:val="clear" w:color="auto" w:fill="auto"/>
          </w:tcPr>
          <w:p w:rsidR="0022002B" w:rsidRPr="00F3024D" w:rsidRDefault="002564C3" w:rsidP="0022002B">
            <w:pPr>
              <w:spacing w:before="120" w:after="120" w:line="240" w:lineRule="auto"/>
              <w:rPr>
                <w:rFonts w:eastAsia="Times New Roman"/>
                <w:lang w:val="en-US"/>
              </w:rPr>
            </w:pPr>
            <w:r w:rsidRPr="00F3024D">
              <w:rPr>
                <w:rFonts w:eastAsia="Times New Roman"/>
                <w:lang w:val="en-US"/>
              </w:rPr>
              <w:t>Does not meet the requirements of a D grade.</w:t>
            </w:r>
          </w:p>
        </w:tc>
        <w:tc>
          <w:tcPr>
            <w:tcW w:w="1078" w:type="dxa"/>
            <w:shd w:val="clear" w:color="auto" w:fill="auto"/>
          </w:tcPr>
          <w:p w:rsidR="0022002B" w:rsidRPr="00F3024D" w:rsidRDefault="0022002B" w:rsidP="0022002B">
            <w:pPr>
              <w:spacing w:before="120" w:after="0" w:line="240" w:lineRule="auto"/>
              <w:jc w:val="center"/>
              <w:rPr>
                <w:rFonts w:eastAsia="Times New Roman"/>
                <w:lang w:val="en-US"/>
              </w:rPr>
            </w:pPr>
            <w:r w:rsidRPr="00F3024D">
              <w:rPr>
                <w:rFonts w:eastAsia="Times New Roman"/>
                <w:lang w:val="en-US"/>
              </w:rPr>
              <w:t>0 – 2.5</w:t>
            </w:r>
          </w:p>
        </w:tc>
      </w:tr>
      <w:tr w:rsidR="0022002B" w:rsidRPr="00BC1CA6" w:rsidTr="00661339">
        <w:tc>
          <w:tcPr>
            <w:tcW w:w="7683" w:type="dxa"/>
            <w:shd w:val="clear" w:color="auto" w:fill="D9D9D9"/>
          </w:tcPr>
          <w:p w:rsidR="0022002B" w:rsidRPr="009962BC" w:rsidRDefault="003762F4" w:rsidP="0022002B">
            <w:pPr>
              <w:spacing w:before="120" w:after="120" w:line="238" w:lineRule="auto"/>
              <w:rPr>
                <w:rFonts w:eastAsia="Times New Roman"/>
                <w:b/>
                <w:bCs/>
                <w:color w:val="000000"/>
                <w:sz w:val="24"/>
                <w:szCs w:val="24"/>
                <w:lang w:val="en-US" w:eastAsia="en-AU"/>
              </w:rPr>
            </w:pPr>
            <w:r>
              <w:rPr>
                <w:rFonts w:eastAsia="Times New Roman"/>
                <w:b/>
                <w:bCs/>
                <w:color w:val="000000"/>
                <w:sz w:val="24"/>
                <w:szCs w:val="24"/>
                <w:lang w:val="en-US" w:eastAsia="en-AU"/>
              </w:rPr>
              <w:t>Use of evidence</w:t>
            </w:r>
          </w:p>
        </w:tc>
        <w:tc>
          <w:tcPr>
            <w:tcW w:w="1078" w:type="dxa"/>
            <w:shd w:val="clear" w:color="auto" w:fill="D9D9D9"/>
          </w:tcPr>
          <w:p w:rsidR="0022002B" w:rsidRPr="009962BC" w:rsidRDefault="0022002B" w:rsidP="0022002B">
            <w:pPr>
              <w:spacing w:before="120" w:after="0" w:line="240" w:lineRule="auto"/>
              <w:jc w:val="center"/>
              <w:rPr>
                <w:rFonts w:eastAsia="Times New Roman"/>
                <w:b/>
                <w:sz w:val="24"/>
                <w:szCs w:val="24"/>
                <w:lang w:val="en-US"/>
              </w:rPr>
            </w:pPr>
            <w:r w:rsidRPr="009962BC">
              <w:rPr>
                <w:rFonts w:eastAsia="Times New Roman"/>
                <w:b/>
                <w:sz w:val="24"/>
                <w:szCs w:val="24"/>
                <w:lang w:val="en-US"/>
              </w:rPr>
              <w:t>/10</w:t>
            </w:r>
          </w:p>
        </w:tc>
      </w:tr>
      <w:tr w:rsidR="0022002B" w:rsidRPr="00BC1CA6" w:rsidTr="00661339">
        <w:tc>
          <w:tcPr>
            <w:tcW w:w="7683" w:type="dxa"/>
            <w:shd w:val="clear" w:color="auto" w:fill="auto"/>
          </w:tcPr>
          <w:p w:rsidR="0022002B" w:rsidRPr="00F3024D" w:rsidRDefault="003762F4" w:rsidP="0022002B">
            <w:pPr>
              <w:spacing w:before="120" w:after="120" w:line="240" w:lineRule="auto"/>
              <w:rPr>
                <w:rFonts w:eastAsia="Times New Roman"/>
              </w:rPr>
            </w:pPr>
            <w:r>
              <w:rPr>
                <w:szCs w:val="18"/>
              </w:rPr>
              <w:t>Makes discerning choices about evidence and analyses it to support or challenge interpretations.</w:t>
            </w:r>
          </w:p>
        </w:tc>
        <w:tc>
          <w:tcPr>
            <w:tcW w:w="1078" w:type="dxa"/>
            <w:shd w:val="clear" w:color="auto" w:fill="auto"/>
          </w:tcPr>
          <w:p w:rsidR="0022002B" w:rsidRPr="00F3024D" w:rsidRDefault="0022002B" w:rsidP="0022002B">
            <w:pPr>
              <w:spacing w:before="120" w:after="0" w:line="240" w:lineRule="auto"/>
              <w:jc w:val="center"/>
              <w:rPr>
                <w:rFonts w:eastAsia="Times New Roman"/>
                <w:lang w:val="en-US"/>
              </w:rPr>
            </w:pPr>
            <w:r w:rsidRPr="00F3024D">
              <w:rPr>
                <w:rFonts w:eastAsia="Times New Roman"/>
                <w:lang w:val="en-US"/>
              </w:rPr>
              <w:t>8 - 10</w:t>
            </w:r>
          </w:p>
        </w:tc>
      </w:tr>
      <w:tr w:rsidR="0022002B" w:rsidRPr="00BC1CA6" w:rsidTr="00661339">
        <w:tc>
          <w:tcPr>
            <w:tcW w:w="7683" w:type="dxa"/>
            <w:shd w:val="clear" w:color="auto" w:fill="auto"/>
          </w:tcPr>
          <w:p w:rsidR="0022002B" w:rsidRPr="00F3024D" w:rsidRDefault="003762F4" w:rsidP="002564C3">
            <w:pPr>
              <w:spacing w:before="120" w:after="120" w:line="240" w:lineRule="auto"/>
              <w:rPr>
                <w:rFonts w:eastAsia="Times New Roman"/>
                <w:lang w:val="en-US"/>
              </w:rPr>
            </w:pPr>
            <w:r w:rsidRPr="003762F4">
              <w:rPr>
                <w:rFonts w:eastAsia="Times New Roman"/>
                <w:lang w:val="en-US"/>
              </w:rPr>
              <w:t>Chooses and analyses relevant evidence from a text to support their own and others’ interpretations.</w:t>
            </w:r>
          </w:p>
        </w:tc>
        <w:tc>
          <w:tcPr>
            <w:tcW w:w="1078" w:type="dxa"/>
            <w:shd w:val="clear" w:color="auto" w:fill="auto"/>
          </w:tcPr>
          <w:p w:rsidR="0022002B" w:rsidRPr="00F3024D" w:rsidRDefault="0022002B" w:rsidP="0022002B">
            <w:pPr>
              <w:spacing w:before="120" w:after="0" w:line="240" w:lineRule="auto"/>
              <w:jc w:val="center"/>
              <w:rPr>
                <w:rFonts w:eastAsia="Times New Roman"/>
                <w:lang w:val="en-US"/>
              </w:rPr>
            </w:pPr>
            <w:r w:rsidRPr="00F3024D">
              <w:rPr>
                <w:rFonts w:eastAsia="Times New Roman"/>
                <w:lang w:val="en-US"/>
              </w:rPr>
              <w:t>6.5 - 7.5</w:t>
            </w:r>
          </w:p>
        </w:tc>
      </w:tr>
      <w:tr w:rsidR="0022002B" w:rsidRPr="00BC1CA6" w:rsidTr="00661339">
        <w:tc>
          <w:tcPr>
            <w:tcW w:w="7683" w:type="dxa"/>
            <w:shd w:val="clear" w:color="auto" w:fill="auto"/>
          </w:tcPr>
          <w:p w:rsidR="0022002B" w:rsidRPr="00F3024D" w:rsidRDefault="003762F4" w:rsidP="0022002B">
            <w:pPr>
              <w:spacing w:before="120" w:after="120" w:line="240" w:lineRule="auto"/>
              <w:rPr>
                <w:rFonts w:eastAsia="Times New Roman"/>
                <w:lang w:val="en-US"/>
              </w:rPr>
            </w:pPr>
            <w:r w:rsidRPr="003762F4">
              <w:rPr>
                <w:rFonts w:eastAsia="Times New Roman"/>
                <w:lang w:val="en-US"/>
              </w:rPr>
              <w:t>Analyses evidence used to support their own and others’ interpretations.</w:t>
            </w:r>
          </w:p>
        </w:tc>
        <w:tc>
          <w:tcPr>
            <w:tcW w:w="1078" w:type="dxa"/>
            <w:shd w:val="clear" w:color="auto" w:fill="auto"/>
          </w:tcPr>
          <w:p w:rsidR="0022002B" w:rsidRPr="00F3024D" w:rsidRDefault="0022002B" w:rsidP="0022002B">
            <w:pPr>
              <w:spacing w:before="120" w:after="0" w:line="240" w:lineRule="auto"/>
              <w:jc w:val="center"/>
              <w:rPr>
                <w:rFonts w:eastAsia="Times New Roman"/>
                <w:lang w:val="en-US"/>
              </w:rPr>
            </w:pPr>
            <w:r w:rsidRPr="00F3024D">
              <w:rPr>
                <w:rFonts w:eastAsia="Times New Roman"/>
                <w:lang w:val="en-US"/>
              </w:rPr>
              <w:t>5 – 6</w:t>
            </w:r>
          </w:p>
        </w:tc>
      </w:tr>
      <w:tr w:rsidR="0022002B" w:rsidRPr="00BC1CA6" w:rsidTr="00661339">
        <w:tc>
          <w:tcPr>
            <w:tcW w:w="7683" w:type="dxa"/>
            <w:shd w:val="clear" w:color="auto" w:fill="auto"/>
          </w:tcPr>
          <w:p w:rsidR="0022002B" w:rsidRPr="00F3024D" w:rsidRDefault="003762F4" w:rsidP="0022002B">
            <w:pPr>
              <w:spacing w:before="120" w:after="120" w:line="240" w:lineRule="auto"/>
              <w:rPr>
                <w:rFonts w:eastAsia="Times New Roman"/>
                <w:lang w:val="en-US"/>
              </w:rPr>
            </w:pPr>
            <w:r w:rsidRPr="003762F4">
              <w:rPr>
                <w:rFonts w:eastAsia="Times New Roman"/>
                <w:lang w:val="en-US"/>
              </w:rPr>
              <w:t>Identifies evidence to support their own and others’ interpretations of texts.</w:t>
            </w:r>
          </w:p>
        </w:tc>
        <w:tc>
          <w:tcPr>
            <w:tcW w:w="1078" w:type="dxa"/>
            <w:shd w:val="clear" w:color="auto" w:fill="auto"/>
          </w:tcPr>
          <w:p w:rsidR="0022002B" w:rsidRPr="00F3024D" w:rsidRDefault="0022002B" w:rsidP="0022002B">
            <w:pPr>
              <w:spacing w:before="120" w:after="0" w:line="240" w:lineRule="auto"/>
              <w:jc w:val="center"/>
              <w:rPr>
                <w:rFonts w:eastAsia="Times New Roman"/>
                <w:lang w:val="en-US"/>
              </w:rPr>
            </w:pPr>
            <w:r w:rsidRPr="00F3024D">
              <w:rPr>
                <w:rFonts w:eastAsia="Times New Roman"/>
                <w:lang w:val="en-US"/>
              </w:rPr>
              <w:t>3 – 4.5</w:t>
            </w:r>
          </w:p>
        </w:tc>
      </w:tr>
      <w:tr w:rsidR="0022002B" w:rsidRPr="00BC1CA6" w:rsidTr="00661339">
        <w:tc>
          <w:tcPr>
            <w:tcW w:w="7683" w:type="dxa"/>
            <w:shd w:val="clear" w:color="auto" w:fill="auto"/>
          </w:tcPr>
          <w:p w:rsidR="0022002B" w:rsidRPr="00F3024D" w:rsidRDefault="002564C3" w:rsidP="0022002B">
            <w:pPr>
              <w:spacing w:before="120" w:after="120" w:line="240" w:lineRule="auto"/>
              <w:rPr>
                <w:rFonts w:eastAsia="Times New Roman"/>
                <w:lang w:val="en-US"/>
              </w:rPr>
            </w:pPr>
            <w:r w:rsidRPr="00F3024D">
              <w:rPr>
                <w:rFonts w:eastAsia="Times New Roman"/>
                <w:lang w:val="en-US"/>
              </w:rPr>
              <w:t>Does not meet the requirements of a D grade.</w:t>
            </w:r>
          </w:p>
        </w:tc>
        <w:tc>
          <w:tcPr>
            <w:tcW w:w="1078" w:type="dxa"/>
            <w:shd w:val="clear" w:color="auto" w:fill="auto"/>
          </w:tcPr>
          <w:p w:rsidR="0022002B" w:rsidRPr="00F3024D" w:rsidRDefault="0022002B" w:rsidP="0022002B">
            <w:pPr>
              <w:spacing w:before="120" w:after="0" w:line="240" w:lineRule="auto"/>
              <w:jc w:val="center"/>
              <w:rPr>
                <w:rFonts w:eastAsia="Times New Roman"/>
                <w:lang w:val="en-US"/>
              </w:rPr>
            </w:pPr>
            <w:r w:rsidRPr="00F3024D">
              <w:rPr>
                <w:rFonts w:eastAsia="Times New Roman"/>
                <w:lang w:val="en-US"/>
              </w:rPr>
              <w:t>0 – 2.5</w:t>
            </w:r>
          </w:p>
        </w:tc>
      </w:tr>
      <w:tr w:rsidR="0022002B" w:rsidRPr="00BC1CA6" w:rsidTr="00661339">
        <w:tc>
          <w:tcPr>
            <w:tcW w:w="7683" w:type="dxa"/>
            <w:shd w:val="clear" w:color="auto" w:fill="D0CECE" w:themeFill="background2" w:themeFillShade="E6"/>
          </w:tcPr>
          <w:p w:rsidR="0022002B" w:rsidRPr="003762F4" w:rsidRDefault="003762F4" w:rsidP="0022002B">
            <w:pPr>
              <w:spacing w:before="120" w:after="120" w:line="238" w:lineRule="auto"/>
              <w:rPr>
                <w:rFonts w:eastAsia="Times New Roman"/>
                <w:b/>
                <w:color w:val="000000"/>
                <w:sz w:val="24"/>
                <w:szCs w:val="24"/>
                <w:lang w:val="en-US" w:eastAsia="en-AU"/>
              </w:rPr>
            </w:pPr>
            <w:r w:rsidRPr="003762F4">
              <w:rPr>
                <w:rFonts w:eastAsia="Times New Roman"/>
                <w:b/>
                <w:color w:val="000000"/>
                <w:sz w:val="24"/>
                <w:szCs w:val="24"/>
                <w:lang w:val="en-US" w:eastAsia="en-AU"/>
              </w:rPr>
              <w:t>Interpreting</w:t>
            </w:r>
          </w:p>
        </w:tc>
        <w:tc>
          <w:tcPr>
            <w:tcW w:w="1078" w:type="dxa"/>
            <w:shd w:val="clear" w:color="auto" w:fill="D9D9D9"/>
          </w:tcPr>
          <w:p w:rsidR="0022002B" w:rsidRPr="002564C3" w:rsidRDefault="0022002B" w:rsidP="0022002B">
            <w:pPr>
              <w:spacing w:before="120" w:after="0" w:line="240" w:lineRule="auto"/>
              <w:jc w:val="center"/>
              <w:rPr>
                <w:rFonts w:eastAsia="Times New Roman"/>
                <w:b/>
                <w:sz w:val="24"/>
                <w:szCs w:val="24"/>
                <w:lang w:val="en-US"/>
              </w:rPr>
            </w:pPr>
            <w:r w:rsidRPr="002564C3">
              <w:rPr>
                <w:rFonts w:eastAsia="Times New Roman"/>
                <w:b/>
                <w:sz w:val="24"/>
                <w:szCs w:val="24"/>
                <w:lang w:val="en-US"/>
              </w:rPr>
              <w:t>/10</w:t>
            </w:r>
          </w:p>
        </w:tc>
      </w:tr>
      <w:tr w:rsidR="0022002B" w:rsidRPr="00BC1CA6" w:rsidTr="00661339">
        <w:tc>
          <w:tcPr>
            <w:tcW w:w="7683" w:type="dxa"/>
            <w:shd w:val="clear" w:color="auto" w:fill="auto"/>
          </w:tcPr>
          <w:p w:rsidR="0022002B" w:rsidRPr="00F3024D" w:rsidRDefault="003762F4" w:rsidP="00EF69C6">
            <w:pPr>
              <w:spacing w:before="120" w:after="120" w:line="240" w:lineRule="auto"/>
              <w:rPr>
                <w:rFonts w:eastAsia="Times New Roman"/>
                <w:lang w:val="en-US"/>
              </w:rPr>
            </w:pPr>
            <w:r w:rsidRPr="003762F4">
              <w:rPr>
                <w:rFonts w:eastAsia="Times New Roman"/>
                <w:lang w:val="en-US"/>
              </w:rPr>
              <w:t>Develops a detailed interpretation of a text and draws on textual and contextual aspects to evaluate interpretations which differ from their own.</w:t>
            </w:r>
          </w:p>
        </w:tc>
        <w:tc>
          <w:tcPr>
            <w:tcW w:w="1078" w:type="dxa"/>
            <w:shd w:val="clear" w:color="auto" w:fill="auto"/>
          </w:tcPr>
          <w:p w:rsidR="0022002B" w:rsidRPr="00F3024D" w:rsidRDefault="0022002B" w:rsidP="0022002B">
            <w:pPr>
              <w:spacing w:before="120" w:after="0" w:line="240" w:lineRule="auto"/>
              <w:jc w:val="center"/>
              <w:rPr>
                <w:rFonts w:eastAsia="Times New Roman"/>
                <w:lang w:val="en-US"/>
              </w:rPr>
            </w:pPr>
            <w:r w:rsidRPr="00F3024D">
              <w:rPr>
                <w:rFonts w:eastAsia="Times New Roman"/>
                <w:lang w:val="en-US"/>
              </w:rPr>
              <w:t>8 - 10</w:t>
            </w:r>
          </w:p>
        </w:tc>
      </w:tr>
      <w:tr w:rsidR="0022002B" w:rsidRPr="00BC1CA6" w:rsidTr="00661339">
        <w:tc>
          <w:tcPr>
            <w:tcW w:w="7683" w:type="dxa"/>
            <w:shd w:val="clear" w:color="auto" w:fill="auto"/>
          </w:tcPr>
          <w:p w:rsidR="0022002B" w:rsidRPr="00F3024D" w:rsidRDefault="003762F4" w:rsidP="0022002B">
            <w:pPr>
              <w:spacing w:before="120" w:after="120" w:line="240" w:lineRule="auto"/>
              <w:rPr>
                <w:rFonts w:eastAsia="Times New Roman"/>
                <w:lang w:val="en-US"/>
              </w:rPr>
            </w:pPr>
            <w:r w:rsidRPr="003762F4">
              <w:rPr>
                <w:rFonts w:eastAsia="Times New Roman"/>
                <w:lang w:val="en-US"/>
              </w:rPr>
              <w:t>Develops and justifies their own interpretation of a text, taking into consideration the way that textual and contextual details may lead others to interpret texts in differing ways.</w:t>
            </w:r>
          </w:p>
        </w:tc>
        <w:tc>
          <w:tcPr>
            <w:tcW w:w="1078" w:type="dxa"/>
            <w:shd w:val="clear" w:color="auto" w:fill="auto"/>
          </w:tcPr>
          <w:p w:rsidR="0022002B" w:rsidRPr="00F3024D" w:rsidRDefault="0022002B" w:rsidP="0022002B">
            <w:pPr>
              <w:spacing w:before="120" w:after="0" w:line="240" w:lineRule="auto"/>
              <w:jc w:val="center"/>
              <w:rPr>
                <w:rFonts w:eastAsia="Times New Roman"/>
                <w:lang w:val="en-US"/>
              </w:rPr>
            </w:pPr>
            <w:r w:rsidRPr="00F3024D">
              <w:rPr>
                <w:rFonts w:eastAsia="Times New Roman"/>
                <w:lang w:val="en-US"/>
              </w:rPr>
              <w:t>6.5 - 7.5</w:t>
            </w:r>
          </w:p>
        </w:tc>
      </w:tr>
      <w:tr w:rsidR="0022002B" w:rsidRPr="00BC1CA6" w:rsidTr="00661339">
        <w:tc>
          <w:tcPr>
            <w:tcW w:w="7683" w:type="dxa"/>
            <w:shd w:val="clear" w:color="auto" w:fill="auto"/>
          </w:tcPr>
          <w:p w:rsidR="0022002B" w:rsidRPr="00F3024D" w:rsidRDefault="003762F4" w:rsidP="00EF69C6">
            <w:pPr>
              <w:spacing w:before="120" w:after="120" w:line="240" w:lineRule="auto"/>
              <w:rPr>
                <w:rFonts w:eastAsia="Times New Roman"/>
                <w:lang w:val="en-US"/>
              </w:rPr>
            </w:pPr>
            <w:r w:rsidRPr="003762F4">
              <w:rPr>
                <w:rFonts w:eastAsia="Times New Roman"/>
                <w:lang w:val="en-US"/>
              </w:rPr>
              <w:t>Develops and justifies their own interpretation of a text.</w:t>
            </w:r>
          </w:p>
        </w:tc>
        <w:tc>
          <w:tcPr>
            <w:tcW w:w="1078" w:type="dxa"/>
            <w:shd w:val="clear" w:color="auto" w:fill="auto"/>
          </w:tcPr>
          <w:p w:rsidR="0022002B" w:rsidRPr="00F3024D" w:rsidRDefault="0022002B" w:rsidP="0022002B">
            <w:pPr>
              <w:spacing w:before="120" w:after="0" w:line="240" w:lineRule="auto"/>
              <w:jc w:val="center"/>
              <w:rPr>
                <w:rFonts w:eastAsia="Times New Roman"/>
                <w:lang w:val="en-US"/>
              </w:rPr>
            </w:pPr>
            <w:r w:rsidRPr="00F3024D">
              <w:rPr>
                <w:rFonts w:eastAsia="Times New Roman"/>
                <w:lang w:val="en-US"/>
              </w:rPr>
              <w:t>5 – 6</w:t>
            </w:r>
          </w:p>
        </w:tc>
      </w:tr>
      <w:tr w:rsidR="0022002B" w:rsidRPr="00BC1CA6" w:rsidTr="00661339">
        <w:tc>
          <w:tcPr>
            <w:tcW w:w="7683" w:type="dxa"/>
            <w:shd w:val="clear" w:color="auto" w:fill="auto"/>
          </w:tcPr>
          <w:p w:rsidR="0022002B" w:rsidRPr="00F3024D" w:rsidRDefault="003762F4" w:rsidP="00EF69C6">
            <w:pPr>
              <w:spacing w:before="120" w:after="120" w:line="240" w:lineRule="auto"/>
              <w:rPr>
                <w:rFonts w:eastAsia="Times New Roman"/>
                <w:lang w:val="en-US"/>
              </w:rPr>
            </w:pPr>
            <w:r w:rsidRPr="003762F4">
              <w:rPr>
                <w:rFonts w:eastAsia="Times New Roman"/>
                <w:lang w:val="en-US"/>
              </w:rPr>
              <w:t>Develops a logical interpretation of a text.</w:t>
            </w:r>
          </w:p>
        </w:tc>
        <w:tc>
          <w:tcPr>
            <w:tcW w:w="1078" w:type="dxa"/>
            <w:shd w:val="clear" w:color="auto" w:fill="auto"/>
          </w:tcPr>
          <w:p w:rsidR="0022002B" w:rsidRPr="00F3024D" w:rsidRDefault="0022002B" w:rsidP="0022002B">
            <w:pPr>
              <w:spacing w:before="120" w:after="0" w:line="240" w:lineRule="auto"/>
              <w:jc w:val="center"/>
              <w:rPr>
                <w:rFonts w:eastAsia="Times New Roman"/>
                <w:lang w:val="en-US"/>
              </w:rPr>
            </w:pPr>
            <w:r w:rsidRPr="00F3024D">
              <w:rPr>
                <w:rFonts w:eastAsia="Times New Roman"/>
                <w:lang w:val="en-US"/>
              </w:rPr>
              <w:t>3 – 4.5</w:t>
            </w:r>
          </w:p>
        </w:tc>
      </w:tr>
      <w:tr w:rsidR="0022002B" w:rsidRPr="00BC1CA6" w:rsidTr="00661339">
        <w:tc>
          <w:tcPr>
            <w:tcW w:w="7683" w:type="dxa"/>
            <w:shd w:val="clear" w:color="auto" w:fill="auto"/>
          </w:tcPr>
          <w:p w:rsidR="0022002B" w:rsidRPr="00F3024D" w:rsidRDefault="0022002B" w:rsidP="0022002B">
            <w:pPr>
              <w:spacing w:before="120" w:after="120" w:line="240" w:lineRule="auto"/>
              <w:rPr>
                <w:rFonts w:eastAsia="Times New Roman"/>
                <w:lang w:val="en-US"/>
              </w:rPr>
            </w:pPr>
            <w:r w:rsidRPr="00F3024D">
              <w:rPr>
                <w:rFonts w:eastAsia="Times New Roman"/>
                <w:lang w:val="en-US"/>
              </w:rPr>
              <w:t>Does not meet the requirements of a D grade.</w:t>
            </w:r>
          </w:p>
        </w:tc>
        <w:tc>
          <w:tcPr>
            <w:tcW w:w="1078" w:type="dxa"/>
            <w:shd w:val="clear" w:color="auto" w:fill="auto"/>
          </w:tcPr>
          <w:p w:rsidR="0022002B" w:rsidRPr="00F3024D" w:rsidRDefault="0022002B" w:rsidP="0022002B">
            <w:pPr>
              <w:spacing w:before="120" w:after="0" w:line="240" w:lineRule="auto"/>
              <w:jc w:val="center"/>
              <w:rPr>
                <w:rFonts w:eastAsia="Times New Roman"/>
                <w:lang w:val="en-US"/>
              </w:rPr>
            </w:pPr>
            <w:r w:rsidRPr="00F3024D">
              <w:rPr>
                <w:rFonts w:eastAsia="Times New Roman"/>
                <w:lang w:val="en-US"/>
              </w:rPr>
              <w:t>0 – 2.5</w:t>
            </w:r>
          </w:p>
        </w:tc>
      </w:tr>
      <w:tr w:rsidR="0022002B" w:rsidRPr="00BC1CA6" w:rsidTr="00661339">
        <w:tc>
          <w:tcPr>
            <w:tcW w:w="7683" w:type="dxa"/>
            <w:shd w:val="clear" w:color="auto" w:fill="D0CECE" w:themeFill="background2" w:themeFillShade="E6"/>
          </w:tcPr>
          <w:p w:rsidR="0022002B" w:rsidRPr="009962BC" w:rsidRDefault="0022002B" w:rsidP="0022002B">
            <w:pPr>
              <w:spacing w:before="120" w:after="120" w:line="240" w:lineRule="auto"/>
              <w:rPr>
                <w:rFonts w:eastAsia="Times New Roman"/>
                <w:b/>
                <w:sz w:val="24"/>
                <w:szCs w:val="24"/>
                <w:lang w:val="en-US"/>
              </w:rPr>
            </w:pPr>
            <w:r w:rsidRPr="009962BC">
              <w:rPr>
                <w:rFonts w:eastAsia="Times New Roman"/>
                <w:b/>
                <w:sz w:val="24"/>
                <w:szCs w:val="24"/>
                <w:lang w:val="en-US"/>
              </w:rPr>
              <w:t>TOTAL</w:t>
            </w:r>
          </w:p>
        </w:tc>
        <w:tc>
          <w:tcPr>
            <w:tcW w:w="1078" w:type="dxa"/>
            <w:shd w:val="clear" w:color="auto" w:fill="D0CECE" w:themeFill="background2" w:themeFillShade="E6"/>
          </w:tcPr>
          <w:p w:rsidR="0022002B" w:rsidRPr="009962BC" w:rsidRDefault="0022002B" w:rsidP="0022002B">
            <w:pPr>
              <w:spacing w:before="120" w:after="0" w:line="240" w:lineRule="auto"/>
              <w:jc w:val="center"/>
              <w:rPr>
                <w:rFonts w:eastAsia="Times New Roman"/>
                <w:b/>
                <w:sz w:val="24"/>
                <w:szCs w:val="24"/>
                <w:lang w:val="en-US"/>
              </w:rPr>
            </w:pPr>
            <w:r w:rsidRPr="009962BC">
              <w:rPr>
                <w:rFonts w:eastAsia="Times New Roman"/>
                <w:b/>
                <w:sz w:val="24"/>
                <w:szCs w:val="24"/>
                <w:lang w:val="en-US"/>
              </w:rPr>
              <w:t>/30</w:t>
            </w:r>
          </w:p>
        </w:tc>
      </w:tr>
    </w:tbl>
    <w:p w:rsidR="007F0FCF" w:rsidRDefault="007F0FCF" w:rsidP="00F55982">
      <w:pPr>
        <w:spacing w:before="240"/>
      </w:pPr>
    </w:p>
    <w:sectPr w:rsidR="007F0FCF" w:rsidSect="00BC1C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45E1"/>
    <w:multiLevelType w:val="hybridMultilevel"/>
    <w:tmpl w:val="2ED648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252118"/>
    <w:multiLevelType w:val="hybridMultilevel"/>
    <w:tmpl w:val="9CB8AD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D8F75DF"/>
    <w:multiLevelType w:val="hybridMultilevel"/>
    <w:tmpl w:val="5CB623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AC12A2"/>
    <w:multiLevelType w:val="hybridMultilevel"/>
    <w:tmpl w:val="11C061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6F262D"/>
    <w:multiLevelType w:val="hybridMultilevel"/>
    <w:tmpl w:val="3648CF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FCF"/>
    <w:rsid w:val="00030FFA"/>
    <w:rsid w:val="00036510"/>
    <w:rsid w:val="00045905"/>
    <w:rsid w:val="00047D48"/>
    <w:rsid w:val="00055D66"/>
    <w:rsid w:val="00082640"/>
    <w:rsid w:val="001252A0"/>
    <w:rsid w:val="001925EC"/>
    <w:rsid w:val="001D51D1"/>
    <w:rsid w:val="0022002B"/>
    <w:rsid w:val="00226C3D"/>
    <w:rsid w:val="002564C3"/>
    <w:rsid w:val="00275F92"/>
    <w:rsid w:val="002A11E7"/>
    <w:rsid w:val="002B374D"/>
    <w:rsid w:val="002D2FAC"/>
    <w:rsid w:val="00313296"/>
    <w:rsid w:val="0032415D"/>
    <w:rsid w:val="003762F4"/>
    <w:rsid w:val="003D109E"/>
    <w:rsid w:val="003F145E"/>
    <w:rsid w:val="00407F02"/>
    <w:rsid w:val="00425920"/>
    <w:rsid w:val="00466E7C"/>
    <w:rsid w:val="00584122"/>
    <w:rsid w:val="005A2AD1"/>
    <w:rsid w:val="005A6927"/>
    <w:rsid w:val="006053AC"/>
    <w:rsid w:val="00615B58"/>
    <w:rsid w:val="00620055"/>
    <w:rsid w:val="00642487"/>
    <w:rsid w:val="00661339"/>
    <w:rsid w:val="00673EF6"/>
    <w:rsid w:val="006919D6"/>
    <w:rsid w:val="007B6B7F"/>
    <w:rsid w:val="007F0FCF"/>
    <w:rsid w:val="007F35B8"/>
    <w:rsid w:val="0081106D"/>
    <w:rsid w:val="00936683"/>
    <w:rsid w:val="00956AF1"/>
    <w:rsid w:val="009962BC"/>
    <w:rsid w:val="00A27B86"/>
    <w:rsid w:val="00A87901"/>
    <w:rsid w:val="00B2307A"/>
    <w:rsid w:val="00B823B7"/>
    <w:rsid w:val="00B967BC"/>
    <w:rsid w:val="00BC1CA6"/>
    <w:rsid w:val="00BD40AB"/>
    <w:rsid w:val="00C35784"/>
    <w:rsid w:val="00C359CF"/>
    <w:rsid w:val="00C44E61"/>
    <w:rsid w:val="00C85A99"/>
    <w:rsid w:val="00CA3DB9"/>
    <w:rsid w:val="00CB2F09"/>
    <w:rsid w:val="00CF1C39"/>
    <w:rsid w:val="00CF68A9"/>
    <w:rsid w:val="00D50F0D"/>
    <w:rsid w:val="00DA609A"/>
    <w:rsid w:val="00DD49D8"/>
    <w:rsid w:val="00DD6350"/>
    <w:rsid w:val="00E35DE3"/>
    <w:rsid w:val="00E44914"/>
    <w:rsid w:val="00E643A0"/>
    <w:rsid w:val="00E77549"/>
    <w:rsid w:val="00ED0317"/>
    <w:rsid w:val="00EE5422"/>
    <w:rsid w:val="00EF69C6"/>
    <w:rsid w:val="00F3024D"/>
    <w:rsid w:val="00F354B6"/>
    <w:rsid w:val="00F36FCE"/>
    <w:rsid w:val="00F55982"/>
    <w:rsid w:val="00FF08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B0BA"/>
  <w15:docId w15:val="{7669C050-B527-4EFF-B2DD-50D29A83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CF"/>
    <w:pPr>
      <w:ind w:left="720"/>
      <w:contextualSpacing/>
    </w:pPr>
  </w:style>
  <w:style w:type="paragraph" w:styleId="BalloonText">
    <w:name w:val="Balloon Text"/>
    <w:basedOn w:val="Normal"/>
    <w:link w:val="BalloonTextChar"/>
    <w:uiPriority w:val="99"/>
    <w:semiHidden/>
    <w:unhideWhenUsed/>
    <w:rsid w:val="00996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2BC"/>
    <w:rPr>
      <w:rFonts w:ascii="Segoe UI" w:hAnsi="Segoe UI" w:cs="Segoe UI"/>
      <w:sz w:val="18"/>
      <w:szCs w:val="18"/>
    </w:rPr>
  </w:style>
  <w:style w:type="table" w:styleId="TableGrid">
    <w:name w:val="Table Grid"/>
    <w:basedOn w:val="TableNormal"/>
    <w:uiPriority w:val="39"/>
    <w:rsid w:val="00CF6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0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bs.com.au/cronullariots/documentar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B3919BCF</Template>
  <TotalTime>18</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Hobson</dc:creator>
  <cp:lastModifiedBy>LAVAN Denise [Narrogin Senior High School]</cp:lastModifiedBy>
  <cp:revision>9</cp:revision>
  <cp:lastPrinted>2019-05-07T02:47:00Z</cp:lastPrinted>
  <dcterms:created xsi:type="dcterms:W3CDTF">2019-05-07T00:07:00Z</dcterms:created>
  <dcterms:modified xsi:type="dcterms:W3CDTF">2019-05-07T02:59:00Z</dcterms:modified>
</cp:coreProperties>
</file>