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9E1" w:rsidRPr="00904BEC" w:rsidRDefault="004819E1" w:rsidP="004819E1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</w:rPr>
      </w:pPr>
      <w:r w:rsidRPr="00904BEC">
        <w:rPr>
          <w:rFonts w:ascii="Arial" w:hAnsi="Arial" w:cs="Arial"/>
          <w:b w:val="0"/>
          <w:noProof/>
          <w:sz w:val="32"/>
          <w:szCs w:val="28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7ACEF68C" wp14:editId="70D55649">
            <wp:simplePos x="0" y="0"/>
            <wp:positionH relativeFrom="column">
              <wp:posOffset>-219075</wp:posOffset>
            </wp:positionH>
            <wp:positionV relativeFrom="paragraph">
              <wp:posOffset>-333375</wp:posOffset>
            </wp:positionV>
            <wp:extent cx="812165" cy="800100"/>
            <wp:effectExtent l="0" t="0" r="6985" b="0"/>
            <wp:wrapTight wrapText="bothSides">
              <wp:wrapPolygon edited="0">
                <wp:start x="0" y="0"/>
                <wp:lineTo x="0" y="21086"/>
                <wp:lineTo x="21279" y="21086"/>
                <wp:lineTo x="21279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BEC">
        <w:rPr>
          <w:rFonts w:ascii="Arial" w:hAnsi="Arial" w:cs="Arial"/>
          <w:b w:val="0"/>
          <w:sz w:val="32"/>
          <w:szCs w:val="28"/>
        </w:rPr>
        <w:t xml:space="preserve">Name: </w:t>
      </w:r>
      <w:r w:rsidR="00904BEC">
        <w:rPr>
          <w:rFonts w:ascii="Arial" w:hAnsi="Arial" w:cs="Arial"/>
          <w:b w:val="0"/>
          <w:sz w:val="32"/>
          <w:szCs w:val="28"/>
        </w:rPr>
        <w:t>__________________________</w:t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Pr="00904BEC">
        <w:rPr>
          <w:rFonts w:ascii="Arial" w:hAnsi="Arial" w:cs="Arial"/>
          <w:b w:val="0"/>
          <w:sz w:val="32"/>
          <w:szCs w:val="28"/>
        </w:rPr>
        <w:tab/>
      </w:r>
      <w:r w:rsidR="00B90A16">
        <w:rPr>
          <w:rFonts w:ascii="Arial" w:hAnsi="Arial" w:cs="Arial"/>
          <w:b w:val="0"/>
          <w:i/>
          <w:sz w:val="28"/>
        </w:rPr>
        <w:t xml:space="preserve">My Target:  _________ / </w:t>
      </w:r>
      <w:r w:rsidR="003676FF">
        <w:rPr>
          <w:rFonts w:ascii="Arial" w:hAnsi="Arial" w:cs="Arial"/>
          <w:b w:val="0"/>
          <w:i/>
          <w:sz w:val="28"/>
        </w:rPr>
        <w:t>43</w:t>
      </w:r>
      <w:r w:rsidR="006F271D" w:rsidRPr="00904BEC">
        <w:rPr>
          <w:rFonts w:ascii="Arial" w:hAnsi="Arial" w:cs="Arial"/>
          <w:b w:val="0"/>
          <w:i/>
          <w:sz w:val="28"/>
        </w:rPr>
        <w:t xml:space="preserve"> or</w:t>
      </w:r>
      <w:r w:rsidRPr="00904BEC">
        <w:rPr>
          <w:rFonts w:ascii="Arial" w:hAnsi="Arial" w:cs="Arial"/>
          <w:b w:val="0"/>
          <w:i/>
          <w:sz w:val="28"/>
        </w:rPr>
        <w:t xml:space="preserve"> ________ %</w:t>
      </w:r>
    </w:p>
    <w:p w:rsidR="004819E1" w:rsidRDefault="005429EE" w:rsidP="005429EE">
      <w:pPr>
        <w:pStyle w:val="Title"/>
        <w:ind w:right="-720"/>
        <w:jc w:val="left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</w:t>
      </w:r>
      <w:r w:rsidR="00F12192">
        <w:rPr>
          <w:rFonts w:ascii="Arial" w:hAnsi="Arial" w:cs="Arial"/>
          <w:sz w:val="24"/>
        </w:rPr>
        <w:t>Year 10</w:t>
      </w:r>
      <w:r w:rsidR="006F271D" w:rsidRPr="006F271D">
        <w:rPr>
          <w:rFonts w:ascii="Arial" w:hAnsi="Arial" w:cs="Arial"/>
          <w:sz w:val="24"/>
        </w:rPr>
        <w:t xml:space="preserve"> Humanities and Social Sciences</w:t>
      </w:r>
      <w:r w:rsidR="00813A57">
        <w:rPr>
          <w:rFonts w:ascii="Arial" w:hAnsi="Arial" w:cs="Arial"/>
          <w:sz w:val="24"/>
        </w:rPr>
        <w:t xml:space="preserve"> </w:t>
      </w:r>
      <w:r w:rsidR="00813A57" w:rsidRPr="006F271D">
        <w:rPr>
          <w:rFonts w:ascii="Arial" w:hAnsi="Arial" w:cs="Arial"/>
          <w:sz w:val="24"/>
        </w:rPr>
        <w:t>–</w:t>
      </w:r>
      <w:r w:rsidR="00813A57">
        <w:rPr>
          <w:rFonts w:ascii="Arial" w:hAnsi="Arial" w:cs="Arial"/>
          <w:sz w:val="24"/>
        </w:rPr>
        <w:t xml:space="preserve"> </w:t>
      </w:r>
      <w:r w:rsidR="00904BEC" w:rsidRPr="006F271D">
        <w:rPr>
          <w:rFonts w:ascii="Arial" w:hAnsi="Arial" w:cs="Arial"/>
          <w:sz w:val="24"/>
        </w:rPr>
        <w:t xml:space="preserve">Task </w:t>
      </w:r>
      <w:r w:rsidR="00F12192">
        <w:rPr>
          <w:rFonts w:ascii="Arial" w:hAnsi="Arial" w:cs="Arial"/>
          <w:sz w:val="24"/>
        </w:rPr>
        <w:t>5 – Economics and Business</w:t>
      </w:r>
      <w:r w:rsidR="004819E1" w:rsidRPr="006F271D">
        <w:rPr>
          <w:rFonts w:ascii="Arial" w:hAnsi="Arial" w:cs="Arial"/>
          <w:sz w:val="24"/>
        </w:rPr>
        <w:t xml:space="preserve"> –</w:t>
      </w:r>
      <w:r w:rsidR="00F12192">
        <w:rPr>
          <w:rFonts w:ascii="Arial" w:hAnsi="Arial" w:cs="Arial"/>
          <w:sz w:val="24"/>
        </w:rPr>
        <w:t xml:space="preserve"> </w:t>
      </w:r>
      <w:r w:rsidR="004819E1" w:rsidRPr="006F271D">
        <w:rPr>
          <w:rFonts w:ascii="Arial" w:hAnsi="Arial" w:cs="Arial"/>
          <w:sz w:val="24"/>
        </w:rPr>
        <w:t>Rubric/Marking Guide</w:t>
      </w:r>
    </w:p>
    <w:p w:rsidR="006F271D" w:rsidRPr="00D15D4E" w:rsidRDefault="00F12192" w:rsidP="006F271D">
      <w:pPr>
        <w:ind w:left="720" w:firstLine="720"/>
        <w:jc w:val="center"/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Inquiry/Homework Task – Topic: Indicators of Economic Performance (5%)</w:t>
      </w:r>
      <w:r w:rsidR="00D33598">
        <w:rPr>
          <w:rFonts w:ascii="Arial" w:hAnsi="Arial" w:cs="Arial"/>
          <w:b/>
          <w:szCs w:val="32"/>
        </w:rPr>
        <w:t xml:space="preserve">     </w:t>
      </w:r>
      <w:r w:rsidR="005429EE">
        <w:rPr>
          <w:rFonts w:ascii="Arial" w:hAnsi="Arial" w:cs="Arial"/>
          <w:b/>
          <w:szCs w:val="32"/>
        </w:rPr>
        <w:t>(43</w:t>
      </w:r>
      <w:r w:rsidR="00D33598">
        <w:rPr>
          <w:rFonts w:ascii="Arial" w:hAnsi="Arial" w:cs="Arial"/>
          <w:b/>
          <w:szCs w:val="32"/>
        </w:rPr>
        <w:t xml:space="preserve"> marks)</w:t>
      </w:r>
    </w:p>
    <w:tbl>
      <w:tblPr>
        <w:tblStyle w:val="TableGrid"/>
        <w:tblW w:w="15276" w:type="dxa"/>
        <w:tblLook w:val="04A0" w:firstRow="1" w:lastRow="0" w:firstColumn="1" w:lastColumn="0" w:noHBand="0" w:noVBand="1"/>
      </w:tblPr>
      <w:tblGrid>
        <w:gridCol w:w="1662"/>
        <w:gridCol w:w="3691"/>
        <w:gridCol w:w="4111"/>
        <w:gridCol w:w="4111"/>
        <w:gridCol w:w="1701"/>
      </w:tblGrid>
      <w:tr w:rsidR="00F12192" w:rsidRPr="00C942FA" w:rsidTr="00D33598">
        <w:tc>
          <w:tcPr>
            <w:tcW w:w="1662" w:type="dxa"/>
            <w:shd w:val="clear" w:color="auto" w:fill="A6A6A6" w:themeFill="background1" w:themeFillShade="A6"/>
          </w:tcPr>
          <w:p w:rsidR="00F12192" w:rsidRPr="006F271D" w:rsidRDefault="00F12192" w:rsidP="00DF2ACF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 </w:t>
            </w:r>
          </w:p>
          <w:p w:rsidR="00F12192" w:rsidRPr="00C942FA" w:rsidRDefault="00F12192" w:rsidP="00DF2ACF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</w:tc>
        <w:tc>
          <w:tcPr>
            <w:tcW w:w="3691" w:type="dxa"/>
            <w:shd w:val="clear" w:color="auto" w:fill="A6A6A6" w:themeFill="background1" w:themeFillShade="A6"/>
            <w:vAlign w:val="center"/>
          </w:tcPr>
          <w:p w:rsidR="00F12192" w:rsidRPr="006F271D" w:rsidRDefault="00835A74" w:rsidP="00DF2ACF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0 - 3</w:t>
            </w:r>
          </w:p>
        </w:tc>
        <w:tc>
          <w:tcPr>
            <w:tcW w:w="4111" w:type="dxa"/>
            <w:shd w:val="clear" w:color="auto" w:fill="A6A6A6" w:themeFill="background1" w:themeFillShade="A6"/>
            <w:vAlign w:val="center"/>
          </w:tcPr>
          <w:p w:rsidR="00F12192" w:rsidRPr="006F271D" w:rsidRDefault="00835A74" w:rsidP="00DF2ACF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4 - 6</w:t>
            </w:r>
          </w:p>
        </w:tc>
        <w:tc>
          <w:tcPr>
            <w:tcW w:w="4111" w:type="dxa"/>
            <w:shd w:val="clear" w:color="auto" w:fill="A6A6A6" w:themeFill="background1" w:themeFillShade="A6"/>
            <w:vAlign w:val="center"/>
          </w:tcPr>
          <w:p w:rsidR="00F12192" w:rsidRPr="006F271D" w:rsidRDefault="00835A74" w:rsidP="00DF2ACF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7 - 9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F12192" w:rsidRPr="00C942FA" w:rsidRDefault="00F12192" w:rsidP="00DF2ACF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20"/>
              </w:rPr>
            </w:pPr>
            <w:r w:rsidRPr="00813A57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Subtotal</w:t>
            </w:r>
          </w:p>
        </w:tc>
      </w:tr>
      <w:tr w:rsidR="00F12192" w:rsidRPr="00C942FA" w:rsidTr="00DA1DD6">
        <w:trPr>
          <w:trHeight w:val="1197"/>
        </w:trPr>
        <w:tc>
          <w:tcPr>
            <w:tcW w:w="1662" w:type="dxa"/>
            <w:shd w:val="clear" w:color="auto" w:fill="BFBFBF" w:themeFill="background1" w:themeFillShade="BF"/>
            <w:vAlign w:val="center"/>
          </w:tcPr>
          <w:p w:rsidR="00F12192" w:rsidRDefault="00F12192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Graphic Organiser 1</w:t>
            </w:r>
          </w:p>
          <w:p w:rsidR="00F12192" w:rsidRDefault="00F12192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F12192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F12192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Pr="006F271D" w:rsidRDefault="00F12192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691" w:type="dxa"/>
            <w:shd w:val="clear" w:color="auto" w:fill="auto"/>
            <w:vAlign w:val="center"/>
          </w:tcPr>
          <w:p w:rsidR="003B7522" w:rsidRDefault="003B7522" w:rsidP="00F12192">
            <w:pPr>
              <w:rPr>
                <w:rFonts w:ascii="Arial" w:hAnsi="Arial" w:cs="Arial"/>
                <w:sz w:val="16"/>
                <w:szCs w:val="20"/>
              </w:rPr>
            </w:pPr>
          </w:p>
          <w:p w:rsidR="00F12192" w:rsidRPr="00C942FA" w:rsidRDefault="00F12192" w:rsidP="00F1219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Provides a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basic and</w:t>
            </w:r>
            <w:r>
              <w:rPr>
                <w:rFonts w:ascii="Arial" w:hAnsi="Arial" w:cs="Arial"/>
                <w:sz w:val="16"/>
                <w:szCs w:val="20"/>
              </w:rPr>
              <w:t xml:space="preserve"> limited definition and basic explanation about the economic indicators, such as </w:t>
            </w:r>
            <w:r w:rsidRPr="003B7522">
              <w:rPr>
                <w:rFonts w:ascii="Arial" w:hAnsi="Arial" w:cs="Arial"/>
                <w:i/>
                <w:sz w:val="16"/>
                <w:szCs w:val="20"/>
              </w:rPr>
              <w:t xml:space="preserve">economic growth rate, unemployment rate </w:t>
            </w:r>
            <w:r w:rsidRPr="003B7522">
              <w:rPr>
                <w:rFonts w:ascii="Arial" w:hAnsi="Arial" w:cs="Arial"/>
                <w:sz w:val="16"/>
                <w:szCs w:val="20"/>
              </w:rPr>
              <w:t>and</w:t>
            </w:r>
            <w:r w:rsidRPr="003B7522">
              <w:rPr>
                <w:rFonts w:ascii="Arial" w:hAnsi="Arial" w:cs="Arial"/>
                <w:i/>
                <w:sz w:val="16"/>
                <w:szCs w:val="20"/>
              </w:rPr>
              <w:t xml:space="preserve"> inflation rate.</w:t>
            </w:r>
            <w:r>
              <w:rPr>
                <w:rFonts w:ascii="Arial" w:hAnsi="Arial" w:cs="Arial"/>
                <w:sz w:val="16"/>
                <w:szCs w:val="20"/>
              </w:rPr>
              <w:t xml:space="preserve"> Provides limited information about how 1-2 indicators are calculated. Provides one basic pro and one basic con. Limited examples provided in relation to Australia.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F12192" w:rsidRPr="00C942FA" w:rsidRDefault="00835A74" w:rsidP="003B752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Selects a somewhat appropriate graphic organiser. 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Provides a somewhat detailed definition and some key information in the explanation about the economic indicators, such as </w:t>
            </w:r>
            <w:r w:rsidR="003B7522" w:rsidRPr="003B7522">
              <w:rPr>
                <w:rFonts w:ascii="Arial" w:hAnsi="Arial" w:cs="Arial"/>
                <w:i/>
                <w:sz w:val="16"/>
                <w:szCs w:val="20"/>
              </w:rPr>
              <w:t xml:space="preserve">economic growth rate, unemployment rate </w:t>
            </w:r>
            <w:r w:rsidR="003B7522" w:rsidRPr="003B7522">
              <w:rPr>
                <w:rFonts w:ascii="Arial" w:hAnsi="Arial" w:cs="Arial"/>
                <w:sz w:val="16"/>
                <w:szCs w:val="20"/>
              </w:rPr>
              <w:t>and</w:t>
            </w:r>
            <w:r w:rsidR="003B7522" w:rsidRPr="003B7522">
              <w:rPr>
                <w:rFonts w:ascii="Arial" w:hAnsi="Arial" w:cs="Arial"/>
                <w:i/>
                <w:sz w:val="16"/>
                <w:szCs w:val="20"/>
              </w:rPr>
              <w:t xml:space="preserve"> inflation rate.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Provides general information about how most indicators are calculated. Provides two basic pros and two basic cons. Some examples provided in relation to Australia.</w:t>
            </w:r>
            <w:r w:rsidR="00F12192" w:rsidRPr="00C942FA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835A74" w:rsidRDefault="00835A74" w:rsidP="003B7522">
            <w:pPr>
              <w:rPr>
                <w:rFonts w:ascii="Arial" w:hAnsi="Arial" w:cs="Arial"/>
                <w:sz w:val="16"/>
                <w:szCs w:val="20"/>
              </w:rPr>
            </w:pPr>
          </w:p>
          <w:p w:rsidR="00F12192" w:rsidRPr="00C942FA" w:rsidRDefault="00835A74" w:rsidP="003B752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Selects an appropriate graphic organiser. 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Provides a detailed and accurate definition and key but generally brief information in the explanation about the economic indicators, such as </w:t>
            </w:r>
            <w:r w:rsidR="003B7522" w:rsidRPr="003B7522">
              <w:rPr>
                <w:rFonts w:ascii="Arial" w:hAnsi="Arial" w:cs="Arial"/>
                <w:i/>
                <w:sz w:val="16"/>
                <w:szCs w:val="20"/>
              </w:rPr>
              <w:t xml:space="preserve">economic growth rate, unemployment rate </w:t>
            </w:r>
            <w:r w:rsidR="003B7522" w:rsidRPr="003B7522">
              <w:rPr>
                <w:rFonts w:ascii="Arial" w:hAnsi="Arial" w:cs="Arial"/>
                <w:sz w:val="16"/>
                <w:szCs w:val="20"/>
              </w:rPr>
              <w:t xml:space="preserve">and </w:t>
            </w:r>
            <w:r w:rsidR="003B7522" w:rsidRPr="003B7522">
              <w:rPr>
                <w:rFonts w:ascii="Arial" w:hAnsi="Arial" w:cs="Arial"/>
                <w:i/>
                <w:sz w:val="16"/>
                <w:szCs w:val="20"/>
              </w:rPr>
              <w:t>inflation rate.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Provides clear and concise information about how all indicators are calculated. Provides two detailed pros and two detailed cons. Provides a few comprehensive examples in relation to Australia.</w:t>
            </w:r>
          </w:p>
        </w:tc>
        <w:tc>
          <w:tcPr>
            <w:tcW w:w="1701" w:type="dxa"/>
          </w:tcPr>
          <w:p w:rsidR="00F12192" w:rsidRDefault="00F12192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Pr="00D33598" w:rsidRDefault="004360D4" w:rsidP="00DF2ACF">
            <w:pPr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</w:rPr>
              <w:t xml:space="preserve">             </w:t>
            </w:r>
            <w:r w:rsidR="005429EE">
              <w:rPr>
                <w:rFonts w:ascii="Arial" w:hAnsi="Arial" w:cs="Arial"/>
                <w:b/>
              </w:rPr>
              <w:t>/   9</w:t>
            </w:r>
          </w:p>
        </w:tc>
      </w:tr>
      <w:tr w:rsidR="00F12192" w:rsidRPr="00C942FA" w:rsidTr="00DA1DD6">
        <w:tc>
          <w:tcPr>
            <w:tcW w:w="1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192" w:rsidRDefault="00F12192" w:rsidP="00CD61D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Graphic Organiser 2</w:t>
            </w:r>
          </w:p>
          <w:p w:rsidR="00F12192" w:rsidRDefault="00F12192" w:rsidP="00CD61D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F12192" w:rsidP="00CD61D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F12192" w:rsidP="00CD61D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Pr="006F271D" w:rsidRDefault="00F12192" w:rsidP="00CD61D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6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7522" w:rsidRDefault="003B7522" w:rsidP="003B7522">
            <w:pPr>
              <w:rPr>
                <w:rFonts w:ascii="Arial" w:hAnsi="Arial" w:cs="Arial"/>
                <w:sz w:val="16"/>
                <w:szCs w:val="20"/>
              </w:rPr>
            </w:pPr>
          </w:p>
          <w:p w:rsidR="00F12192" w:rsidRPr="00C942FA" w:rsidRDefault="003B7522" w:rsidP="003B752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Provides a basic and limited definition and basic explanation about </w:t>
            </w:r>
            <w:r w:rsidR="004360D4">
              <w:rPr>
                <w:rFonts w:ascii="Arial" w:hAnsi="Arial" w:cs="Arial"/>
                <w:sz w:val="16"/>
                <w:szCs w:val="20"/>
              </w:rPr>
              <w:t>the broader measures of the population’s wellbeing</w:t>
            </w:r>
            <w:r>
              <w:rPr>
                <w:rFonts w:ascii="Arial" w:hAnsi="Arial" w:cs="Arial"/>
                <w:sz w:val="16"/>
                <w:szCs w:val="20"/>
              </w:rPr>
              <w:t>, such as</w:t>
            </w:r>
            <w:r>
              <w:rPr>
                <w:rFonts w:ascii="Arial" w:hAnsi="Arial" w:cs="Arial"/>
                <w:i/>
                <w:sz w:val="16"/>
                <w:szCs w:val="20"/>
              </w:rPr>
              <w:t xml:space="preserve"> Human Development Index, Better Life Index </w:t>
            </w:r>
            <w:r>
              <w:rPr>
                <w:rFonts w:ascii="Arial" w:hAnsi="Arial" w:cs="Arial"/>
                <w:sz w:val="16"/>
                <w:szCs w:val="20"/>
              </w:rPr>
              <w:t xml:space="preserve">and </w:t>
            </w:r>
            <w:r>
              <w:rPr>
                <w:rFonts w:ascii="Arial" w:hAnsi="Arial" w:cs="Arial"/>
                <w:i/>
                <w:sz w:val="16"/>
                <w:szCs w:val="20"/>
              </w:rPr>
              <w:t>Sustainability indexes</w:t>
            </w:r>
            <w:r w:rsidRPr="003B7522">
              <w:rPr>
                <w:rFonts w:ascii="Arial" w:hAnsi="Arial" w:cs="Arial"/>
                <w:i/>
                <w:sz w:val="16"/>
                <w:szCs w:val="20"/>
              </w:rPr>
              <w:t>.</w:t>
            </w:r>
            <w:r>
              <w:rPr>
                <w:rFonts w:ascii="Arial" w:hAnsi="Arial" w:cs="Arial"/>
                <w:sz w:val="16"/>
                <w:szCs w:val="20"/>
              </w:rPr>
              <w:t xml:space="preserve"> Provides limited information about how 1-2 indicators are calculated. Provides one basic pro and one basic con. Limited examples provided in relation to Australia.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2192" w:rsidRPr="004360D4" w:rsidRDefault="003B7522" w:rsidP="004360D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Provides a somewhat detailed definition and some key information in the explanation about the</w:t>
            </w:r>
            <w:r w:rsidR="004360D4">
              <w:rPr>
                <w:rFonts w:ascii="Arial" w:hAnsi="Arial" w:cs="Arial"/>
                <w:sz w:val="16"/>
                <w:szCs w:val="20"/>
              </w:rPr>
              <w:t xml:space="preserve"> broader measures of the population’s wellbeing</w:t>
            </w:r>
            <w:r>
              <w:rPr>
                <w:rFonts w:ascii="Arial" w:hAnsi="Arial" w:cs="Arial"/>
                <w:sz w:val="16"/>
                <w:szCs w:val="20"/>
              </w:rPr>
              <w:t>, such as</w:t>
            </w:r>
            <w:r>
              <w:rPr>
                <w:rFonts w:ascii="Arial" w:hAnsi="Arial" w:cs="Arial"/>
                <w:i/>
                <w:sz w:val="16"/>
                <w:szCs w:val="20"/>
              </w:rPr>
              <w:t xml:space="preserve"> Human Development Index, Better Life Index </w:t>
            </w:r>
            <w:r>
              <w:rPr>
                <w:rFonts w:ascii="Arial" w:hAnsi="Arial" w:cs="Arial"/>
                <w:sz w:val="16"/>
                <w:szCs w:val="20"/>
              </w:rPr>
              <w:t xml:space="preserve">and </w:t>
            </w:r>
            <w:r>
              <w:rPr>
                <w:rFonts w:ascii="Arial" w:hAnsi="Arial" w:cs="Arial"/>
                <w:i/>
                <w:sz w:val="16"/>
                <w:szCs w:val="20"/>
              </w:rPr>
              <w:t>Sustainability indexes</w:t>
            </w:r>
            <w:r w:rsidRPr="003B7522">
              <w:rPr>
                <w:rFonts w:ascii="Arial" w:hAnsi="Arial" w:cs="Arial"/>
                <w:i/>
                <w:sz w:val="16"/>
                <w:szCs w:val="20"/>
              </w:rPr>
              <w:t>.</w:t>
            </w:r>
            <w:r>
              <w:rPr>
                <w:rFonts w:ascii="Arial" w:hAnsi="Arial" w:cs="Arial"/>
                <w:sz w:val="16"/>
                <w:szCs w:val="20"/>
              </w:rPr>
              <w:t xml:space="preserve"> Provides general information about how most indicators are calculated. Provides two basic pros and two basic cons. Some examples provided in relation to Australia.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60D4" w:rsidRDefault="003B7522" w:rsidP="003B752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Provides a detailed and accurate definition and key but generally brief information in the explanation about the</w:t>
            </w:r>
          </w:p>
          <w:p w:rsidR="00F12192" w:rsidRPr="00C942FA" w:rsidRDefault="004360D4" w:rsidP="003B7522">
            <w:pPr>
              <w:rPr>
                <w:rFonts w:ascii="Arial" w:hAnsi="Arial" w:cs="Arial"/>
                <w:sz w:val="16"/>
                <w:szCs w:val="20"/>
              </w:rPr>
            </w:pPr>
            <w:proofErr w:type="gramStart"/>
            <w:r>
              <w:rPr>
                <w:rFonts w:ascii="Arial" w:hAnsi="Arial" w:cs="Arial"/>
                <w:sz w:val="16"/>
                <w:szCs w:val="20"/>
              </w:rPr>
              <w:t>broader</w:t>
            </w:r>
            <w:proofErr w:type="gramEnd"/>
            <w:r>
              <w:rPr>
                <w:rFonts w:ascii="Arial" w:hAnsi="Arial" w:cs="Arial"/>
                <w:sz w:val="16"/>
                <w:szCs w:val="20"/>
              </w:rPr>
              <w:t xml:space="preserve"> measures of the population’s wellbeing, 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such as </w:t>
            </w:r>
            <w:r w:rsidR="003B7522">
              <w:rPr>
                <w:rFonts w:ascii="Arial" w:hAnsi="Arial" w:cs="Arial"/>
                <w:i/>
                <w:sz w:val="16"/>
                <w:szCs w:val="20"/>
              </w:rPr>
              <w:t xml:space="preserve">Human Development Index, Better Life Index 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and </w:t>
            </w:r>
            <w:r w:rsidR="003B7522">
              <w:rPr>
                <w:rFonts w:ascii="Arial" w:hAnsi="Arial" w:cs="Arial"/>
                <w:i/>
                <w:sz w:val="16"/>
                <w:szCs w:val="20"/>
              </w:rPr>
              <w:t>Sustainability indexes</w:t>
            </w:r>
            <w:r w:rsidR="003B7522" w:rsidRPr="003B7522">
              <w:rPr>
                <w:rFonts w:ascii="Arial" w:hAnsi="Arial" w:cs="Arial"/>
                <w:i/>
                <w:sz w:val="16"/>
                <w:szCs w:val="20"/>
              </w:rPr>
              <w:t>.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="003B7522">
              <w:rPr>
                <w:rFonts w:ascii="Arial" w:hAnsi="Arial" w:cs="Arial"/>
                <w:sz w:val="16"/>
                <w:szCs w:val="20"/>
              </w:rPr>
              <w:t>Provides clear and concise information about how all indicators are calculated. Provides two detailed pros and two detailed cons. Provides a few comprehensive examples in relation to Australia.</w:t>
            </w:r>
          </w:p>
        </w:tc>
        <w:tc>
          <w:tcPr>
            <w:tcW w:w="1701" w:type="dxa"/>
          </w:tcPr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         </w:t>
            </w: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F12192" w:rsidRPr="00D33598" w:rsidRDefault="004360D4" w:rsidP="00DF2ACF">
            <w:pPr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</w:rPr>
              <w:t xml:space="preserve">             </w:t>
            </w:r>
            <w:r w:rsidR="005429EE">
              <w:rPr>
                <w:rFonts w:ascii="Arial" w:hAnsi="Arial" w:cs="Arial"/>
                <w:b/>
              </w:rPr>
              <w:t>/   9</w:t>
            </w:r>
          </w:p>
        </w:tc>
      </w:tr>
      <w:tr w:rsidR="00F12192" w:rsidRPr="00C942FA" w:rsidTr="00DA1DD6">
        <w:tc>
          <w:tcPr>
            <w:tcW w:w="1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192" w:rsidRDefault="00F12192" w:rsidP="00B90A1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Graphic Organiser 3</w:t>
            </w:r>
          </w:p>
          <w:p w:rsidR="00F12192" w:rsidRDefault="00F12192" w:rsidP="00B90A1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F12192" w:rsidP="00B90A1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F12192" w:rsidP="00B90A1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Pr="006F271D" w:rsidRDefault="00F12192" w:rsidP="00B90A1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6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2192" w:rsidRPr="00C942FA" w:rsidRDefault="00DA1DD6" w:rsidP="00DA1DD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Provides </w:t>
            </w:r>
            <w:r>
              <w:rPr>
                <w:rFonts w:ascii="Arial" w:hAnsi="Arial" w:cs="Arial"/>
                <w:sz w:val="16"/>
                <w:szCs w:val="20"/>
              </w:rPr>
              <w:t xml:space="preserve">basic and limited examples in relation to Australia </w:t>
            </w:r>
            <w:r>
              <w:rPr>
                <w:rFonts w:ascii="Arial" w:hAnsi="Arial" w:cs="Arial"/>
                <w:sz w:val="16"/>
                <w:szCs w:val="20"/>
              </w:rPr>
              <w:t>economic performance (How is Australia’s economy performing)</w:t>
            </w:r>
            <w:r>
              <w:rPr>
                <w:rFonts w:ascii="Arial" w:hAnsi="Arial" w:cs="Arial"/>
                <w:sz w:val="16"/>
                <w:szCs w:val="20"/>
              </w:rPr>
              <w:t xml:space="preserve">. The examples have some relevance to economic indicators and broader measures of the population’s wellbeing. 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2192" w:rsidRPr="00C942FA" w:rsidRDefault="00DA1DD6" w:rsidP="00DA1DD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Provides</w:t>
            </w:r>
            <w:r>
              <w:rPr>
                <w:rFonts w:ascii="Arial" w:hAnsi="Arial" w:cs="Arial"/>
                <w:sz w:val="16"/>
                <w:szCs w:val="20"/>
              </w:rPr>
              <w:t xml:space="preserve"> somewhat</w:t>
            </w:r>
            <w:r>
              <w:rPr>
                <w:rFonts w:ascii="Arial" w:hAnsi="Arial" w:cs="Arial"/>
                <w:sz w:val="16"/>
                <w:szCs w:val="20"/>
              </w:rPr>
              <w:t xml:space="preserve"> detailed </w:t>
            </w:r>
            <w:r>
              <w:rPr>
                <w:rFonts w:ascii="Arial" w:hAnsi="Arial" w:cs="Arial"/>
                <w:sz w:val="16"/>
                <w:szCs w:val="20"/>
              </w:rPr>
              <w:t>examples in relation to A</w:t>
            </w:r>
            <w:r>
              <w:rPr>
                <w:rFonts w:ascii="Arial" w:hAnsi="Arial" w:cs="Arial"/>
                <w:sz w:val="16"/>
                <w:szCs w:val="20"/>
              </w:rPr>
              <w:t xml:space="preserve">ustralia </w:t>
            </w:r>
            <w:r>
              <w:rPr>
                <w:rFonts w:ascii="Arial" w:hAnsi="Arial" w:cs="Arial"/>
                <w:sz w:val="16"/>
                <w:szCs w:val="20"/>
              </w:rPr>
              <w:t>economic performance (How is Australia’s economy performing)</w:t>
            </w:r>
            <w:r>
              <w:rPr>
                <w:rFonts w:ascii="Arial" w:hAnsi="Arial" w:cs="Arial"/>
                <w:sz w:val="16"/>
                <w:szCs w:val="20"/>
              </w:rPr>
              <w:t>. The examples generally have</w:t>
            </w:r>
            <w:r>
              <w:rPr>
                <w:rFonts w:ascii="Arial" w:hAnsi="Arial" w:cs="Arial"/>
                <w:sz w:val="16"/>
                <w:szCs w:val="20"/>
              </w:rPr>
              <w:t xml:space="preserve"> relevance to economic indicators and broader measures of the population’s wellbeing.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2192" w:rsidRPr="00C942FA" w:rsidRDefault="00DA1DD6" w:rsidP="00DA1DD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Provides </w:t>
            </w:r>
            <w:r>
              <w:rPr>
                <w:rFonts w:ascii="Arial" w:hAnsi="Arial" w:cs="Arial"/>
                <w:sz w:val="16"/>
                <w:szCs w:val="20"/>
              </w:rPr>
              <w:t>detailed and accurate</w:t>
            </w:r>
            <w:r>
              <w:rPr>
                <w:rFonts w:ascii="Arial" w:hAnsi="Arial" w:cs="Arial"/>
                <w:sz w:val="16"/>
                <w:szCs w:val="20"/>
              </w:rPr>
              <w:t xml:space="preserve"> examples </w:t>
            </w:r>
            <w:r>
              <w:rPr>
                <w:rFonts w:ascii="Arial" w:hAnsi="Arial" w:cs="Arial"/>
                <w:sz w:val="16"/>
                <w:szCs w:val="20"/>
              </w:rPr>
              <w:t>in relation to Australia</w:t>
            </w:r>
            <w:r>
              <w:rPr>
                <w:rFonts w:ascii="Arial" w:hAnsi="Arial" w:cs="Arial"/>
                <w:sz w:val="16"/>
                <w:szCs w:val="20"/>
              </w:rPr>
              <w:t>’s economic performance (How is Australia’s economy performing)</w:t>
            </w:r>
            <w:r>
              <w:rPr>
                <w:rFonts w:ascii="Arial" w:hAnsi="Arial" w:cs="Arial"/>
                <w:sz w:val="16"/>
                <w:szCs w:val="20"/>
              </w:rPr>
              <w:t>. The examples generally have relevance to economic indicators and broader measures of the population’s wellbeing.</w:t>
            </w:r>
          </w:p>
        </w:tc>
        <w:tc>
          <w:tcPr>
            <w:tcW w:w="1701" w:type="dxa"/>
          </w:tcPr>
          <w:p w:rsidR="004360D4" w:rsidRDefault="004360D4" w:rsidP="00DF2ACF">
            <w:pPr>
              <w:rPr>
                <w:rFonts w:ascii="Arial" w:hAnsi="Arial" w:cs="Arial"/>
              </w:rPr>
            </w:pPr>
          </w:p>
          <w:p w:rsidR="004360D4" w:rsidRDefault="004360D4" w:rsidP="00DF2ACF">
            <w:pPr>
              <w:rPr>
                <w:rFonts w:ascii="Arial" w:hAnsi="Arial" w:cs="Arial"/>
              </w:rPr>
            </w:pPr>
          </w:p>
          <w:p w:rsidR="00F12192" w:rsidRPr="00D33598" w:rsidRDefault="004360D4" w:rsidP="004360D4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D33598">
              <w:rPr>
                <w:rFonts w:ascii="Arial" w:hAnsi="Arial" w:cs="Arial"/>
                <w:b/>
              </w:rPr>
              <w:t xml:space="preserve">           </w:t>
            </w:r>
            <w:r w:rsidR="005429EE">
              <w:rPr>
                <w:rFonts w:ascii="Arial" w:hAnsi="Arial" w:cs="Arial"/>
                <w:b/>
              </w:rPr>
              <w:t>/   9</w:t>
            </w:r>
          </w:p>
        </w:tc>
      </w:tr>
      <w:tr w:rsidR="00F12192" w:rsidRPr="00C942FA" w:rsidTr="00D33598">
        <w:tc>
          <w:tcPr>
            <w:tcW w:w="1662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33598" w:rsidRPr="006F271D" w:rsidRDefault="00D33598" w:rsidP="00D335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 </w:t>
            </w:r>
          </w:p>
          <w:p w:rsidR="00F12192" w:rsidRDefault="00D33598" w:rsidP="00D335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  <w:p w:rsidR="00F12192" w:rsidRPr="006F271D" w:rsidRDefault="00F12192" w:rsidP="00DA1DD6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69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12192" w:rsidRPr="00D33598" w:rsidRDefault="00D33598" w:rsidP="00F1219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33598">
              <w:rPr>
                <w:rFonts w:ascii="Arial" w:hAnsi="Arial" w:cs="Arial"/>
                <w:b/>
                <w:sz w:val="22"/>
                <w:szCs w:val="22"/>
              </w:rPr>
              <w:t>0 – 3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12192" w:rsidRPr="00D33598" w:rsidRDefault="00D33598" w:rsidP="00813A5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33598">
              <w:rPr>
                <w:rFonts w:ascii="Arial" w:hAnsi="Arial" w:cs="Arial"/>
                <w:b/>
                <w:sz w:val="22"/>
                <w:szCs w:val="22"/>
              </w:rPr>
              <w:t xml:space="preserve">4 – 7 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12192" w:rsidRPr="00D33598" w:rsidRDefault="00D33598" w:rsidP="00813A5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33598">
              <w:rPr>
                <w:rFonts w:ascii="Arial" w:hAnsi="Arial" w:cs="Arial"/>
                <w:b/>
                <w:sz w:val="22"/>
                <w:szCs w:val="22"/>
              </w:rPr>
              <w:t xml:space="preserve">8 </w:t>
            </w:r>
            <w:r w:rsidR="008509B9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D33598">
              <w:rPr>
                <w:rFonts w:ascii="Arial" w:hAnsi="Arial" w:cs="Arial"/>
                <w:b/>
                <w:sz w:val="22"/>
                <w:szCs w:val="22"/>
              </w:rPr>
              <w:t xml:space="preserve"> 10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12192" w:rsidRPr="00C942FA" w:rsidRDefault="00D33598" w:rsidP="00DF2AC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</w:tr>
      <w:tr w:rsidR="00F12192" w:rsidRPr="00C942FA" w:rsidTr="00DA1DD6">
        <w:trPr>
          <w:trHeight w:val="819"/>
        </w:trPr>
        <w:tc>
          <w:tcPr>
            <w:tcW w:w="1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192" w:rsidRDefault="00F12192" w:rsidP="004819E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DA1DD6" w:rsidP="004819E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Glossary Chart</w:t>
            </w:r>
          </w:p>
          <w:p w:rsidR="00F12192" w:rsidRDefault="00F12192" w:rsidP="004819E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Pr="006F271D" w:rsidRDefault="00F12192" w:rsidP="004819E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6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2192" w:rsidRPr="00C942FA" w:rsidRDefault="008509B9" w:rsidP="008509B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Provides basic and limited definitions and basic examples for some </w:t>
            </w:r>
            <w:r w:rsidR="00835A74">
              <w:rPr>
                <w:rFonts w:ascii="Arial" w:hAnsi="Arial" w:cs="Arial"/>
                <w:sz w:val="16"/>
                <w:szCs w:val="20"/>
              </w:rPr>
              <w:t xml:space="preserve">or most </w:t>
            </w:r>
            <w:r>
              <w:rPr>
                <w:rFonts w:ascii="Arial" w:hAnsi="Arial" w:cs="Arial"/>
                <w:sz w:val="16"/>
                <w:szCs w:val="20"/>
              </w:rPr>
              <w:t xml:space="preserve">words on a glossary chart. The </w:t>
            </w:r>
            <w:r w:rsidR="00DA3FFC">
              <w:rPr>
                <w:rFonts w:ascii="Arial" w:hAnsi="Arial" w:cs="Arial"/>
                <w:sz w:val="16"/>
                <w:szCs w:val="20"/>
              </w:rPr>
              <w:t>words generally</w:t>
            </w:r>
            <w:r>
              <w:rPr>
                <w:rFonts w:ascii="Arial" w:hAnsi="Arial" w:cs="Arial"/>
                <w:sz w:val="16"/>
                <w:szCs w:val="20"/>
              </w:rPr>
              <w:t xml:space="preserve"> link to the topic of indicators economic performance. 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2192" w:rsidRPr="00C942FA" w:rsidRDefault="00835A74" w:rsidP="00835A7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Provides </w:t>
            </w:r>
            <w:r>
              <w:rPr>
                <w:rFonts w:ascii="Arial" w:hAnsi="Arial" w:cs="Arial"/>
                <w:sz w:val="16"/>
                <w:szCs w:val="20"/>
              </w:rPr>
              <w:t xml:space="preserve">somewhat detailed definitions and relevant </w:t>
            </w:r>
            <w:r w:rsidR="00DA3FFC">
              <w:rPr>
                <w:rFonts w:ascii="Arial" w:hAnsi="Arial" w:cs="Arial"/>
                <w:sz w:val="16"/>
                <w:szCs w:val="20"/>
              </w:rPr>
              <w:t>examples for majority of the</w:t>
            </w:r>
            <w:r>
              <w:rPr>
                <w:rFonts w:ascii="Arial" w:hAnsi="Arial" w:cs="Arial"/>
                <w:sz w:val="16"/>
                <w:szCs w:val="20"/>
              </w:rPr>
              <w:t xml:space="preserve"> words on a glossary chart. The </w:t>
            </w:r>
            <w:r w:rsidR="00DA3FFC">
              <w:rPr>
                <w:rFonts w:ascii="Arial" w:hAnsi="Arial" w:cs="Arial"/>
                <w:sz w:val="16"/>
                <w:szCs w:val="20"/>
              </w:rPr>
              <w:t xml:space="preserve">words mostly </w:t>
            </w:r>
            <w:r>
              <w:rPr>
                <w:rFonts w:ascii="Arial" w:hAnsi="Arial" w:cs="Arial"/>
                <w:sz w:val="16"/>
                <w:szCs w:val="20"/>
              </w:rPr>
              <w:t>link to the topic of indicators economic performance.</w:t>
            </w:r>
            <w:r w:rsidR="00DA3FFC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2192" w:rsidRPr="00C942FA" w:rsidRDefault="00DA3FFC" w:rsidP="00DA3F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</w:t>
            </w:r>
            <w:r>
              <w:rPr>
                <w:rFonts w:ascii="Arial" w:hAnsi="Arial" w:cs="Arial"/>
                <w:sz w:val="16"/>
                <w:szCs w:val="20"/>
              </w:rPr>
              <w:t xml:space="preserve">rovides detailed, accurate and appropriate </w:t>
            </w:r>
            <w:r>
              <w:rPr>
                <w:rFonts w:ascii="Arial" w:hAnsi="Arial" w:cs="Arial"/>
                <w:sz w:val="16"/>
                <w:szCs w:val="20"/>
              </w:rPr>
              <w:t>definitions and relevant</w:t>
            </w:r>
            <w:r>
              <w:rPr>
                <w:rFonts w:ascii="Arial" w:hAnsi="Arial" w:cs="Arial"/>
                <w:sz w:val="16"/>
                <w:szCs w:val="20"/>
              </w:rPr>
              <w:t xml:space="preserve"> and concise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sz w:val="16"/>
                <w:szCs w:val="20"/>
              </w:rPr>
              <w:t>examples for all</w:t>
            </w:r>
            <w:r>
              <w:rPr>
                <w:rFonts w:ascii="Arial" w:hAnsi="Arial" w:cs="Arial"/>
                <w:sz w:val="16"/>
                <w:szCs w:val="20"/>
              </w:rPr>
              <w:t xml:space="preserve"> of the words on a glossary chart. The </w:t>
            </w:r>
            <w:r>
              <w:rPr>
                <w:rFonts w:ascii="Arial" w:hAnsi="Arial" w:cs="Arial"/>
                <w:sz w:val="16"/>
                <w:szCs w:val="20"/>
              </w:rPr>
              <w:t>words are all</w:t>
            </w:r>
            <w:r>
              <w:rPr>
                <w:rFonts w:ascii="Arial" w:hAnsi="Arial" w:cs="Arial"/>
                <w:sz w:val="16"/>
                <w:szCs w:val="20"/>
              </w:rPr>
              <w:t xml:space="preserve"> link</w:t>
            </w:r>
            <w:r>
              <w:rPr>
                <w:rFonts w:ascii="Arial" w:hAnsi="Arial" w:cs="Arial"/>
                <w:sz w:val="16"/>
                <w:szCs w:val="20"/>
              </w:rPr>
              <w:t>ed</w:t>
            </w:r>
            <w:r>
              <w:rPr>
                <w:rFonts w:ascii="Arial" w:hAnsi="Arial" w:cs="Arial"/>
                <w:sz w:val="16"/>
                <w:szCs w:val="20"/>
              </w:rPr>
              <w:t xml:space="preserve"> to the </w:t>
            </w:r>
            <w:r>
              <w:rPr>
                <w:rFonts w:ascii="Arial" w:hAnsi="Arial" w:cs="Arial"/>
                <w:sz w:val="16"/>
                <w:szCs w:val="20"/>
              </w:rPr>
              <w:t xml:space="preserve">context and </w:t>
            </w:r>
            <w:r>
              <w:rPr>
                <w:rFonts w:ascii="Arial" w:hAnsi="Arial" w:cs="Arial"/>
                <w:sz w:val="16"/>
                <w:szCs w:val="20"/>
              </w:rPr>
              <w:t>topic of indicators economic performance.</w:t>
            </w:r>
          </w:p>
        </w:tc>
        <w:tc>
          <w:tcPr>
            <w:tcW w:w="1701" w:type="dxa"/>
          </w:tcPr>
          <w:p w:rsidR="00F12192" w:rsidRDefault="00F12192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D33598" w:rsidRDefault="00D33598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D33598" w:rsidRPr="00D33598" w:rsidRDefault="00D33598" w:rsidP="00D33598">
            <w:pPr>
              <w:jc w:val="center"/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</w:rPr>
              <w:t xml:space="preserve">          / 10</w:t>
            </w:r>
          </w:p>
        </w:tc>
      </w:tr>
      <w:tr w:rsidR="00D33598" w:rsidRPr="00C942FA" w:rsidTr="005429EE">
        <w:trPr>
          <w:trHeight w:val="819"/>
        </w:trPr>
        <w:tc>
          <w:tcPr>
            <w:tcW w:w="1662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33598" w:rsidRPr="006F271D" w:rsidRDefault="00D33598" w:rsidP="00D335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 </w:t>
            </w:r>
          </w:p>
          <w:p w:rsidR="00D33598" w:rsidRDefault="00D33598" w:rsidP="00D335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</w:tc>
        <w:tc>
          <w:tcPr>
            <w:tcW w:w="369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33598" w:rsidRPr="00D33598" w:rsidRDefault="00D33598" w:rsidP="00D335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33598">
              <w:rPr>
                <w:rFonts w:ascii="Arial" w:hAnsi="Arial" w:cs="Arial"/>
                <w:b/>
                <w:sz w:val="22"/>
                <w:szCs w:val="22"/>
              </w:rPr>
              <w:t>0 – 2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33598" w:rsidRPr="00D33598" w:rsidRDefault="00D33598" w:rsidP="00D335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33598">
              <w:rPr>
                <w:rFonts w:ascii="Arial" w:hAnsi="Arial" w:cs="Arial"/>
                <w:b/>
                <w:sz w:val="22"/>
                <w:szCs w:val="22"/>
              </w:rPr>
              <w:t>3 - 4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33598" w:rsidRPr="005429EE" w:rsidRDefault="005429EE" w:rsidP="00813A5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429EE">
              <w:rPr>
                <w:rFonts w:ascii="Arial" w:hAnsi="Arial" w:cs="Arial"/>
                <w:b/>
                <w:sz w:val="22"/>
                <w:szCs w:val="22"/>
              </w:rPr>
              <w:t xml:space="preserve">5 – 6 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D33598" w:rsidRPr="00C942FA" w:rsidRDefault="00D33598" w:rsidP="00DF2AC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A1DD6" w:rsidRPr="00C942FA" w:rsidTr="005429EE">
        <w:trPr>
          <w:trHeight w:val="819"/>
        </w:trPr>
        <w:tc>
          <w:tcPr>
            <w:tcW w:w="1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1DD6" w:rsidRDefault="00DA1DD6" w:rsidP="00DA1DD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Bibliography</w:t>
            </w:r>
          </w:p>
          <w:p w:rsidR="00DA1DD6" w:rsidRDefault="00DA1DD6" w:rsidP="004819E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6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1DD6" w:rsidRPr="005429EE" w:rsidRDefault="005429EE" w:rsidP="005429EE">
            <w:pPr>
              <w:rPr>
                <w:rFonts w:ascii="Arial" w:hAnsi="Arial" w:cs="Arial"/>
                <w:sz w:val="16"/>
                <w:szCs w:val="16"/>
              </w:rPr>
            </w:pP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Bibliography includes a limited list of sources which may follow the referencing technique approved by the school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1DD6" w:rsidRPr="005429EE" w:rsidRDefault="005429EE" w:rsidP="005429EE">
            <w:pPr>
              <w:rPr>
                <w:rFonts w:ascii="Arial" w:hAnsi="Arial" w:cs="Arial"/>
                <w:sz w:val="16"/>
                <w:szCs w:val="16"/>
              </w:rPr>
            </w:pP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Bibliography includes a smaller range of sources which mostly follows the referencing technique approved by the school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1DD6" w:rsidRPr="005429EE" w:rsidRDefault="005429EE" w:rsidP="005429EE">
            <w:pPr>
              <w:rPr>
                <w:rFonts w:ascii="Arial" w:hAnsi="Arial" w:cs="Arial"/>
                <w:sz w:val="16"/>
                <w:szCs w:val="16"/>
              </w:rPr>
            </w:pP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Bibliography includes a comprehensive list of primary sources and/or secondary sourc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es (e.g. websites) </w:t>
            </w: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which correctly follows the referencing technique approved by the school</w:t>
            </w:r>
          </w:p>
        </w:tc>
        <w:tc>
          <w:tcPr>
            <w:tcW w:w="1701" w:type="dxa"/>
          </w:tcPr>
          <w:p w:rsidR="00DA1DD6" w:rsidRDefault="00D33598" w:rsidP="00DF2AC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D33598" w:rsidRDefault="00D33598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D33598" w:rsidRPr="00D33598" w:rsidRDefault="00D33598" w:rsidP="00D33598">
            <w:pPr>
              <w:jc w:val="center"/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          </w:t>
            </w:r>
            <w:r w:rsidR="003676FF"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bookmarkStart w:id="0" w:name="_GoBack"/>
            <w:bookmarkEnd w:id="0"/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="005429EE">
              <w:rPr>
                <w:rFonts w:ascii="Arial" w:hAnsi="Arial" w:cs="Arial"/>
                <w:b/>
              </w:rPr>
              <w:t>/ 6</w:t>
            </w:r>
          </w:p>
        </w:tc>
      </w:tr>
    </w:tbl>
    <w:p w:rsidR="00562848" w:rsidRDefault="003676FF">
      <w:pPr>
        <w:rPr>
          <w:rFonts w:ascii="Arial" w:hAnsi="Arial" w:cs="Arial"/>
          <w:b/>
          <w:u w:val="single"/>
        </w:rPr>
      </w:pPr>
    </w:p>
    <w:p w:rsidR="005429EE" w:rsidRDefault="005429EE">
      <w:pPr>
        <w:rPr>
          <w:rFonts w:ascii="Arial" w:hAnsi="Arial" w:cs="Arial"/>
          <w:b/>
          <w:u w:val="single"/>
        </w:rPr>
      </w:pPr>
    </w:p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3676FF" w:rsidTr="003676FF">
        <w:tc>
          <w:tcPr>
            <w:tcW w:w="7807" w:type="dxa"/>
          </w:tcPr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lastRenderedPageBreak/>
              <w:t>Strengths</w:t>
            </w: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7807" w:type="dxa"/>
          </w:tcPr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Weaknesses</w:t>
            </w:r>
          </w:p>
        </w:tc>
      </w:tr>
      <w:tr w:rsidR="003676FF" w:rsidTr="003676FF">
        <w:tc>
          <w:tcPr>
            <w:tcW w:w="7807" w:type="dxa"/>
          </w:tcPr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Threats</w:t>
            </w: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7807" w:type="dxa"/>
          </w:tcPr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Opportunities</w:t>
            </w:r>
          </w:p>
        </w:tc>
      </w:tr>
    </w:tbl>
    <w:p w:rsidR="005429EE" w:rsidRPr="003676FF" w:rsidRDefault="003676FF" w:rsidP="003676FF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Teacher Feedback</w:t>
      </w: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Comment:</w:t>
      </w: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Pr="003676FF" w:rsidRDefault="003676FF">
      <w:pPr>
        <w:rPr>
          <w:rFonts w:ascii="Arial" w:hAnsi="Arial" w:cs="Arial"/>
          <w:b/>
        </w:rPr>
      </w:pPr>
      <w:r w:rsidRPr="003676FF">
        <w:rPr>
          <w:rFonts w:ascii="Arial" w:hAnsi="Arial" w:cs="Arial"/>
          <w:b/>
        </w:rPr>
        <w:t xml:space="preserve">MAT’s - </w:t>
      </w:r>
      <w:r w:rsidRPr="003676FF">
        <w:rPr>
          <w:rFonts w:ascii="Arial" w:hAnsi="Arial" w:cs="Arial"/>
          <w:b/>
          <w:u w:val="single"/>
        </w:rPr>
        <w:t>M</w:t>
      </w:r>
      <w:r w:rsidRPr="003676FF">
        <w:rPr>
          <w:rFonts w:ascii="Arial" w:hAnsi="Arial" w:cs="Arial"/>
          <w:b/>
        </w:rPr>
        <w:t xml:space="preserve">y </w:t>
      </w:r>
      <w:r w:rsidRPr="003676FF">
        <w:rPr>
          <w:rFonts w:ascii="Arial" w:hAnsi="Arial" w:cs="Arial"/>
          <w:b/>
          <w:u w:val="single"/>
        </w:rPr>
        <w:t>A</w:t>
      </w:r>
      <w:r w:rsidRPr="003676FF">
        <w:rPr>
          <w:rFonts w:ascii="Arial" w:hAnsi="Arial" w:cs="Arial"/>
          <w:b/>
        </w:rPr>
        <w:t xml:space="preserve">ction </w:t>
      </w:r>
      <w:r w:rsidRPr="003676FF">
        <w:rPr>
          <w:rFonts w:ascii="Arial" w:hAnsi="Arial" w:cs="Arial"/>
          <w:b/>
          <w:u w:val="single"/>
        </w:rPr>
        <w:t>T</w:t>
      </w:r>
      <w:r w:rsidRPr="003676FF">
        <w:rPr>
          <w:rFonts w:ascii="Arial" w:hAnsi="Arial" w:cs="Arial"/>
          <w:b/>
        </w:rPr>
        <w:t>argets for the next HASS inquiry task:</w:t>
      </w: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536A9117" wp14:editId="3A4D0841">
            <wp:simplePos x="0" y="0"/>
            <wp:positionH relativeFrom="column">
              <wp:posOffset>8410575</wp:posOffset>
            </wp:positionH>
            <wp:positionV relativeFrom="paragraph">
              <wp:posOffset>154940</wp:posOffset>
            </wp:positionV>
            <wp:extent cx="1614170" cy="1076325"/>
            <wp:effectExtent l="0" t="0" r="5080" b="9525"/>
            <wp:wrapTight wrapText="bothSides">
              <wp:wrapPolygon edited="0">
                <wp:start x="0" y="0"/>
                <wp:lineTo x="0" y="21409"/>
                <wp:lineTo x="21413" y="21409"/>
                <wp:lineTo x="21413" y="0"/>
                <wp:lineTo x="0" y="0"/>
              </wp:wrapPolygon>
            </wp:wrapTight>
            <wp:docPr id="3" name="Picture 3" descr="C:\Users\e2041615\AppData\Local\Microsoft\Windows\Temporary Internet Files\Content.IE5\TM8SEV2T\metas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41615\AppData\Local\Microsoft\Windows\Temporary Internet Files\Content.IE5\TM8SEV2T\metas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</w:p>
    <w:p w:rsidR="003676FF" w:rsidRPr="003676FF" w:rsidRDefault="003676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</w:p>
    <w:sectPr w:rsidR="003676FF" w:rsidRPr="003676FF" w:rsidSect="004819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3309C"/>
    <w:multiLevelType w:val="hybridMultilevel"/>
    <w:tmpl w:val="B24CA7BE"/>
    <w:lvl w:ilvl="0" w:tplc="C3BEFA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E1"/>
    <w:rsid w:val="000C735C"/>
    <w:rsid w:val="0021714A"/>
    <w:rsid w:val="00242476"/>
    <w:rsid w:val="002B6B8E"/>
    <w:rsid w:val="00315915"/>
    <w:rsid w:val="003676FF"/>
    <w:rsid w:val="003B239F"/>
    <w:rsid w:val="003B7522"/>
    <w:rsid w:val="004360D4"/>
    <w:rsid w:val="004819E1"/>
    <w:rsid w:val="004C1949"/>
    <w:rsid w:val="004D7865"/>
    <w:rsid w:val="00525ED0"/>
    <w:rsid w:val="005328C1"/>
    <w:rsid w:val="005429EE"/>
    <w:rsid w:val="00636465"/>
    <w:rsid w:val="006806D5"/>
    <w:rsid w:val="006F271D"/>
    <w:rsid w:val="007616D1"/>
    <w:rsid w:val="00776F13"/>
    <w:rsid w:val="00777FB4"/>
    <w:rsid w:val="007F01DA"/>
    <w:rsid w:val="00813A57"/>
    <w:rsid w:val="00835A74"/>
    <w:rsid w:val="008509B9"/>
    <w:rsid w:val="008E68D6"/>
    <w:rsid w:val="00904BEC"/>
    <w:rsid w:val="00966EC7"/>
    <w:rsid w:val="00B176AB"/>
    <w:rsid w:val="00B90A16"/>
    <w:rsid w:val="00C741F5"/>
    <w:rsid w:val="00C942FA"/>
    <w:rsid w:val="00D32C8F"/>
    <w:rsid w:val="00D33598"/>
    <w:rsid w:val="00D57ED4"/>
    <w:rsid w:val="00DA1DD6"/>
    <w:rsid w:val="00DA3FFC"/>
    <w:rsid w:val="00DF0982"/>
    <w:rsid w:val="00E20C29"/>
    <w:rsid w:val="00E266C8"/>
    <w:rsid w:val="00EE0023"/>
    <w:rsid w:val="00F12192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819E1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4819E1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48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7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D33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819E1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4819E1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48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7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D33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6F6D2422</Template>
  <TotalTime>1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RINTOUL Brooke</cp:lastModifiedBy>
  <cp:revision>2</cp:revision>
  <cp:lastPrinted>2018-05-22T10:41:00Z</cp:lastPrinted>
  <dcterms:created xsi:type="dcterms:W3CDTF">2018-05-22T10:42:00Z</dcterms:created>
  <dcterms:modified xsi:type="dcterms:W3CDTF">2018-05-22T10:42:00Z</dcterms:modified>
</cp:coreProperties>
</file>