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6F13" w14:textId="73B34076" w:rsidR="00984257" w:rsidRDefault="00194456" w:rsidP="00984257">
      <w:pPr>
        <w:tabs>
          <w:tab w:val="left" w:pos="4140"/>
          <w:tab w:val="left" w:pos="4800"/>
        </w:tabs>
        <w:ind w:right="71"/>
        <w:jc w:val="center"/>
        <w:rPr>
          <w:rFonts w:ascii="Arial" w:hAnsi="Arial" w:cs="Arial"/>
          <w:b/>
          <w:bCs/>
          <w:sz w:val="36"/>
          <w:szCs w:val="36"/>
        </w:rPr>
      </w:pPr>
      <w:r>
        <w:rPr>
          <w:rFonts w:ascii="Arial" w:hAnsi="Arial" w:cs="Arial"/>
          <w:b/>
          <w:bCs/>
          <w:noProof/>
          <w:sz w:val="36"/>
          <w:szCs w:val="36"/>
          <w14:ligatures w14:val="none"/>
        </w:rPr>
        <mc:AlternateContent>
          <mc:Choice Requires="wps">
            <w:drawing>
              <wp:anchor distT="0" distB="0" distL="114300" distR="114300" simplePos="0" relativeHeight="251659264" behindDoc="0" locked="0" layoutInCell="1" allowOverlap="1" wp14:anchorId="00BBF5D3" wp14:editId="4865DE62">
                <wp:simplePos x="0" y="0"/>
                <wp:positionH relativeFrom="column">
                  <wp:posOffset>3600450</wp:posOffset>
                </wp:positionH>
                <wp:positionV relativeFrom="paragraph">
                  <wp:posOffset>-457200</wp:posOffset>
                </wp:positionV>
                <wp:extent cx="2628900" cy="4381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28900" cy="438150"/>
                        </a:xfrm>
                        <a:prstGeom prst="rect">
                          <a:avLst/>
                        </a:prstGeom>
                        <a:solidFill>
                          <a:schemeClr val="lt1"/>
                        </a:solidFill>
                        <a:ln w="6350">
                          <a:solidFill>
                            <a:prstClr val="black"/>
                          </a:solidFill>
                        </a:ln>
                      </wps:spPr>
                      <wps:txbx>
                        <w:txbxContent>
                          <w:p w14:paraId="3087F115" w14:textId="7C13323F" w:rsidR="005055E6" w:rsidRPr="00194456" w:rsidRDefault="00194456" w:rsidP="00194456">
                            <w:pPr>
                              <w:jc w:val="center"/>
                              <w:rPr>
                                <w:b/>
                                <w:bCs/>
                                <w:sz w:val="52"/>
                                <w:szCs w:val="52"/>
                              </w:rPr>
                            </w:pPr>
                            <w:r w:rsidRPr="00194456">
                              <w:rPr>
                                <w:b/>
                                <w:bCs/>
                                <w:sz w:val="52"/>
                                <w:szCs w:val="52"/>
                              </w:rPr>
                              <w:t>MARKING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BF5D3" id="_x0000_t202" coordsize="21600,21600" o:spt="202" path="m,l,21600r21600,l21600,xe">
                <v:stroke joinstyle="miter"/>
                <v:path gradientshapeok="t" o:connecttype="rect"/>
              </v:shapetype>
              <v:shape id="Text Box 2" o:spid="_x0000_s1026" type="#_x0000_t202" style="position:absolute;left:0;text-align:left;margin-left:283.5pt;margin-top:-36pt;width:207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zVNgIAAHwEAAAOAAAAZHJzL2Uyb0RvYy54bWysVE1v2zAMvQ/YfxB0X5ykaZYacYosRYYB&#10;RVsgLXpWZCkWJouapMTOfv0oxflou9Owi0yK1CP5SHp629aa7ITzCkxBB70+JcJwKJXZFPTlefll&#10;QokPzJRMgxEF3QtPb2efP00bm4shVKBL4QiCGJ83tqBVCDbPMs8rUTPfAysMGiW4mgVU3SYrHWsQ&#10;vdbZsN8fZw240jrgwnu8vTsY6SzhSyl4eJTSi0B0QTG3kE6XznU8s9mU5RvHbKV4lwb7hyxqpgwG&#10;PUHdscDI1qkPULXiDjzI0ONQZyCl4iLVgNUM+u+qWVXMilQLkuPtiSb//2D5w25lnxwJ7TdosYGR&#10;kMb63ONlrKeVro5fzJSgHSncn2gTbSAcL4fj4eSmjyaOttHVZHCdeM3Or63z4buAmkShoA7bkthi&#10;u3sfMCK6Hl1iMA9alUuldVLiKIiFdmTHsIk6pBzxxRsvbUhT0PEVhv6AEKFP79ea8Z+xyrcIqGmD&#10;l+faoxTaddsRsoZyjzw5OIyQt3ypEPee+fDEHM4M1o97EB7xkBowGegkSipwv/92H/2xlWilpMEZ&#10;LKj/tWVOUKJ/GGzyzWA0ikOblNH11yEq7tKyvrSYbb0AZGiAG2d5EqN/0EdROqhfcV3mMSqamOEY&#10;u6DhKC7CYTNw3biYz5MTjqll4d6sLI/QkdzI53P7ypzt+hlwEh7gOK0sf9fWg298aWC+DSBV6nkk&#10;+MBqxzuOeGpLt45xhy715HX+acz+AAAA//8DAFBLAwQUAAYACAAAACEAIxY9Ft0AAAAKAQAADwAA&#10;AGRycy9kb3ducmV2LnhtbEyPQU/DMAyF70j8h8hI3LZ0Q2xdaToBGlw4MRDnrPGSiMapmqwr/x5z&#10;Yrdn++n5e/V2Cp0YcUg+koLFvACB1EbjySr4/HiZlSBS1mR0FwkV/GCCbXN9VevKxDO947jPVnAI&#10;pUorcDn3lZSpdRh0msceiW/HOASdeRysNIM+c3jo5LIoVjJoT/zB6R6fHbbf+1NQsHuyG9uWenC7&#10;0ng/Tl/HN/uq1O3N9PgAIuOU/83wh8/o0DDTIZ7IJNEpuF+tuUtWMFsvWbBjUy5YHHhzV4BsanlZ&#10;ofkFAAD//wMAUEsBAi0AFAAGAAgAAAAhALaDOJL+AAAA4QEAABMAAAAAAAAAAAAAAAAAAAAAAFtD&#10;b250ZW50X1R5cGVzXS54bWxQSwECLQAUAAYACAAAACEAOP0h/9YAAACUAQAACwAAAAAAAAAAAAAA&#10;AAAvAQAAX3JlbHMvLnJlbHNQSwECLQAUAAYACAAAACEAau4s1TYCAAB8BAAADgAAAAAAAAAAAAAA&#10;AAAuAgAAZHJzL2Uyb0RvYy54bWxQSwECLQAUAAYACAAAACEAIxY9Ft0AAAAKAQAADwAAAAAAAAAA&#10;AAAAAACQBAAAZHJzL2Rvd25yZXYueG1sUEsFBgAAAAAEAAQA8wAAAJoFAAAAAA==&#10;" fillcolor="white [3201]" strokeweight=".5pt">
                <v:textbox>
                  <w:txbxContent>
                    <w:p w14:paraId="3087F115" w14:textId="7C13323F" w:rsidR="005055E6" w:rsidRPr="00194456" w:rsidRDefault="00194456" w:rsidP="00194456">
                      <w:pPr>
                        <w:jc w:val="center"/>
                        <w:rPr>
                          <w:b/>
                          <w:bCs/>
                          <w:sz w:val="52"/>
                          <w:szCs w:val="52"/>
                        </w:rPr>
                      </w:pPr>
                      <w:r w:rsidRPr="00194456">
                        <w:rPr>
                          <w:b/>
                          <w:bCs/>
                          <w:sz w:val="52"/>
                          <w:szCs w:val="52"/>
                        </w:rPr>
                        <w:t>MARKING KEY</w:t>
                      </w:r>
                    </w:p>
                  </w:txbxContent>
                </v:textbox>
              </v:shape>
            </w:pict>
          </mc:Fallback>
        </mc:AlternateContent>
      </w:r>
      <w:r w:rsidR="00EB6B6C" w:rsidRPr="00984257">
        <w:rPr>
          <w:rFonts w:ascii="Arial" w:hAnsi="Arial" w:cs="Arial"/>
          <w:b/>
          <w:bCs/>
          <w:noProof/>
          <w:sz w:val="36"/>
          <w:szCs w:val="36"/>
          <w14:ligatures w14:val="none"/>
        </w:rPr>
        <w:drawing>
          <wp:anchor distT="36576" distB="36576" distL="36576" distR="36576" simplePos="0" relativeHeight="251658240" behindDoc="1" locked="0" layoutInCell="1" allowOverlap="1" wp14:anchorId="4485E3BC" wp14:editId="076E6D95">
            <wp:simplePos x="0" y="0"/>
            <wp:positionH relativeFrom="column">
              <wp:posOffset>-238760</wp:posOffset>
            </wp:positionH>
            <wp:positionV relativeFrom="paragraph">
              <wp:posOffset>0</wp:posOffset>
            </wp:positionV>
            <wp:extent cx="1133475" cy="1165860"/>
            <wp:effectExtent l="0" t="0" r="9525" b="0"/>
            <wp:wrapTight wrapText="bothSides">
              <wp:wrapPolygon edited="0">
                <wp:start x="0" y="0"/>
                <wp:lineTo x="0" y="21176"/>
                <wp:lineTo x="21418" y="21176"/>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658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84257">
        <w:rPr>
          <w:rFonts w:ascii="Arial" w:hAnsi="Arial" w:cs="Arial"/>
          <w:b/>
          <w:bCs/>
          <w:sz w:val="36"/>
          <w:szCs w:val="36"/>
        </w:rPr>
        <w:t xml:space="preserve">Year </w:t>
      </w:r>
      <w:r w:rsidR="00EB6B6C">
        <w:rPr>
          <w:rFonts w:ascii="Arial" w:hAnsi="Arial" w:cs="Arial"/>
          <w:b/>
          <w:bCs/>
          <w:sz w:val="36"/>
          <w:szCs w:val="36"/>
        </w:rPr>
        <w:t>10</w:t>
      </w:r>
      <w:r w:rsidR="00984257">
        <w:rPr>
          <w:rFonts w:ascii="Arial" w:hAnsi="Arial" w:cs="Arial"/>
          <w:b/>
          <w:bCs/>
          <w:sz w:val="36"/>
          <w:szCs w:val="36"/>
        </w:rPr>
        <w:t xml:space="preserve"> Geography, Term 1, 2024</w:t>
      </w:r>
    </w:p>
    <w:p w14:paraId="15587D23" w14:textId="0B42CC46" w:rsidR="00984257" w:rsidRPr="00984257" w:rsidRDefault="00984257" w:rsidP="00984257">
      <w:pPr>
        <w:tabs>
          <w:tab w:val="left" w:pos="4140"/>
          <w:tab w:val="left" w:pos="4800"/>
        </w:tabs>
        <w:ind w:right="71"/>
        <w:jc w:val="center"/>
        <w:rPr>
          <w:rFonts w:ascii="Arial" w:hAnsi="Arial" w:cs="Arial"/>
          <w:b/>
          <w:bCs/>
          <w:sz w:val="36"/>
          <w:szCs w:val="36"/>
        </w:rPr>
      </w:pPr>
      <w:r w:rsidRPr="00984257">
        <w:rPr>
          <w:rFonts w:ascii="Arial" w:hAnsi="Arial" w:cs="Arial"/>
          <w:b/>
          <w:bCs/>
          <w:sz w:val="36"/>
          <w:szCs w:val="36"/>
        </w:rPr>
        <w:t xml:space="preserve">Assessment 2: </w:t>
      </w:r>
      <w:r w:rsidR="00EB6B6C">
        <w:rPr>
          <w:rFonts w:ascii="Arial" w:hAnsi="Arial" w:cs="Arial"/>
          <w:b/>
          <w:bCs/>
          <w:sz w:val="36"/>
          <w:szCs w:val="36"/>
        </w:rPr>
        <w:t>Geographical</w:t>
      </w:r>
      <w:r w:rsidRPr="00984257">
        <w:rPr>
          <w:rFonts w:ascii="Arial" w:hAnsi="Arial" w:cs="Arial"/>
          <w:b/>
          <w:bCs/>
          <w:sz w:val="36"/>
          <w:szCs w:val="36"/>
        </w:rPr>
        <w:t xml:space="preserve"> Inquiry Task</w:t>
      </w:r>
    </w:p>
    <w:p w14:paraId="494B8CA5" w14:textId="4E4CF21D" w:rsidR="00EB6B6C" w:rsidRPr="00194456" w:rsidRDefault="00A06CBE" w:rsidP="00EB6B6C">
      <w:pPr>
        <w:tabs>
          <w:tab w:val="left" w:pos="4140"/>
          <w:tab w:val="left" w:pos="4800"/>
        </w:tabs>
        <w:ind w:right="71"/>
        <w:rPr>
          <w:rFonts w:cs="Arial"/>
          <w:b/>
          <w:bCs/>
          <w:sz w:val="32"/>
          <w:szCs w:val="32"/>
        </w:rPr>
      </w:pPr>
      <w:r>
        <w:rPr>
          <w:rFonts w:cs="Arial"/>
          <w:b/>
          <w:bCs/>
          <w:noProof/>
          <w:sz w:val="32"/>
          <w:szCs w:val="32"/>
          <w14:ligatures w14:val="none"/>
        </w:rPr>
        <mc:AlternateContent>
          <mc:Choice Requires="wps">
            <w:drawing>
              <wp:anchor distT="0" distB="0" distL="114300" distR="114300" simplePos="0" relativeHeight="251660288" behindDoc="0" locked="0" layoutInCell="1" allowOverlap="1" wp14:anchorId="78F12630" wp14:editId="16F53B74">
                <wp:simplePos x="0" y="0"/>
                <wp:positionH relativeFrom="column">
                  <wp:posOffset>4705350</wp:posOffset>
                </wp:positionH>
                <wp:positionV relativeFrom="paragraph">
                  <wp:posOffset>448945</wp:posOffset>
                </wp:positionV>
                <wp:extent cx="1428750" cy="7239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428750" cy="723900"/>
                        </a:xfrm>
                        <a:prstGeom prst="rect">
                          <a:avLst/>
                        </a:prstGeom>
                        <a:solidFill>
                          <a:schemeClr val="lt1"/>
                        </a:solidFill>
                        <a:ln w="6350">
                          <a:solidFill>
                            <a:prstClr val="black"/>
                          </a:solidFill>
                        </a:ln>
                      </wps:spPr>
                      <wps:txbx>
                        <w:txbxContent>
                          <w:p w14:paraId="46BEE400" w14:textId="7B239E89" w:rsidR="00A06CBE" w:rsidRPr="00A06CBE" w:rsidRDefault="00A06CBE" w:rsidP="00A06CBE">
                            <w:pPr>
                              <w:jc w:val="center"/>
                              <w:rPr>
                                <w:b/>
                                <w:bCs/>
                                <w:sz w:val="40"/>
                                <w:szCs w:val="40"/>
                              </w:rPr>
                            </w:pPr>
                            <w:r w:rsidRPr="00A06CBE">
                              <w:rPr>
                                <w:b/>
                                <w:bCs/>
                                <w:sz w:val="40"/>
                                <w:szCs w:val="40"/>
                              </w:rPr>
                              <w:t>Total mark =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F12630" id="Text Box 4" o:spid="_x0000_s1027" type="#_x0000_t202" style="position:absolute;margin-left:370.5pt;margin-top:35.35pt;width:112.5pt;height: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7DcNwIAAIMEAAAOAAAAZHJzL2Uyb0RvYy54bWysVE1v2zAMvQ/YfxB0X5ykadMacYosRYYB&#10;QVsgHXpWZCkWJouapMTOfv0oOV9tdxp2kUmRfCIfSU/u21qTnXBegSnooNenRBgOpTKbgv54WXy5&#10;pcQHZkqmwYiC7oWn99PPnyaNzcUQKtClcARBjM8bW9AqBJtnmeeVqJnvgRUGjRJczQKqbpOVjjWI&#10;Xuts2O/fZA240jrgwnu8feiMdJrwpRQ8PEnpRSC6oJhbSKdL5zqe2XTC8o1jtlL8kAb7hyxqpgw+&#10;eoJ6YIGRrVMfoGrFHXiQocehzkBKxUWqAasZ9N9Vs6qYFakWJMfbE03+/8Hyx93KPjsS2q/QYgMj&#10;IY31ucfLWE8rXR2/mClBO1K4P9Em2kB4DBoNb8fXaOJoGw+v7vqJ1+wcbZ0P3wTUJAoFddiWxBbb&#10;LX3AF9H16BIf86BVuVBaJyWOgphrR3YMm6hDyhEj3nhpQ5qC3lxhGh8QIvQpfq0Z/xmrfIuAmjZ4&#10;ea49SqFdt0SVF7ysodwjXQ66SfKWLxTCL5kPz8zh6CANuA7hCQ+pAXOCg0RJBe733+6jP3YUrZQ0&#10;OIoF9b+2zAlK9HeDvb4bjEZxdpMyuh4PUXGXlvWlxWzrOSBRA1w8y5MY/YM+itJB/YpbM4uvookZ&#10;jm8XNBzFeegWBLeOi9ksOeG0WhaWZmV5hI4cR1pf2lfm7KGtAQfiEY5Dy/J33e18Y6SB2TaAVKn1&#10;keeO1QP9OOmpO4etjKt0qSev879j+gcAAP//AwBQSwMEFAAGAAgAAAAhAIOfjkrdAAAACgEAAA8A&#10;AABkcnMvZG93bnJldi54bWxMj8FOwzAQRO9I/IO1SNyoU1QlaYhTASpcONEiztvYtS1iO7LdNP37&#10;Lie47e6MZt+0m9kNbFIx2eAFLBcFMOX7IK3XAr72bw81sJTRSxyCVwIuKsGmu71psZHh7D/VtMua&#10;UYhPDQowOY8N56k3ymFahFF50o4hOsy0Rs1lxDOFu4E/FkXJHVpPHwyO6tWo/md3cgK2L3qt+xqj&#10;2dbS2mn+Pn7odyHu7+bnJ2BZzfnPDL/4hA4dMR3CycvEBgHVakldMg1FBYwM67Kkw4Gc9aoC3rX8&#10;f4XuCgAA//8DAFBLAQItABQABgAIAAAAIQC2gziS/gAAAOEBAAATAAAAAAAAAAAAAAAAAAAAAABb&#10;Q29udGVudF9UeXBlc10ueG1sUEsBAi0AFAAGAAgAAAAhADj9If/WAAAAlAEAAAsAAAAAAAAAAAAA&#10;AAAALwEAAF9yZWxzLy5yZWxzUEsBAi0AFAAGAAgAAAAhAPsTsNw3AgAAgwQAAA4AAAAAAAAAAAAA&#10;AAAALgIAAGRycy9lMm9Eb2MueG1sUEsBAi0AFAAGAAgAAAAhAIOfjkrdAAAACgEAAA8AAAAAAAAA&#10;AAAAAAAAkQQAAGRycy9kb3ducmV2LnhtbFBLBQYAAAAABAAEAPMAAACbBQAAAAA=&#10;" fillcolor="white [3201]" strokeweight=".5pt">
                <v:textbox>
                  <w:txbxContent>
                    <w:p w14:paraId="46BEE400" w14:textId="7B239E89" w:rsidR="00A06CBE" w:rsidRPr="00A06CBE" w:rsidRDefault="00A06CBE" w:rsidP="00A06CBE">
                      <w:pPr>
                        <w:jc w:val="center"/>
                        <w:rPr>
                          <w:b/>
                          <w:bCs/>
                          <w:sz w:val="40"/>
                          <w:szCs w:val="40"/>
                        </w:rPr>
                      </w:pPr>
                      <w:r w:rsidRPr="00A06CBE">
                        <w:rPr>
                          <w:b/>
                          <w:bCs/>
                          <w:sz w:val="40"/>
                          <w:szCs w:val="40"/>
                        </w:rPr>
                        <w:t>Total mark = 16</w:t>
                      </w:r>
                    </w:p>
                  </w:txbxContent>
                </v:textbox>
              </v:shape>
            </w:pict>
          </mc:Fallback>
        </mc:AlternateContent>
      </w:r>
      <w:r w:rsidR="00EB6B6C" w:rsidRPr="00194456">
        <w:rPr>
          <w:rFonts w:cs="Arial"/>
          <w:b/>
          <w:bCs/>
          <w:sz w:val="32"/>
          <w:szCs w:val="32"/>
        </w:rPr>
        <w:t>Assessment 2B (5%)</w:t>
      </w:r>
      <w:r w:rsidR="00EB6B6C" w:rsidRPr="00194456">
        <w:rPr>
          <w:rFonts w:cs="Arial"/>
          <w:bCs/>
          <w:sz w:val="32"/>
          <w:szCs w:val="32"/>
        </w:rPr>
        <w:t xml:space="preserve"> – </w:t>
      </w:r>
      <w:r w:rsidR="00EB6B6C" w:rsidRPr="00194456">
        <w:rPr>
          <w:rFonts w:cs="Arial"/>
          <w:b/>
          <w:sz w:val="32"/>
          <w:szCs w:val="32"/>
        </w:rPr>
        <w:t xml:space="preserve">In-class Validation Questions – </w:t>
      </w:r>
      <w:r w:rsidR="00EB6B6C" w:rsidRPr="00194456">
        <w:rPr>
          <w:rFonts w:cs="Arial"/>
          <w:b/>
          <w:bCs/>
          <w:sz w:val="32"/>
          <w:szCs w:val="32"/>
        </w:rPr>
        <w:t>Administered under test conditions.</w:t>
      </w:r>
    </w:p>
    <w:p w14:paraId="68617C3E" w14:textId="77777777" w:rsidR="00AB1B8E" w:rsidRPr="00EB6B6C" w:rsidRDefault="00AB1B8E" w:rsidP="00AB1B8E">
      <w:pPr>
        <w:tabs>
          <w:tab w:val="left" w:pos="4140"/>
          <w:tab w:val="left" w:pos="4800"/>
        </w:tabs>
        <w:ind w:right="71"/>
        <w:rPr>
          <w:rFonts w:ascii="Arial" w:hAnsi="Arial" w:cs="Arial"/>
          <w:b/>
          <w:sz w:val="24"/>
          <w:szCs w:val="24"/>
        </w:rPr>
      </w:pPr>
      <w:r w:rsidRPr="00EB6B6C">
        <w:rPr>
          <w:rFonts w:ascii="Arial" w:hAnsi="Arial" w:cs="Arial"/>
          <w:b/>
          <w:sz w:val="24"/>
          <w:szCs w:val="24"/>
        </w:rPr>
        <w:t xml:space="preserve">Evidence to be collected: </w:t>
      </w:r>
    </w:p>
    <w:p w14:paraId="3170D976" w14:textId="77777777" w:rsidR="00AB1B8E" w:rsidRPr="00EB6B6C" w:rsidRDefault="00AB1B8E" w:rsidP="00AB1B8E">
      <w:pPr>
        <w:pStyle w:val="ListParagraph"/>
        <w:numPr>
          <w:ilvl w:val="0"/>
          <w:numId w:val="5"/>
        </w:numPr>
        <w:tabs>
          <w:tab w:val="left" w:pos="4140"/>
          <w:tab w:val="left" w:pos="4800"/>
        </w:tabs>
        <w:ind w:right="71"/>
        <w:rPr>
          <w:rFonts w:ascii="Arial" w:hAnsi="Arial" w:cs="Arial"/>
          <w:bCs/>
          <w:sz w:val="24"/>
          <w:szCs w:val="24"/>
        </w:rPr>
      </w:pPr>
      <w:r w:rsidRPr="00EB6B6C">
        <w:rPr>
          <w:rFonts w:ascii="Arial" w:hAnsi="Arial" w:cs="Arial"/>
          <w:bCs/>
          <w:sz w:val="24"/>
          <w:szCs w:val="24"/>
        </w:rPr>
        <w:t>Extended written response</w:t>
      </w:r>
    </w:p>
    <w:p w14:paraId="515349A0" w14:textId="77777777" w:rsidR="00AB1B8E" w:rsidRDefault="00AB1B8E" w:rsidP="00AB1B8E">
      <w:pPr>
        <w:tabs>
          <w:tab w:val="left" w:pos="4140"/>
          <w:tab w:val="left" w:pos="4800"/>
        </w:tabs>
        <w:ind w:right="71"/>
        <w:rPr>
          <w:rFonts w:ascii="Arial" w:hAnsi="Arial" w:cs="Arial"/>
          <w:b/>
          <w:sz w:val="24"/>
          <w:szCs w:val="24"/>
        </w:rPr>
      </w:pPr>
      <w:r w:rsidRPr="00EB6B6C">
        <w:rPr>
          <w:rFonts w:ascii="Arial" w:hAnsi="Arial" w:cs="Arial"/>
          <w:b/>
          <w:sz w:val="24"/>
          <w:szCs w:val="24"/>
        </w:rPr>
        <w:t>Assessment conditions:</w:t>
      </w:r>
    </w:p>
    <w:p w14:paraId="3DCBE64A" w14:textId="77777777" w:rsidR="00AB1B8E" w:rsidRPr="00AB1B8E" w:rsidRDefault="00AB1B8E" w:rsidP="00AB1B8E">
      <w:pPr>
        <w:pStyle w:val="ListParagraph"/>
        <w:numPr>
          <w:ilvl w:val="0"/>
          <w:numId w:val="5"/>
        </w:numPr>
        <w:tabs>
          <w:tab w:val="left" w:pos="4140"/>
          <w:tab w:val="left" w:pos="4800"/>
        </w:tabs>
        <w:ind w:right="71"/>
        <w:rPr>
          <w:rFonts w:ascii="Arial" w:hAnsi="Arial" w:cs="Arial"/>
          <w:bCs/>
          <w:sz w:val="24"/>
          <w:szCs w:val="24"/>
        </w:rPr>
      </w:pPr>
      <w:r w:rsidRPr="00AB1B8E">
        <w:rPr>
          <w:rFonts w:ascii="Arial" w:hAnsi="Arial" w:cs="Arial"/>
          <w:bCs/>
          <w:sz w:val="24"/>
          <w:szCs w:val="24"/>
        </w:rPr>
        <w:t>Extended response, completed in test conditions in class.</w:t>
      </w:r>
    </w:p>
    <w:p w14:paraId="7F919CB6" w14:textId="77777777" w:rsidR="008D366A" w:rsidRDefault="008D366A" w:rsidP="008D366A">
      <w:pPr>
        <w:spacing w:line="276" w:lineRule="auto"/>
        <w:rPr>
          <w:rFonts w:ascii="Arial" w:hAnsi="Arial" w:cs="Arial"/>
          <w:sz w:val="28"/>
          <w:szCs w:val="28"/>
        </w:rPr>
      </w:pPr>
    </w:p>
    <w:tbl>
      <w:tblPr>
        <w:tblStyle w:val="TableGrid"/>
        <w:tblW w:w="10774" w:type="dxa"/>
        <w:tblInd w:w="-856" w:type="dxa"/>
        <w:tblLook w:val="04A0" w:firstRow="1" w:lastRow="0" w:firstColumn="1" w:lastColumn="0" w:noHBand="0" w:noVBand="1"/>
      </w:tblPr>
      <w:tblGrid>
        <w:gridCol w:w="10774"/>
      </w:tblGrid>
      <w:tr w:rsidR="00194456" w:rsidRPr="00194456" w14:paraId="1CF13019" w14:textId="77777777" w:rsidTr="00194456">
        <w:tc>
          <w:tcPr>
            <w:tcW w:w="10774" w:type="dxa"/>
            <w:shd w:val="clear" w:color="auto" w:fill="E7E6E6" w:themeFill="background2"/>
          </w:tcPr>
          <w:p w14:paraId="5C6800BD" w14:textId="6386A6A5" w:rsidR="00194456" w:rsidRPr="00194456" w:rsidRDefault="00194456" w:rsidP="008D366A">
            <w:pPr>
              <w:spacing w:line="276" w:lineRule="auto"/>
              <w:rPr>
                <w:rFonts w:ascii="Arial" w:hAnsi="Arial" w:cs="Arial"/>
                <w:b/>
                <w:bCs/>
                <w:sz w:val="28"/>
                <w:szCs w:val="28"/>
              </w:rPr>
            </w:pPr>
            <w:r w:rsidRPr="00194456">
              <w:rPr>
                <w:rFonts w:ascii="Arial" w:hAnsi="Arial" w:cs="Arial"/>
                <w:b/>
                <w:bCs/>
                <w:sz w:val="28"/>
                <w:szCs w:val="28"/>
              </w:rPr>
              <w:t xml:space="preserve">Extended Answer – Question 1                                            </w:t>
            </w:r>
            <w:r>
              <w:rPr>
                <w:rFonts w:ascii="Arial" w:hAnsi="Arial" w:cs="Arial"/>
                <w:b/>
                <w:bCs/>
                <w:sz w:val="28"/>
                <w:szCs w:val="28"/>
              </w:rPr>
              <w:t xml:space="preserve">                 </w:t>
            </w:r>
            <w:proofErr w:type="gramStart"/>
            <w:r>
              <w:rPr>
                <w:rFonts w:ascii="Arial" w:hAnsi="Arial" w:cs="Arial"/>
                <w:b/>
                <w:bCs/>
                <w:sz w:val="28"/>
                <w:szCs w:val="28"/>
              </w:rPr>
              <w:t xml:space="preserve">   </w:t>
            </w:r>
            <w:r w:rsidRPr="00194456">
              <w:rPr>
                <w:rFonts w:ascii="Arial" w:hAnsi="Arial" w:cs="Arial"/>
                <w:b/>
                <w:bCs/>
                <w:sz w:val="28"/>
                <w:szCs w:val="28"/>
              </w:rPr>
              <w:t>(</w:t>
            </w:r>
            <w:proofErr w:type="gramEnd"/>
            <w:r w:rsidRPr="00194456">
              <w:rPr>
                <w:rFonts w:ascii="Arial" w:hAnsi="Arial" w:cs="Arial"/>
                <w:b/>
                <w:bCs/>
                <w:sz w:val="28"/>
                <w:szCs w:val="28"/>
              </w:rPr>
              <w:t>8 marks)</w:t>
            </w:r>
          </w:p>
        </w:tc>
      </w:tr>
    </w:tbl>
    <w:p w14:paraId="00D4A328" w14:textId="218A4F6D" w:rsidR="008D366A" w:rsidRPr="00A06CBE" w:rsidRDefault="00194456" w:rsidP="00A06CBE">
      <w:pPr>
        <w:spacing w:line="276" w:lineRule="auto"/>
        <w:rPr>
          <w:rFonts w:ascii="Arial" w:hAnsi="Arial" w:cs="Arial"/>
          <w:b/>
          <w:bCs/>
          <w:i/>
          <w:iCs/>
          <w:sz w:val="34"/>
          <w:szCs w:val="34"/>
        </w:rPr>
      </w:pPr>
      <w:r w:rsidRPr="00A06CBE">
        <w:rPr>
          <w:rFonts w:ascii="Arial" w:hAnsi="Arial" w:cs="Arial"/>
          <w:b/>
          <w:bCs/>
          <w:i/>
          <w:iCs/>
          <w:sz w:val="34"/>
          <w:szCs w:val="34"/>
        </w:rPr>
        <w:t>Analysing, Evaluating, Communicating and Reflecting</w:t>
      </w:r>
    </w:p>
    <w:tbl>
      <w:tblPr>
        <w:tblStyle w:val="TableGrid"/>
        <w:tblW w:w="10774" w:type="dxa"/>
        <w:tblInd w:w="-856" w:type="dxa"/>
        <w:tblLook w:val="04A0" w:firstRow="1" w:lastRow="0" w:firstColumn="1" w:lastColumn="0" w:noHBand="0" w:noVBand="1"/>
      </w:tblPr>
      <w:tblGrid>
        <w:gridCol w:w="9782"/>
        <w:gridCol w:w="992"/>
      </w:tblGrid>
      <w:tr w:rsidR="00194456" w:rsidRPr="00A06CBE" w14:paraId="33820717" w14:textId="77777777" w:rsidTr="00194456">
        <w:tc>
          <w:tcPr>
            <w:tcW w:w="9782" w:type="dxa"/>
          </w:tcPr>
          <w:p w14:paraId="6B5E1234" w14:textId="15B066EE" w:rsidR="00194456" w:rsidRPr="00A06CBE" w:rsidRDefault="00194456" w:rsidP="008D366A">
            <w:pPr>
              <w:spacing w:line="276" w:lineRule="auto"/>
              <w:rPr>
                <w:rFonts w:cstheme="minorHAnsi"/>
                <w:i/>
                <w:iCs/>
                <w:sz w:val="28"/>
                <w:szCs w:val="28"/>
              </w:rPr>
            </w:pPr>
            <w:r w:rsidRPr="00A06CBE">
              <w:rPr>
                <w:rFonts w:cstheme="minorHAnsi"/>
                <w:i/>
                <w:iCs/>
                <w:sz w:val="28"/>
                <w:szCs w:val="28"/>
              </w:rPr>
              <w:t>Selects and accurately applies subject-specific skills to analyse the source to describe, in detail, the differences in wellbeing and development in Australia and India. Provides detailed relevant evidence from a range of sources from their broadsheet. Provides clear and concise references to the information on their broadsheet, such as… ‘as shown in Source1’. Describes and makes references to various (mostly all) indicators to illustrate differences between the two countries.</w:t>
            </w:r>
          </w:p>
        </w:tc>
        <w:tc>
          <w:tcPr>
            <w:tcW w:w="992" w:type="dxa"/>
          </w:tcPr>
          <w:p w14:paraId="60E27469" w14:textId="77777777" w:rsidR="00194456" w:rsidRPr="00A06CBE" w:rsidRDefault="00194456" w:rsidP="00194456">
            <w:pPr>
              <w:spacing w:line="276" w:lineRule="auto"/>
              <w:jc w:val="center"/>
              <w:rPr>
                <w:rFonts w:ascii="Arial" w:hAnsi="Arial" w:cs="Arial"/>
                <w:b/>
                <w:bCs/>
                <w:sz w:val="28"/>
                <w:szCs w:val="28"/>
              </w:rPr>
            </w:pPr>
          </w:p>
          <w:p w14:paraId="035145A0" w14:textId="77777777" w:rsidR="00194456" w:rsidRPr="00A06CBE" w:rsidRDefault="00194456" w:rsidP="00194456">
            <w:pPr>
              <w:spacing w:line="276" w:lineRule="auto"/>
              <w:jc w:val="center"/>
              <w:rPr>
                <w:rFonts w:ascii="Arial" w:hAnsi="Arial" w:cs="Arial"/>
                <w:b/>
                <w:bCs/>
                <w:sz w:val="28"/>
                <w:szCs w:val="28"/>
              </w:rPr>
            </w:pPr>
          </w:p>
          <w:p w14:paraId="7C8666E7" w14:textId="77777777" w:rsidR="00194456" w:rsidRPr="00A06CBE" w:rsidRDefault="00194456" w:rsidP="00194456">
            <w:pPr>
              <w:spacing w:line="276" w:lineRule="auto"/>
              <w:jc w:val="center"/>
              <w:rPr>
                <w:rFonts w:ascii="Arial" w:hAnsi="Arial" w:cs="Arial"/>
                <w:b/>
                <w:bCs/>
                <w:sz w:val="28"/>
                <w:szCs w:val="28"/>
              </w:rPr>
            </w:pPr>
          </w:p>
          <w:p w14:paraId="12ED4523" w14:textId="5FE8AECA" w:rsidR="00194456" w:rsidRPr="00A06CBE" w:rsidRDefault="00194456" w:rsidP="00194456">
            <w:pPr>
              <w:spacing w:line="276" w:lineRule="auto"/>
              <w:jc w:val="center"/>
              <w:rPr>
                <w:rFonts w:ascii="Arial" w:hAnsi="Arial" w:cs="Arial"/>
                <w:b/>
                <w:bCs/>
                <w:sz w:val="28"/>
                <w:szCs w:val="28"/>
              </w:rPr>
            </w:pPr>
            <w:r w:rsidRPr="00A06CBE">
              <w:rPr>
                <w:rFonts w:ascii="Arial" w:hAnsi="Arial" w:cs="Arial"/>
                <w:b/>
                <w:bCs/>
                <w:sz w:val="28"/>
                <w:szCs w:val="28"/>
              </w:rPr>
              <w:t>7-8</w:t>
            </w:r>
          </w:p>
        </w:tc>
      </w:tr>
      <w:tr w:rsidR="00194456" w:rsidRPr="00A06CBE" w14:paraId="0318DE1B" w14:textId="77777777" w:rsidTr="00194456">
        <w:tc>
          <w:tcPr>
            <w:tcW w:w="9782" w:type="dxa"/>
          </w:tcPr>
          <w:p w14:paraId="1E56B9C0" w14:textId="4F8181EC" w:rsidR="00194456" w:rsidRPr="00A06CBE" w:rsidRDefault="00194456" w:rsidP="008D366A">
            <w:pPr>
              <w:spacing w:line="276" w:lineRule="auto"/>
              <w:rPr>
                <w:rFonts w:cstheme="minorHAnsi"/>
                <w:sz w:val="28"/>
                <w:szCs w:val="28"/>
              </w:rPr>
            </w:pPr>
            <w:r w:rsidRPr="00A06CBE">
              <w:rPr>
                <w:rFonts w:cstheme="minorHAnsi"/>
                <w:i/>
                <w:iCs/>
                <w:sz w:val="28"/>
                <w:szCs w:val="28"/>
              </w:rPr>
              <w:t xml:space="preserve">Selects and applies subject-specific skills to analyse the source to describe, in </w:t>
            </w:r>
            <w:r w:rsidRPr="00A06CBE">
              <w:rPr>
                <w:rFonts w:cstheme="minorHAnsi"/>
                <w:i/>
                <w:iCs/>
                <w:sz w:val="28"/>
                <w:szCs w:val="28"/>
              </w:rPr>
              <w:t>some detail</w:t>
            </w:r>
            <w:r w:rsidRPr="00A06CBE">
              <w:rPr>
                <w:rFonts w:cstheme="minorHAnsi"/>
                <w:i/>
                <w:iCs/>
                <w:sz w:val="28"/>
                <w:szCs w:val="28"/>
              </w:rPr>
              <w:t xml:space="preserve">, the differences in wellbeing and development in Australia and India. Provides </w:t>
            </w:r>
            <w:r w:rsidRPr="00A06CBE">
              <w:rPr>
                <w:rFonts w:cstheme="minorHAnsi"/>
                <w:i/>
                <w:iCs/>
                <w:sz w:val="28"/>
                <w:szCs w:val="28"/>
              </w:rPr>
              <w:t xml:space="preserve">mostly </w:t>
            </w:r>
            <w:r w:rsidRPr="00A06CBE">
              <w:rPr>
                <w:rFonts w:cstheme="minorHAnsi"/>
                <w:i/>
                <w:iCs/>
                <w:sz w:val="28"/>
                <w:szCs w:val="28"/>
              </w:rPr>
              <w:t>relevant evidence from a range of sources from their broadsheet</w:t>
            </w:r>
            <w:r w:rsidRPr="00A06CBE">
              <w:rPr>
                <w:rFonts w:cstheme="minorHAnsi"/>
                <w:i/>
                <w:iCs/>
                <w:sz w:val="28"/>
                <w:szCs w:val="28"/>
              </w:rPr>
              <w:t>, however, may not include all sources from broadsheet</w:t>
            </w:r>
            <w:r w:rsidRPr="00A06CBE">
              <w:rPr>
                <w:rFonts w:cstheme="minorHAnsi"/>
                <w:i/>
                <w:iCs/>
                <w:sz w:val="28"/>
                <w:szCs w:val="28"/>
              </w:rPr>
              <w:t xml:space="preserve">. Provides </w:t>
            </w:r>
            <w:r w:rsidRPr="00A06CBE">
              <w:rPr>
                <w:rFonts w:cstheme="minorHAnsi"/>
                <w:i/>
                <w:iCs/>
                <w:sz w:val="28"/>
                <w:szCs w:val="28"/>
              </w:rPr>
              <w:t>some clear</w:t>
            </w:r>
            <w:r w:rsidRPr="00A06CBE">
              <w:rPr>
                <w:rFonts w:cstheme="minorHAnsi"/>
                <w:i/>
                <w:iCs/>
                <w:sz w:val="28"/>
                <w:szCs w:val="28"/>
              </w:rPr>
              <w:t xml:space="preserve"> references to the information on their broadsheet, such as… ‘as shown in Source1’. Describes and makes refe</w:t>
            </w:r>
            <w:r w:rsidRPr="00A06CBE">
              <w:rPr>
                <w:rFonts w:cstheme="minorHAnsi"/>
                <w:i/>
                <w:iCs/>
                <w:sz w:val="28"/>
                <w:szCs w:val="28"/>
              </w:rPr>
              <w:t>re</w:t>
            </w:r>
            <w:r w:rsidRPr="00A06CBE">
              <w:rPr>
                <w:rFonts w:cstheme="minorHAnsi"/>
                <w:i/>
                <w:iCs/>
                <w:sz w:val="28"/>
                <w:szCs w:val="28"/>
              </w:rPr>
              <w:t xml:space="preserve">nces to </w:t>
            </w:r>
            <w:r w:rsidRPr="00A06CBE">
              <w:rPr>
                <w:rFonts w:cstheme="minorHAnsi"/>
                <w:i/>
                <w:iCs/>
                <w:sz w:val="28"/>
                <w:szCs w:val="28"/>
              </w:rPr>
              <w:t>most</w:t>
            </w:r>
            <w:r w:rsidRPr="00A06CBE">
              <w:rPr>
                <w:rFonts w:cstheme="minorHAnsi"/>
                <w:i/>
                <w:iCs/>
                <w:sz w:val="28"/>
                <w:szCs w:val="28"/>
              </w:rPr>
              <w:t xml:space="preserve"> indicators</w:t>
            </w:r>
            <w:r w:rsidRPr="00A06CBE">
              <w:rPr>
                <w:rFonts w:cstheme="minorHAnsi"/>
                <w:i/>
                <w:iCs/>
                <w:sz w:val="28"/>
                <w:szCs w:val="28"/>
              </w:rPr>
              <w:t xml:space="preserve"> on their broadsheet to </w:t>
            </w:r>
            <w:r w:rsidRPr="00A06CBE">
              <w:rPr>
                <w:rFonts w:cstheme="minorHAnsi"/>
                <w:i/>
                <w:iCs/>
                <w:sz w:val="28"/>
                <w:szCs w:val="28"/>
              </w:rPr>
              <w:t>illustrate differences between the two countries.</w:t>
            </w:r>
          </w:p>
        </w:tc>
        <w:tc>
          <w:tcPr>
            <w:tcW w:w="992" w:type="dxa"/>
          </w:tcPr>
          <w:p w14:paraId="271BA233" w14:textId="77777777" w:rsidR="00194456" w:rsidRPr="00A06CBE" w:rsidRDefault="00194456" w:rsidP="008D366A">
            <w:pPr>
              <w:spacing w:line="276" w:lineRule="auto"/>
              <w:rPr>
                <w:rFonts w:ascii="Arial" w:hAnsi="Arial" w:cs="Arial"/>
                <w:b/>
                <w:bCs/>
                <w:sz w:val="28"/>
                <w:szCs w:val="28"/>
              </w:rPr>
            </w:pPr>
          </w:p>
          <w:p w14:paraId="70FAF474" w14:textId="77777777" w:rsidR="00194456" w:rsidRPr="00A06CBE" w:rsidRDefault="00194456" w:rsidP="008D366A">
            <w:pPr>
              <w:spacing w:line="276" w:lineRule="auto"/>
              <w:rPr>
                <w:rFonts w:ascii="Arial" w:hAnsi="Arial" w:cs="Arial"/>
                <w:b/>
                <w:bCs/>
                <w:sz w:val="28"/>
                <w:szCs w:val="28"/>
              </w:rPr>
            </w:pPr>
          </w:p>
          <w:p w14:paraId="7D30E30E" w14:textId="77777777" w:rsidR="00194456" w:rsidRPr="00A06CBE" w:rsidRDefault="00194456" w:rsidP="008D366A">
            <w:pPr>
              <w:spacing w:line="276" w:lineRule="auto"/>
              <w:rPr>
                <w:rFonts w:ascii="Arial" w:hAnsi="Arial" w:cs="Arial"/>
                <w:b/>
                <w:bCs/>
                <w:sz w:val="28"/>
                <w:szCs w:val="28"/>
              </w:rPr>
            </w:pPr>
          </w:p>
          <w:p w14:paraId="6F514109" w14:textId="77777777" w:rsidR="00194456" w:rsidRPr="00A06CBE" w:rsidRDefault="00194456" w:rsidP="008D366A">
            <w:pPr>
              <w:spacing w:line="276" w:lineRule="auto"/>
              <w:rPr>
                <w:rFonts w:ascii="Arial" w:hAnsi="Arial" w:cs="Arial"/>
                <w:b/>
                <w:bCs/>
                <w:sz w:val="28"/>
                <w:szCs w:val="28"/>
              </w:rPr>
            </w:pPr>
          </w:p>
          <w:p w14:paraId="0020BDAA" w14:textId="63A335C8" w:rsidR="00194456" w:rsidRPr="00A06CBE" w:rsidRDefault="00194456" w:rsidP="00194456">
            <w:pPr>
              <w:spacing w:line="276" w:lineRule="auto"/>
              <w:jc w:val="center"/>
              <w:rPr>
                <w:rFonts w:ascii="Arial" w:hAnsi="Arial" w:cs="Arial"/>
                <w:b/>
                <w:bCs/>
                <w:sz w:val="28"/>
                <w:szCs w:val="28"/>
              </w:rPr>
            </w:pPr>
            <w:r w:rsidRPr="00A06CBE">
              <w:rPr>
                <w:rFonts w:ascii="Arial" w:hAnsi="Arial" w:cs="Arial"/>
                <w:b/>
                <w:bCs/>
                <w:sz w:val="28"/>
                <w:szCs w:val="28"/>
              </w:rPr>
              <w:t>5-6</w:t>
            </w:r>
          </w:p>
        </w:tc>
      </w:tr>
      <w:tr w:rsidR="00194456" w:rsidRPr="00A06CBE" w14:paraId="0CF0A44C" w14:textId="77777777" w:rsidTr="00194456">
        <w:tc>
          <w:tcPr>
            <w:tcW w:w="9782" w:type="dxa"/>
          </w:tcPr>
          <w:p w14:paraId="289F1A24" w14:textId="77777777" w:rsidR="00194456" w:rsidRPr="00A06CBE" w:rsidRDefault="00194456" w:rsidP="008D366A">
            <w:pPr>
              <w:spacing w:line="276" w:lineRule="auto"/>
              <w:rPr>
                <w:rFonts w:cstheme="minorHAnsi"/>
                <w:i/>
                <w:iCs/>
                <w:sz w:val="28"/>
                <w:szCs w:val="28"/>
              </w:rPr>
            </w:pPr>
            <w:r w:rsidRPr="00A06CBE">
              <w:rPr>
                <w:rFonts w:cstheme="minorHAnsi"/>
                <w:i/>
                <w:iCs/>
                <w:sz w:val="28"/>
                <w:szCs w:val="28"/>
              </w:rPr>
              <w:t>Applies subject-specific skills to analyse the sources to describe the differences in wellbeing and development in Australia and India.</w:t>
            </w:r>
          </w:p>
          <w:p w14:paraId="6C0D5FE3" w14:textId="4FD0D4F2" w:rsidR="00194456" w:rsidRPr="00A06CBE" w:rsidRDefault="00194456" w:rsidP="008D366A">
            <w:pPr>
              <w:spacing w:line="276" w:lineRule="auto"/>
              <w:rPr>
                <w:rFonts w:cstheme="minorHAnsi"/>
                <w:sz w:val="28"/>
                <w:szCs w:val="28"/>
              </w:rPr>
            </w:pPr>
            <w:r w:rsidRPr="00A06CBE">
              <w:rPr>
                <w:rFonts w:cstheme="minorHAnsi"/>
                <w:i/>
                <w:iCs/>
                <w:sz w:val="28"/>
                <w:szCs w:val="28"/>
              </w:rPr>
              <w:t>Provides some relevant evidence from a range of sources from their broadsheet. However, may not references sources clearly and concisely throughout their text.</w:t>
            </w:r>
          </w:p>
        </w:tc>
        <w:tc>
          <w:tcPr>
            <w:tcW w:w="992" w:type="dxa"/>
          </w:tcPr>
          <w:p w14:paraId="084E88C4" w14:textId="77777777" w:rsidR="00194456" w:rsidRPr="00A06CBE" w:rsidRDefault="00194456" w:rsidP="008D366A">
            <w:pPr>
              <w:spacing w:line="276" w:lineRule="auto"/>
              <w:rPr>
                <w:rFonts w:ascii="Arial" w:hAnsi="Arial" w:cs="Arial"/>
                <w:b/>
                <w:bCs/>
                <w:sz w:val="28"/>
                <w:szCs w:val="28"/>
              </w:rPr>
            </w:pPr>
          </w:p>
          <w:p w14:paraId="315CE92D" w14:textId="77777777" w:rsidR="00A06CBE" w:rsidRPr="00A06CBE" w:rsidRDefault="00A06CBE" w:rsidP="008D366A">
            <w:pPr>
              <w:spacing w:line="276" w:lineRule="auto"/>
              <w:rPr>
                <w:rFonts w:ascii="Arial" w:hAnsi="Arial" w:cs="Arial"/>
                <w:b/>
                <w:bCs/>
                <w:sz w:val="28"/>
                <w:szCs w:val="28"/>
              </w:rPr>
            </w:pPr>
          </w:p>
          <w:p w14:paraId="58248AE0" w14:textId="3150E26D" w:rsidR="00A06CBE" w:rsidRPr="00A06CBE" w:rsidRDefault="00A06CBE" w:rsidP="00A06CBE">
            <w:pPr>
              <w:spacing w:line="276" w:lineRule="auto"/>
              <w:jc w:val="center"/>
              <w:rPr>
                <w:rFonts w:ascii="Arial" w:hAnsi="Arial" w:cs="Arial"/>
                <w:b/>
                <w:bCs/>
                <w:sz w:val="28"/>
                <w:szCs w:val="28"/>
              </w:rPr>
            </w:pPr>
            <w:r w:rsidRPr="00A06CBE">
              <w:rPr>
                <w:rFonts w:ascii="Arial" w:hAnsi="Arial" w:cs="Arial"/>
                <w:b/>
                <w:bCs/>
                <w:sz w:val="28"/>
                <w:szCs w:val="28"/>
              </w:rPr>
              <w:t>3-4</w:t>
            </w:r>
          </w:p>
        </w:tc>
      </w:tr>
      <w:tr w:rsidR="00194456" w:rsidRPr="00A06CBE" w14:paraId="75587420" w14:textId="77777777" w:rsidTr="00194456">
        <w:tc>
          <w:tcPr>
            <w:tcW w:w="9782" w:type="dxa"/>
          </w:tcPr>
          <w:p w14:paraId="6CD071F9" w14:textId="77777777" w:rsidR="00194456" w:rsidRPr="00A06CBE" w:rsidRDefault="00A06CBE" w:rsidP="008D366A">
            <w:pPr>
              <w:spacing w:line="276" w:lineRule="auto"/>
              <w:rPr>
                <w:rFonts w:cstheme="minorHAnsi"/>
                <w:i/>
                <w:iCs/>
                <w:sz w:val="28"/>
                <w:szCs w:val="28"/>
              </w:rPr>
            </w:pPr>
            <w:r w:rsidRPr="00A06CBE">
              <w:rPr>
                <w:rFonts w:cstheme="minorHAnsi"/>
                <w:i/>
                <w:iCs/>
                <w:sz w:val="28"/>
                <w:szCs w:val="28"/>
              </w:rPr>
              <w:t>Outlines in general terms the differences in wellbeing and development in Australia and India.</w:t>
            </w:r>
          </w:p>
          <w:p w14:paraId="4A36CDDA" w14:textId="77777777" w:rsidR="00A06CBE" w:rsidRDefault="00A06CBE" w:rsidP="008D366A">
            <w:pPr>
              <w:spacing w:line="276" w:lineRule="auto"/>
              <w:rPr>
                <w:rFonts w:cstheme="minorHAnsi"/>
                <w:i/>
                <w:iCs/>
                <w:sz w:val="28"/>
                <w:szCs w:val="28"/>
              </w:rPr>
            </w:pPr>
            <w:r w:rsidRPr="00A06CBE">
              <w:rPr>
                <w:rFonts w:cstheme="minorHAnsi"/>
                <w:i/>
                <w:iCs/>
                <w:sz w:val="28"/>
                <w:szCs w:val="28"/>
              </w:rPr>
              <w:t>Uses generalisations, with limited use of evidence from the broadsheet.</w:t>
            </w:r>
          </w:p>
          <w:p w14:paraId="06DBA0D3" w14:textId="7745C22A" w:rsidR="00A06CBE" w:rsidRPr="00A06CBE" w:rsidRDefault="00A06CBE" w:rsidP="008D366A">
            <w:pPr>
              <w:spacing w:line="276" w:lineRule="auto"/>
              <w:rPr>
                <w:rFonts w:cstheme="minorHAnsi"/>
                <w:i/>
                <w:iCs/>
                <w:sz w:val="28"/>
                <w:szCs w:val="28"/>
              </w:rPr>
            </w:pPr>
          </w:p>
        </w:tc>
        <w:tc>
          <w:tcPr>
            <w:tcW w:w="992" w:type="dxa"/>
          </w:tcPr>
          <w:p w14:paraId="5424A0DB" w14:textId="77777777" w:rsidR="00194456" w:rsidRPr="00A06CBE" w:rsidRDefault="00194456" w:rsidP="008D366A">
            <w:pPr>
              <w:spacing w:line="276" w:lineRule="auto"/>
              <w:rPr>
                <w:rFonts w:ascii="Arial" w:hAnsi="Arial" w:cs="Arial"/>
                <w:b/>
                <w:bCs/>
                <w:sz w:val="28"/>
                <w:szCs w:val="28"/>
              </w:rPr>
            </w:pPr>
          </w:p>
          <w:p w14:paraId="32B56E62" w14:textId="1C5D6E91" w:rsidR="00A06CBE" w:rsidRPr="00A06CBE" w:rsidRDefault="00A06CBE" w:rsidP="00A06CBE">
            <w:pPr>
              <w:spacing w:line="276" w:lineRule="auto"/>
              <w:jc w:val="center"/>
              <w:rPr>
                <w:rFonts w:ascii="Arial" w:hAnsi="Arial" w:cs="Arial"/>
                <w:b/>
                <w:bCs/>
                <w:sz w:val="28"/>
                <w:szCs w:val="28"/>
              </w:rPr>
            </w:pPr>
            <w:r w:rsidRPr="00A06CBE">
              <w:rPr>
                <w:rFonts w:ascii="Arial" w:hAnsi="Arial" w:cs="Arial"/>
                <w:b/>
                <w:bCs/>
                <w:sz w:val="28"/>
                <w:szCs w:val="28"/>
              </w:rPr>
              <w:t>1-2</w:t>
            </w:r>
          </w:p>
        </w:tc>
      </w:tr>
      <w:tr w:rsidR="00A06CBE" w:rsidRPr="00194456" w14:paraId="154687DB" w14:textId="77777777" w:rsidTr="008A5140">
        <w:tc>
          <w:tcPr>
            <w:tcW w:w="10774" w:type="dxa"/>
            <w:gridSpan w:val="2"/>
            <w:shd w:val="clear" w:color="auto" w:fill="E7E6E6" w:themeFill="background2"/>
          </w:tcPr>
          <w:p w14:paraId="0ACDD3E4" w14:textId="3B29DD66" w:rsidR="00A06CBE" w:rsidRPr="00194456" w:rsidRDefault="00A06CBE" w:rsidP="008A5140">
            <w:pPr>
              <w:spacing w:line="276" w:lineRule="auto"/>
              <w:rPr>
                <w:rFonts w:ascii="Arial" w:hAnsi="Arial" w:cs="Arial"/>
                <w:b/>
                <w:bCs/>
                <w:sz w:val="28"/>
                <w:szCs w:val="28"/>
              </w:rPr>
            </w:pPr>
            <w:r w:rsidRPr="00194456">
              <w:rPr>
                <w:rFonts w:ascii="Arial" w:hAnsi="Arial" w:cs="Arial"/>
                <w:b/>
                <w:bCs/>
                <w:sz w:val="28"/>
                <w:szCs w:val="28"/>
              </w:rPr>
              <w:lastRenderedPageBreak/>
              <w:t xml:space="preserve">Extended Answer – Question </w:t>
            </w:r>
            <w:r>
              <w:rPr>
                <w:rFonts w:ascii="Arial" w:hAnsi="Arial" w:cs="Arial"/>
                <w:b/>
                <w:bCs/>
                <w:sz w:val="28"/>
                <w:szCs w:val="28"/>
              </w:rPr>
              <w:t>2</w:t>
            </w:r>
            <w:r w:rsidRPr="00194456">
              <w:rPr>
                <w:rFonts w:ascii="Arial" w:hAnsi="Arial" w:cs="Arial"/>
                <w:b/>
                <w:bCs/>
                <w:sz w:val="28"/>
                <w:szCs w:val="28"/>
              </w:rPr>
              <w:t xml:space="preserve">                                            </w:t>
            </w:r>
            <w:r>
              <w:rPr>
                <w:rFonts w:ascii="Arial" w:hAnsi="Arial" w:cs="Arial"/>
                <w:b/>
                <w:bCs/>
                <w:sz w:val="28"/>
                <w:szCs w:val="28"/>
              </w:rPr>
              <w:t xml:space="preserve">                 </w:t>
            </w:r>
            <w:proofErr w:type="gramStart"/>
            <w:r>
              <w:rPr>
                <w:rFonts w:ascii="Arial" w:hAnsi="Arial" w:cs="Arial"/>
                <w:b/>
                <w:bCs/>
                <w:sz w:val="28"/>
                <w:szCs w:val="28"/>
              </w:rPr>
              <w:t xml:space="preserve">   </w:t>
            </w:r>
            <w:r w:rsidRPr="00194456">
              <w:rPr>
                <w:rFonts w:ascii="Arial" w:hAnsi="Arial" w:cs="Arial"/>
                <w:b/>
                <w:bCs/>
                <w:sz w:val="28"/>
                <w:szCs w:val="28"/>
              </w:rPr>
              <w:t>(</w:t>
            </w:r>
            <w:proofErr w:type="gramEnd"/>
            <w:r w:rsidRPr="00194456">
              <w:rPr>
                <w:rFonts w:ascii="Arial" w:hAnsi="Arial" w:cs="Arial"/>
                <w:b/>
                <w:bCs/>
                <w:sz w:val="28"/>
                <w:szCs w:val="28"/>
              </w:rPr>
              <w:t>8 marks)</w:t>
            </w:r>
          </w:p>
        </w:tc>
      </w:tr>
    </w:tbl>
    <w:p w14:paraId="60A61FEC" w14:textId="77777777" w:rsidR="00A06CBE" w:rsidRPr="00194456" w:rsidRDefault="00A06CBE" w:rsidP="00A06CBE">
      <w:pPr>
        <w:spacing w:line="276" w:lineRule="auto"/>
        <w:jc w:val="center"/>
        <w:rPr>
          <w:rFonts w:ascii="Arial" w:hAnsi="Arial" w:cs="Arial"/>
          <w:b/>
          <w:bCs/>
          <w:i/>
          <w:iCs/>
          <w:sz w:val="28"/>
          <w:szCs w:val="28"/>
        </w:rPr>
      </w:pPr>
      <w:r w:rsidRPr="00194456">
        <w:rPr>
          <w:rFonts w:ascii="Arial" w:hAnsi="Arial" w:cs="Arial"/>
          <w:b/>
          <w:bCs/>
          <w:i/>
          <w:iCs/>
          <w:sz w:val="28"/>
          <w:szCs w:val="28"/>
        </w:rPr>
        <w:t>Analysing, Evaluating, Communicating and Reflecting</w:t>
      </w:r>
    </w:p>
    <w:tbl>
      <w:tblPr>
        <w:tblStyle w:val="TableGrid"/>
        <w:tblW w:w="10774" w:type="dxa"/>
        <w:tblInd w:w="-856" w:type="dxa"/>
        <w:tblLook w:val="04A0" w:firstRow="1" w:lastRow="0" w:firstColumn="1" w:lastColumn="0" w:noHBand="0" w:noVBand="1"/>
      </w:tblPr>
      <w:tblGrid>
        <w:gridCol w:w="9782"/>
        <w:gridCol w:w="992"/>
      </w:tblGrid>
      <w:tr w:rsidR="00A06CBE" w14:paraId="1E06F778" w14:textId="77777777" w:rsidTr="008A5140">
        <w:tc>
          <w:tcPr>
            <w:tcW w:w="9782" w:type="dxa"/>
          </w:tcPr>
          <w:p w14:paraId="5D9DF445" w14:textId="6248F155" w:rsidR="00A06CBE" w:rsidRPr="00A06CBE" w:rsidRDefault="00A06CBE" w:rsidP="008A5140">
            <w:pPr>
              <w:spacing w:line="276" w:lineRule="auto"/>
              <w:rPr>
                <w:rFonts w:ascii="Arial" w:hAnsi="Arial" w:cs="Arial"/>
                <w:i/>
                <w:iCs/>
                <w:sz w:val="28"/>
                <w:szCs w:val="28"/>
              </w:rPr>
            </w:pPr>
            <w:r w:rsidRPr="00A06CBE">
              <w:rPr>
                <w:i/>
                <w:iCs/>
                <w:sz w:val="28"/>
                <w:szCs w:val="28"/>
              </w:rPr>
              <w:t>Explains in detail cause and effect relationships to support a well-founded conclusion, accounting for the differences in wellbeing and development in Australia and India. Makes relevant and detailed connections between the evidence from a range of the sources and what it may indicate about the reasons for the differences in wellbeing and development in Australia and India. Consistently and appropriately uses subject-specific terminology.</w:t>
            </w:r>
          </w:p>
        </w:tc>
        <w:tc>
          <w:tcPr>
            <w:tcW w:w="992" w:type="dxa"/>
          </w:tcPr>
          <w:p w14:paraId="0FB0EF95" w14:textId="77777777" w:rsidR="00A06CBE" w:rsidRPr="00A06CBE" w:rsidRDefault="00A06CBE" w:rsidP="008A5140">
            <w:pPr>
              <w:spacing w:line="276" w:lineRule="auto"/>
              <w:jc w:val="center"/>
              <w:rPr>
                <w:rFonts w:ascii="Arial" w:hAnsi="Arial" w:cs="Arial"/>
                <w:b/>
                <w:bCs/>
                <w:sz w:val="28"/>
                <w:szCs w:val="28"/>
              </w:rPr>
            </w:pPr>
          </w:p>
          <w:p w14:paraId="11E3EBEB" w14:textId="77777777" w:rsidR="00A06CBE" w:rsidRPr="00A06CBE" w:rsidRDefault="00A06CBE" w:rsidP="008A5140">
            <w:pPr>
              <w:spacing w:line="276" w:lineRule="auto"/>
              <w:jc w:val="center"/>
              <w:rPr>
                <w:rFonts w:ascii="Arial" w:hAnsi="Arial" w:cs="Arial"/>
                <w:b/>
                <w:bCs/>
                <w:sz w:val="28"/>
                <w:szCs w:val="28"/>
              </w:rPr>
            </w:pPr>
          </w:p>
          <w:p w14:paraId="6FDE401B" w14:textId="77777777" w:rsidR="00A06CBE" w:rsidRPr="00A06CBE" w:rsidRDefault="00A06CBE" w:rsidP="008A5140">
            <w:pPr>
              <w:spacing w:line="276" w:lineRule="auto"/>
              <w:jc w:val="center"/>
              <w:rPr>
                <w:rFonts w:ascii="Arial" w:hAnsi="Arial" w:cs="Arial"/>
                <w:b/>
                <w:bCs/>
                <w:sz w:val="28"/>
                <w:szCs w:val="28"/>
              </w:rPr>
            </w:pPr>
          </w:p>
          <w:p w14:paraId="3C4E2C51" w14:textId="77777777" w:rsidR="00A06CBE" w:rsidRPr="00A06CBE" w:rsidRDefault="00A06CBE" w:rsidP="008A5140">
            <w:pPr>
              <w:spacing w:line="276" w:lineRule="auto"/>
              <w:jc w:val="center"/>
              <w:rPr>
                <w:rFonts w:ascii="Arial" w:hAnsi="Arial" w:cs="Arial"/>
                <w:b/>
                <w:bCs/>
                <w:sz w:val="28"/>
                <w:szCs w:val="28"/>
              </w:rPr>
            </w:pPr>
            <w:r w:rsidRPr="00A06CBE">
              <w:rPr>
                <w:rFonts w:ascii="Arial" w:hAnsi="Arial" w:cs="Arial"/>
                <w:b/>
                <w:bCs/>
                <w:sz w:val="28"/>
                <w:szCs w:val="28"/>
              </w:rPr>
              <w:t>7-8</w:t>
            </w:r>
          </w:p>
        </w:tc>
      </w:tr>
      <w:tr w:rsidR="00A06CBE" w14:paraId="73FC2591" w14:textId="77777777" w:rsidTr="008A5140">
        <w:tc>
          <w:tcPr>
            <w:tcW w:w="9782" w:type="dxa"/>
          </w:tcPr>
          <w:p w14:paraId="0C507A7B" w14:textId="4A4E31A1" w:rsidR="00A06CBE" w:rsidRPr="00A06CBE" w:rsidRDefault="00A06CBE" w:rsidP="008A5140">
            <w:pPr>
              <w:spacing w:line="276" w:lineRule="auto"/>
              <w:rPr>
                <w:rFonts w:ascii="Arial" w:hAnsi="Arial" w:cs="Arial"/>
                <w:i/>
                <w:iCs/>
                <w:sz w:val="28"/>
                <w:szCs w:val="28"/>
              </w:rPr>
            </w:pPr>
            <w:r w:rsidRPr="00A06CBE">
              <w:rPr>
                <w:i/>
                <w:iCs/>
                <w:sz w:val="28"/>
                <w:szCs w:val="28"/>
              </w:rPr>
              <w:t>Explains cause and effect relationships to support a conclusion, accounting for the differences in wellbeing and development in Australia and India. Makes relevant connections between the evidence from a range of the sources and what it may indicate about the reasons for the differences in wellbeing and development in Australia and India. Appropriately uses subject-specific terminology</w:t>
            </w:r>
          </w:p>
        </w:tc>
        <w:tc>
          <w:tcPr>
            <w:tcW w:w="992" w:type="dxa"/>
          </w:tcPr>
          <w:p w14:paraId="067789E4" w14:textId="77777777" w:rsidR="00A06CBE" w:rsidRPr="00A06CBE" w:rsidRDefault="00A06CBE" w:rsidP="008A5140">
            <w:pPr>
              <w:spacing w:line="276" w:lineRule="auto"/>
              <w:rPr>
                <w:rFonts w:ascii="Arial" w:hAnsi="Arial" w:cs="Arial"/>
                <w:b/>
                <w:bCs/>
                <w:sz w:val="28"/>
                <w:szCs w:val="28"/>
              </w:rPr>
            </w:pPr>
          </w:p>
          <w:p w14:paraId="32F1B510" w14:textId="77777777" w:rsidR="00A06CBE" w:rsidRPr="00A06CBE" w:rsidRDefault="00A06CBE" w:rsidP="008A5140">
            <w:pPr>
              <w:spacing w:line="276" w:lineRule="auto"/>
              <w:rPr>
                <w:rFonts w:ascii="Arial" w:hAnsi="Arial" w:cs="Arial"/>
                <w:b/>
                <w:bCs/>
                <w:sz w:val="28"/>
                <w:szCs w:val="28"/>
              </w:rPr>
            </w:pPr>
          </w:p>
          <w:p w14:paraId="7DBBFA5B" w14:textId="77777777" w:rsidR="00A06CBE" w:rsidRPr="00A06CBE" w:rsidRDefault="00A06CBE" w:rsidP="008A5140">
            <w:pPr>
              <w:spacing w:line="276" w:lineRule="auto"/>
              <w:rPr>
                <w:rFonts w:ascii="Arial" w:hAnsi="Arial" w:cs="Arial"/>
                <w:b/>
                <w:bCs/>
                <w:sz w:val="28"/>
                <w:szCs w:val="28"/>
              </w:rPr>
            </w:pPr>
          </w:p>
          <w:p w14:paraId="2F806334" w14:textId="77777777" w:rsidR="00A06CBE" w:rsidRPr="00A06CBE" w:rsidRDefault="00A06CBE" w:rsidP="008A5140">
            <w:pPr>
              <w:spacing w:line="276" w:lineRule="auto"/>
              <w:rPr>
                <w:rFonts w:ascii="Arial" w:hAnsi="Arial" w:cs="Arial"/>
                <w:b/>
                <w:bCs/>
                <w:sz w:val="28"/>
                <w:szCs w:val="28"/>
              </w:rPr>
            </w:pPr>
          </w:p>
          <w:p w14:paraId="6B6A9C54" w14:textId="77777777" w:rsidR="00A06CBE" w:rsidRPr="00A06CBE" w:rsidRDefault="00A06CBE" w:rsidP="008A5140">
            <w:pPr>
              <w:spacing w:line="276" w:lineRule="auto"/>
              <w:jc w:val="center"/>
              <w:rPr>
                <w:rFonts w:ascii="Arial" w:hAnsi="Arial" w:cs="Arial"/>
                <w:b/>
                <w:bCs/>
                <w:sz w:val="28"/>
                <w:szCs w:val="28"/>
              </w:rPr>
            </w:pPr>
            <w:r w:rsidRPr="00A06CBE">
              <w:rPr>
                <w:rFonts w:ascii="Arial" w:hAnsi="Arial" w:cs="Arial"/>
                <w:b/>
                <w:bCs/>
                <w:sz w:val="28"/>
                <w:szCs w:val="28"/>
              </w:rPr>
              <w:t>5-6</w:t>
            </w:r>
          </w:p>
        </w:tc>
      </w:tr>
      <w:tr w:rsidR="00A06CBE" w14:paraId="2CB54118" w14:textId="77777777" w:rsidTr="008A5140">
        <w:tc>
          <w:tcPr>
            <w:tcW w:w="9782" w:type="dxa"/>
          </w:tcPr>
          <w:p w14:paraId="72759FB0" w14:textId="54905A7E" w:rsidR="00A06CBE" w:rsidRPr="00A06CBE" w:rsidRDefault="00A06CBE" w:rsidP="008A5140">
            <w:pPr>
              <w:spacing w:line="276" w:lineRule="auto"/>
              <w:rPr>
                <w:rFonts w:ascii="Arial" w:hAnsi="Arial" w:cs="Arial"/>
                <w:i/>
                <w:iCs/>
                <w:sz w:val="28"/>
                <w:szCs w:val="28"/>
              </w:rPr>
            </w:pPr>
            <w:r w:rsidRPr="00A06CBE">
              <w:rPr>
                <w:i/>
                <w:iCs/>
                <w:sz w:val="28"/>
                <w:szCs w:val="28"/>
              </w:rPr>
              <w:t>Describes briefly cause and effect relationships to support a simple conclusion, accounting for some of the differences in wellbeing and development in Australia and India. Makes some simple connections between the evidence in the sources and what it may indicate about the reasons for the differences in wellbeing and development in Australia and India. Uses some subject-specific terminology.</w:t>
            </w:r>
          </w:p>
        </w:tc>
        <w:tc>
          <w:tcPr>
            <w:tcW w:w="992" w:type="dxa"/>
          </w:tcPr>
          <w:p w14:paraId="257C1DF9" w14:textId="77777777" w:rsidR="00A06CBE" w:rsidRPr="00A06CBE" w:rsidRDefault="00A06CBE" w:rsidP="008A5140">
            <w:pPr>
              <w:spacing w:line="276" w:lineRule="auto"/>
              <w:rPr>
                <w:rFonts w:ascii="Arial" w:hAnsi="Arial" w:cs="Arial"/>
                <w:b/>
                <w:bCs/>
                <w:sz w:val="28"/>
                <w:szCs w:val="28"/>
              </w:rPr>
            </w:pPr>
          </w:p>
          <w:p w14:paraId="259696D3" w14:textId="77777777" w:rsidR="00A06CBE" w:rsidRPr="00A06CBE" w:rsidRDefault="00A06CBE" w:rsidP="008A5140">
            <w:pPr>
              <w:spacing w:line="276" w:lineRule="auto"/>
              <w:rPr>
                <w:rFonts w:ascii="Arial" w:hAnsi="Arial" w:cs="Arial"/>
                <w:b/>
                <w:bCs/>
                <w:sz w:val="28"/>
                <w:szCs w:val="28"/>
              </w:rPr>
            </w:pPr>
          </w:p>
          <w:p w14:paraId="1D24ED6D" w14:textId="77777777" w:rsidR="00A06CBE" w:rsidRPr="00A06CBE" w:rsidRDefault="00A06CBE" w:rsidP="008A5140">
            <w:pPr>
              <w:spacing w:line="276" w:lineRule="auto"/>
              <w:jc w:val="center"/>
              <w:rPr>
                <w:rFonts w:ascii="Arial" w:hAnsi="Arial" w:cs="Arial"/>
                <w:b/>
                <w:bCs/>
                <w:sz w:val="28"/>
                <w:szCs w:val="28"/>
              </w:rPr>
            </w:pPr>
            <w:r w:rsidRPr="00A06CBE">
              <w:rPr>
                <w:rFonts w:ascii="Arial" w:hAnsi="Arial" w:cs="Arial"/>
                <w:b/>
                <w:bCs/>
                <w:sz w:val="28"/>
                <w:szCs w:val="28"/>
              </w:rPr>
              <w:t>3-4</w:t>
            </w:r>
          </w:p>
        </w:tc>
      </w:tr>
      <w:tr w:rsidR="00A06CBE" w14:paraId="575CA7DC" w14:textId="77777777" w:rsidTr="008A5140">
        <w:tc>
          <w:tcPr>
            <w:tcW w:w="9782" w:type="dxa"/>
          </w:tcPr>
          <w:p w14:paraId="4B409387" w14:textId="4B86C11A" w:rsidR="00A06CBE" w:rsidRPr="00A06CBE" w:rsidRDefault="00A06CBE" w:rsidP="008A5140">
            <w:pPr>
              <w:spacing w:line="276" w:lineRule="auto"/>
              <w:rPr>
                <w:rFonts w:ascii="Arial" w:hAnsi="Arial" w:cs="Arial"/>
                <w:i/>
                <w:iCs/>
                <w:sz w:val="28"/>
                <w:szCs w:val="28"/>
              </w:rPr>
            </w:pPr>
            <w:r w:rsidRPr="00A06CBE">
              <w:rPr>
                <w:i/>
                <w:iCs/>
                <w:sz w:val="28"/>
                <w:szCs w:val="28"/>
              </w:rPr>
              <w:t>Makes generalised statements to account for the differences in wellbeing and development in Australia and India. Makes limited connections between the evidence in the sources and what it may indicate about the reasons for the differences in wellbeing and development in Australia and India. Uses minimal subject-specific terminology.</w:t>
            </w:r>
          </w:p>
        </w:tc>
        <w:tc>
          <w:tcPr>
            <w:tcW w:w="992" w:type="dxa"/>
          </w:tcPr>
          <w:p w14:paraId="076871EC" w14:textId="77777777" w:rsidR="00A06CBE" w:rsidRPr="00A06CBE" w:rsidRDefault="00A06CBE" w:rsidP="008A5140">
            <w:pPr>
              <w:spacing w:line="276" w:lineRule="auto"/>
              <w:rPr>
                <w:rFonts w:ascii="Arial" w:hAnsi="Arial" w:cs="Arial"/>
                <w:b/>
                <w:bCs/>
                <w:sz w:val="28"/>
                <w:szCs w:val="28"/>
              </w:rPr>
            </w:pPr>
          </w:p>
          <w:p w14:paraId="4CE70FF9" w14:textId="77777777" w:rsidR="00A06CBE" w:rsidRPr="00A06CBE" w:rsidRDefault="00A06CBE" w:rsidP="008A5140">
            <w:pPr>
              <w:spacing w:line="276" w:lineRule="auto"/>
              <w:jc w:val="center"/>
              <w:rPr>
                <w:rFonts w:ascii="Arial" w:hAnsi="Arial" w:cs="Arial"/>
                <w:b/>
                <w:bCs/>
                <w:sz w:val="28"/>
                <w:szCs w:val="28"/>
              </w:rPr>
            </w:pPr>
            <w:r w:rsidRPr="00A06CBE">
              <w:rPr>
                <w:rFonts w:ascii="Arial" w:hAnsi="Arial" w:cs="Arial"/>
                <w:b/>
                <w:bCs/>
                <w:sz w:val="28"/>
                <w:szCs w:val="28"/>
              </w:rPr>
              <w:t>1-2</w:t>
            </w:r>
          </w:p>
        </w:tc>
      </w:tr>
    </w:tbl>
    <w:p w14:paraId="7957CED5" w14:textId="77777777" w:rsidR="008D366A" w:rsidRDefault="008D366A" w:rsidP="008D366A">
      <w:pPr>
        <w:spacing w:line="276" w:lineRule="auto"/>
        <w:rPr>
          <w:rFonts w:ascii="Arial" w:hAnsi="Arial" w:cs="Arial"/>
          <w:sz w:val="28"/>
          <w:szCs w:val="28"/>
        </w:rPr>
      </w:pPr>
    </w:p>
    <w:p w14:paraId="7193B4E8" w14:textId="77777777" w:rsidR="008D366A" w:rsidRDefault="008D366A" w:rsidP="008D366A">
      <w:pPr>
        <w:spacing w:line="276" w:lineRule="auto"/>
        <w:rPr>
          <w:rFonts w:ascii="Arial" w:hAnsi="Arial" w:cs="Arial"/>
          <w:sz w:val="28"/>
          <w:szCs w:val="28"/>
        </w:rPr>
      </w:pPr>
    </w:p>
    <w:p w14:paraId="14F2AB74" w14:textId="77777777" w:rsidR="008D366A" w:rsidRDefault="008D366A" w:rsidP="008D366A">
      <w:pPr>
        <w:spacing w:line="276" w:lineRule="auto"/>
        <w:rPr>
          <w:rFonts w:ascii="Arial" w:hAnsi="Arial" w:cs="Arial"/>
          <w:sz w:val="28"/>
          <w:szCs w:val="28"/>
        </w:rPr>
      </w:pPr>
    </w:p>
    <w:p w14:paraId="1C7E7CFF" w14:textId="77777777" w:rsidR="008D366A" w:rsidRDefault="008D366A" w:rsidP="008D366A">
      <w:pPr>
        <w:spacing w:line="276" w:lineRule="auto"/>
        <w:rPr>
          <w:rFonts w:ascii="Arial" w:hAnsi="Arial" w:cs="Arial"/>
          <w:sz w:val="28"/>
          <w:szCs w:val="28"/>
        </w:rPr>
      </w:pPr>
    </w:p>
    <w:p w14:paraId="4FCE6C37" w14:textId="77777777" w:rsidR="008D366A" w:rsidRDefault="008D366A" w:rsidP="008D366A">
      <w:pPr>
        <w:spacing w:line="276" w:lineRule="auto"/>
        <w:rPr>
          <w:rFonts w:ascii="Arial" w:hAnsi="Arial" w:cs="Arial"/>
          <w:sz w:val="28"/>
          <w:szCs w:val="28"/>
        </w:rPr>
      </w:pPr>
    </w:p>
    <w:p w14:paraId="37E2FBE2" w14:textId="77777777" w:rsidR="008D366A" w:rsidRDefault="008D366A" w:rsidP="008D366A">
      <w:pPr>
        <w:spacing w:line="276" w:lineRule="auto"/>
        <w:rPr>
          <w:rFonts w:ascii="Arial" w:hAnsi="Arial" w:cs="Arial"/>
          <w:sz w:val="28"/>
          <w:szCs w:val="28"/>
        </w:rPr>
      </w:pPr>
    </w:p>
    <w:p w14:paraId="385BED6B" w14:textId="77777777" w:rsidR="008D366A" w:rsidRDefault="008D366A" w:rsidP="008D366A">
      <w:pPr>
        <w:spacing w:line="276" w:lineRule="auto"/>
        <w:rPr>
          <w:rFonts w:ascii="Arial" w:hAnsi="Arial" w:cs="Arial"/>
          <w:sz w:val="28"/>
          <w:szCs w:val="28"/>
        </w:rPr>
      </w:pPr>
    </w:p>
    <w:p w14:paraId="2DE57779" w14:textId="77777777" w:rsidR="008D366A" w:rsidRDefault="008D366A" w:rsidP="008D366A">
      <w:pPr>
        <w:spacing w:line="276" w:lineRule="auto"/>
        <w:rPr>
          <w:rFonts w:ascii="Arial" w:hAnsi="Arial" w:cs="Arial"/>
          <w:sz w:val="28"/>
          <w:szCs w:val="28"/>
        </w:rPr>
      </w:pPr>
    </w:p>
    <w:p w14:paraId="44449AF9" w14:textId="79ACE593" w:rsidR="008D366A" w:rsidRDefault="008D366A" w:rsidP="008D366A">
      <w:pPr>
        <w:spacing w:line="276" w:lineRule="auto"/>
        <w:rPr>
          <w:rFonts w:ascii="Arial" w:hAnsi="Arial" w:cs="Arial"/>
          <w:sz w:val="28"/>
          <w:szCs w:val="28"/>
        </w:rPr>
      </w:pPr>
    </w:p>
    <w:sectPr w:rsidR="008D366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87B62" w14:textId="77777777" w:rsidR="0081133E" w:rsidRDefault="0081133E" w:rsidP="0081133E">
      <w:pPr>
        <w:spacing w:after="0" w:line="240" w:lineRule="auto"/>
      </w:pPr>
      <w:r>
        <w:separator/>
      </w:r>
    </w:p>
  </w:endnote>
  <w:endnote w:type="continuationSeparator" w:id="0">
    <w:p w14:paraId="551B8C38" w14:textId="77777777" w:rsidR="0081133E" w:rsidRDefault="0081133E" w:rsidP="0081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638268"/>
      <w:docPartObj>
        <w:docPartGallery w:val="Page Numbers (Bottom of Page)"/>
        <w:docPartUnique/>
      </w:docPartObj>
    </w:sdtPr>
    <w:sdtEndPr>
      <w:rPr>
        <w:noProof/>
      </w:rPr>
    </w:sdtEndPr>
    <w:sdtContent>
      <w:p w14:paraId="22EDD644" w14:textId="32F1D433" w:rsidR="0081133E" w:rsidRDefault="008113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2FB3D" w14:textId="77777777" w:rsidR="0081133E" w:rsidRDefault="00811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C6855" w14:textId="77777777" w:rsidR="0081133E" w:rsidRDefault="0081133E" w:rsidP="0081133E">
      <w:pPr>
        <w:spacing w:after="0" w:line="240" w:lineRule="auto"/>
      </w:pPr>
      <w:r>
        <w:separator/>
      </w:r>
    </w:p>
  </w:footnote>
  <w:footnote w:type="continuationSeparator" w:id="0">
    <w:p w14:paraId="04054D91" w14:textId="77777777" w:rsidR="0081133E" w:rsidRDefault="0081133E" w:rsidP="00811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96918"/>
    <w:multiLevelType w:val="hybridMultilevel"/>
    <w:tmpl w:val="68588F6C"/>
    <w:lvl w:ilvl="0" w:tplc="6D2A4C5A">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2A2A2B"/>
    <w:multiLevelType w:val="hybridMultilevel"/>
    <w:tmpl w:val="5C5C9A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59226A"/>
    <w:multiLevelType w:val="hybridMultilevel"/>
    <w:tmpl w:val="6304E5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EA54F2"/>
    <w:multiLevelType w:val="hybridMultilevel"/>
    <w:tmpl w:val="395248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0B2BDA"/>
    <w:multiLevelType w:val="hybridMultilevel"/>
    <w:tmpl w:val="5A70CD2E"/>
    <w:lvl w:ilvl="0" w:tplc="A31AC0D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8434011">
    <w:abstractNumId w:val="4"/>
  </w:num>
  <w:num w:numId="2" w16cid:durableId="1098987137">
    <w:abstractNumId w:val="1"/>
  </w:num>
  <w:num w:numId="3" w16cid:durableId="1107651792">
    <w:abstractNumId w:val="2"/>
  </w:num>
  <w:num w:numId="4" w16cid:durableId="2053654692">
    <w:abstractNumId w:val="3"/>
  </w:num>
  <w:num w:numId="5" w16cid:durableId="39513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57"/>
    <w:rsid w:val="001315EF"/>
    <w:rsid w:val="00133297"/>
    <w:rsid w:val="00194456"/>
    <w:rsid w:val="00235D85"/>
    <w:rsid w:val="00455C2F"/>
    <w:rsid w:val="005055E6"/>
    <w:rsid w:val="00664320"/>
    <w:rsid w:val="00681470"/>
    <w:rsid w:val="0073040E"/>
    <w:rsid w:val="00791123"/>
    <w:rsid w:val="007B587F"/>
    <w:rsid w:val="0081133E"/>
    <w:rsid w:val="00826E70"/>
    <w:rsid w:val="00844C74"/>
    <w:rsid w:val="00861D50"/>
    <w:rsid w:val="008A4EA5"/>
    <w:rsid w:val="008D366A"/>
    <w:rsid w:val="009563FA"/>
    <w:rsid w:val="00984257"/>
    <w:rsid w:val="00A06CBE"/>
    <w:rsid w:val="00AB1B8E"/>
    <w:rsid w:val="00B77D38"/>
    <w:rsid w:val="00BB1111"/>
    <w:rsid w:val="00C44A8D"/>
    <w:rsid w:val="00CA6599"/>
    <w:rsid w:val="00D11F7D"/>
    <w:rsid w:val="00EB6B6C"/>
    <w:rsid w:val="00EC7FA6"/>
    <w:rsid w:val="00ED7ABF"/>
    <w:rsid w:val="00F84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30FA"/>
  <w15:chartTrackingRefBased/>
  <w15:docId w15:val="{16DAD873-FD66-492F-80D7-8FBC9B38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257"/>
    <w:rPr>
      <w:kern w:val="2"/>
      <w14:ligatures w14:val="standardContextual"/>
    </w:rPr>
  </w:style>
  <w:style w:type="paragraph" w:styleId="Heading2">
    <w:name w:val="heading 2"/>
    <w:basedOn w:val="Normal"/>
    <w:next w:val="Normal"/>
    <w:link w:val="Heading2Char"/>
    <w:uiPriority w:val="9"/>
    <w:unhideWhenUsed/>
    <w:qFormat/>
    <w:rsid w:val="00664320"/>
    <w:pPr>
      <w:autoSpaceDE w:val="0"/>
      <w:autoSpaceDN w:val="0"/>
      <w:adjustRightInd w:val="0"/>
      <w:spacing w:after="120" w:line="276" w:lineRule="auto"/>
      <w:outlineLvl w:val="1"/>
    </w:pPr>
    <w:rPr>
      <w:rFonts w:ascii="Arial" w:hAnsi="Arial" w:cs="Arial"/>
      <w:b/>
      <w:color w:val="C45911" w:themeColor="accent2" w:themeShade="BF"/>
      <w:kern w:val="0"/>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4257"/>
    <w:rPr>
      <w:color w:val="0000FF"/>
      <w:u w:val="single"/>
    </w:rPr>
  </w:style>
  <w:style w:type="paragraph" w:styleId="ListParagraph">
    <w:name w:val="List Paragraph"/>
    <w:basedOn w:val="Normal"/>
    <w:uiPriority w:val="34"/>
    <w:qFormat/>
    <w:rsid w:val="00861D50"/>
    <w:pPr>
      <w:ind w:left="720"/>
      <w:contextualSpacing/>
    </w:pPr>
  </w:style>
  <w:style w:type="character" w:customStyle="1" w:styleId="Heading2Char">
    <w:name w:val="Heading 2 Char"/>
    <w:basedOn w:val="DefaultParagraphFont"/>
    <w:link w:val="Heading2"/>
    <w:uiPriority w:val="9"/>
    <w:rsid w:val="00664320"/>
    <w:rPr>
      <w:rFonts w:ascii="Arial" w:hAnsi="Arial" w:cs="Arial"/>
      <w:b/>
      <w:color w:val="C45911" w:themeColor="accent2" w:themeShade="BF"/>
      <w:sz w:val="28"/>
      <w:szCs w:val="24"/>
    </w:rPr>
  </w:style>
  <w:style w:type="paragraph" w:styleId="Header">
    <w:name w:val="header"/>
    <w:basedOn w:val="Normal"/>
    <w:link w:val="HeaderChar"/>
    <w:uiPriority w:val="99"/>
    <w:unhideWhenUsed/>
    <w:rsid w:val="00811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33E"/>
    <w:rPr>
      <w:kern w:val="2"/>
      <w14:ligatures w14:val="standardContextual"/>
    </w:rPr>
  </w:style>
  <w:style w:type="paragraph" w:styleId="Footer">
    <w:name w:val="footer"/>
    <w:basedOn w:val="Normal"/>
    <w:link w:val="FooterChar"/>
    <w:uiPriority w:val="99"/>
    <w:unhideWhenUsed/>
    <w:rsid w:val="00811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33E"/>
    <w:rPr>
      <w:kern w:val="2"/>
      <w14:ligatures w14:val="standardContextual"/>
    </w:rPr>
  </w:style>
  <w:style w:type="character" w:styleId="FollowedHyperlink">
    <w:name w:val="FollowedHyperlink"/>
    <w:basedOn w:val="DefaultParagraphFont"/>
    <w:uiPriority w:val="99"/>
    <w:semiHidden/>
    <w:unhideWhenUsed/>
    <w:rsid w:val="00CA6599"/>
    <w:rPr>
      <w:color w:val="954F72" w:themeColor="followedHyperlink"/>
      <w:u w:val="single"/>
    </w:rPr>
  </w:style>
  <w:style w:type="table" w:styleId="TableGrid">
    <w:name w:val="Table Grid"/>
    <w:basedOn w:val="TableNormal"/>
    <w:uiPriority w:val="39"/>
    <w:rsid w:val="00194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C049F-AE33-4762-948D-7BC22F2F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RINTOUL Brooke [Narrogin Senior High School]</dc:creator>
  <cp:keywords/>
  <dc:description/>
  <cp:lastModifiedBy>RINTOUL Brooke [Narrogin Senior High School]</cp:lastModifiedBy>
  <cp:revision>2</cp:revision>
  <cp:lastPrinted>2024-04-15T07:02:00Z</cp:lastPrinted>
  <dcterms:created xsi:type="dcterms:W3CDTF">2024-04-15T07:03:00Z</dcterms:created>
  <dcterms:modified xsi:type="dcterms:W3CDTF">2024-04-15T07:03:00Z</dcterms:modified>
</cp:coreProperties>
</file>