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42AE" w14:textId="48C5CED0" w:rsidR="00235C72" w:rsidRPr="00560153" w:rsidRDefault="00CD52CE" w:rsidP="00560153">
      <w:pPr>
        <w:jc w:val="center"/>
        <w:rPr>
          <w:rFonts w:cstheme="minorHAnsi"/>
          <w:u w:val="single"/>
        </w:rPr>
      </w:pPr>
      <w:r w:rsidRPr="00235C72">
        <w:rPr>
          <w:rFonts w:cstheme="minorHAnsi"/>
          <w:b/>
          <w:noProof/>
          <w:sz w:val="40"/>
          <w:szCs w:val="32"/>
          <w:u w:val="single"/>
          <w:lang w:val="en-AU" w:eastAsia="en-AU"/>
        </w:rPr>
        <w:drawing>
          <wp:anchor distT="0" distB="0" distL="114300" distR="114300" simplePos="0" relativeHeight="251659264" behindDoc="0" locked="0" layoutInCell="1" allowOverlap="1" wp14:anchorId="72AB4744" wp14:editId="2FD9EC9F">
            <wp:simplePos x="0" y="0"/>
            <wp:positionH relativeFrom="margin">
              <wp:posOffset>5362575</wp:posOffset>
            </wp:positionH>
            <wp:positionV relativeFrom="paragraph">
              <wp:posOffset>-238125</wp:posOffset>
            </wp:positionV>
            <wp:extent cx="1076325" cy="1076325"/>
            <wp:effectExtent l="0" t="0" r="9525" b="9525"/>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3820">
        <w:rPr>
          <w:rFonts w:cstheme="minorHAnsi"/>
          <w:b/>
          <w:sz w:val="28"/>
          <w:szCs w:val="28"/>
        </w:rPr>
        <w:t>Year</w:t>
      </w:r>
      <w:r w:rsidR="00084966">
        <w:rPr>
          <w:rFonts w:cstheme="minorHAnsi"/>
          <w:b/>
          <w:sz w:val="28"/>
          <w:szCs w:val="28"/>
        </w:rPr>
        <w:t xml:space="preserve"> 7</w:t>
      </w:r>
      <w:r w:rsidR="00235C72" w:rsidRPr="00235C72">
        <w:rPr>
          <w:rFonts w:cstheme="minorHAnsi"/>
          <w:b/>
          <w:sz w:val="28"/>
          <w:szCs w:val="28"/>
        </w:rPr>
        <w:t xml:space="preserve"> HASS</w:t>
      </w:r>
      <w:r w:rsidR="00FA5CBB">
        <w:rPr>
          <w:rFonts w:cstheme="minorHAnsi"/>
          <w:b/>
          <w:sz w:val="28"/>
          <w:szCs w:val="28"/>
        </w:rPr>
        <w:t xml:space="preserve"> 202</w:t>
      </w:r>
      <w:r w:rsidR="001D40FB">
        <w:rPr>
          <w:rFonts w:cstheme="minorHAnsi"/>
          <w:b/>
          <w:sz w:val="28"/>
          <w:szCs w:val="28"/>
        </w:rPr>
        <w:t>4</w:t>
      </w:r>
      <w:r w:rsidR="00235C72" w:rsidRPr="00235C72">
        <w:rPr>
          <w:rFonts w:cstheme="minorHAnsi"/>
          <w:b/>
          <w:sz w:val="28"/>
          <w:szCs w:val="28"/>
        </w:rPr>
        <w:t>- Economics and Business</w:t>
      </w:r>
    </w:p>
    <w:p w14:paraId="634FCE19" w14:textId="192280BA" w:rsidR="00235C72" w:rsidRPr="00235C72" w:rsidRDefault="00235C72" w:rsidP="00560153">
      <w:pPr>
        <w:jc w:val="center"/>
        <w:rPr>
          <w:rFonts w:cstheme="minorHAnsi"/>
          <w:b/>
          <w:sz w:val="28"/>
          <w:szCs w:val="28"/>
        </w:rPr>
      </w:pPr>
      <w:r w:rsidRPr="00235C72">
        <w:rPr>
          <w:rFonts w:cstheme="minorHAnsi"/>
          <w:b/>
          <w:sz w:val="28"/>
          <w:szCs w:val="28"/>
        </w:rPr>
        <w:t xml:space="preserve">Assessment </w:t>
      </w:r>
      <w:r w:rsidR="001D40FB">
        <w:rPr>
          <w:rFonts w:cstheme="minorHAnsi"/>
          <w:b/>
          <w:sz w:val="28"/>
          <w:szCs w:val="28"/>
        </w:rPr>
        <w:t>1</w:t>
      </w:r>
      <w:r w:rsidRPr="00235C72">
        <w:rPr>
          <w:rFonts w:cstheme="minorHAnsi"/>
          <w:b/>
          <w:sz w:val="28"/>
          <w:szCs w:val="28"/>
        </w:rPr>
        <w:t xml:space="preserve"> – Case Study</w:t>
      </w:r>
      <w:r w:rsidR="00563820">
        <w:rPr>
          <w:rFonts w:cstheme="minorHAnsi"/>
          <w:b/>
          <w:sz w:val="28"/>
          <w:szCs w:val="28"/>
        </w:rPr>
        <w:t xml:space="preserve"> (</w:t>
      </w:r>
      <w:r w:rsidR="001D40FB">
        <w:rPr>
          <w:rFonts w:cstheme="minorHAnsi"/>
          <w:b/>
          <w:sz w:val="28"/>
          <w:szCs w:val="28"/>
        </w:rPr>
        <w:t>7</w:t>
      </w:r>
      <w:r>
        <w:rPr>
          <w:rFonts w:cstheme="minorHAnsi"/>
          <w:b/>
          <w:sz w:val="28"/>
          <w:szCs w:val="28"/>
        </w:rPr>
        <w:t>%)</w:t>
      </w:r>
    </w:p>
    <w:p w14:paraId="07A27A77" w14:textId="77777777" w:rsidR="00235C72" w:rsidRDefault="00235C72" w:rsidP="00235C72">
      <w:pPr>
        <w:rPr>
          <w:rFonts w:cstheme="minorHAnsi"/>
          <w:b/>
          <w:sz w:val="18"/>
          <w:szCs w:val="18"/>
          <w:lang w:val="it-IT"/>
        </w:rPr>
      </w:pPr>
    </w:p>
    <w:p w14:paraId="7F40D17D" w14:textId="77777777" w:rsidR="00CD52CE" w:rsidRDefault="00CD52CE" w:rsidP="00235C72">
      <w:pPr>
        <w:rPr>
          <w:rFonts w:cstheme="minorHAnsi"/>
          <w:b/>
          <w:sz w:val="18"/>
          <w:szCs w:val="18"/>
          <w:lang w:val="it-IT"/>
        </w:rPr>
      </w:pPr>
    </w:p>
    <w:p w14:paraId="74B19354" w14:textId="77777777" w:rsidR="00CD52CE" w:rsidRPr="00235C72" w:rsidRDefault="00CD52CE" w:rsidP="00235C72">
      <w:pPr>
        <w:rPr>
          <w:rFonts w:cstheme="minorHAnsi"/>
          <w:b/>
          <w:sz w:val="18"/>
          <w:szCs w:val="18"/>
          <w:lang w:val="it-IT"/>
        </w:rPr>
      </w:pPr>
    </w:p>
    <w:p w14:paraId="5B6E0582" w14:textId="77777777" w:rsidR="00560153" w:rsidRDefault="00560153" w:rsidP="00560153">
      <w:pPr>
        <w:rPr>
          <w:rFonts w:cstheme="minorHAnsi"/>
          <w:b/>
          <w:sz w:val="22"/>
        </w:rPr>
      </w:pPr>
    </w:p>
    <w:tbl>
      <w:tblPr>
        <w:tblW w:w="104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6"/>
        <w:gridCol w:w="8655"/>
      </w:tblGrid>
      <w:tr w:rsidR="00560153" w:rsidRPr="00560153" w14:paraId="04677ED9" w14:textId="77777777" w:rsidTr="00560153">
        <w:trPr>
          <w:trHeight w:val="340"/>
          <w:jc w:val="center"/>
        </w:trPr>
        <w:tc>
          <w:tcPr>
            <w:tcW w:w="104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D64024" w14:textId="77777777" w:rsidR="00560153" w:rsidRPr="00560153" w:rsidRDefault="00560153" w:rsidP="00563820">
            <w:pPr>
              <w:pStyle w:val="TableParagraph"/>
              <w:spacing w:before="98"/>
              <w:ind w:left="2712"/>
              <w:rPr>
                <w:b/>
                <w:sz w:val="24"/>
                <w:szCs w:val="24"/>
              </w:rPr>
            </w:pPr>
            <w:r w:rsidRPr="00560153">
              <w:rPr>
                <w:b/>
                <w:sz w:val="24"/>
                <w:szCs w:val="24"/>
              </w:rPr>
              <w:t>HUMANITIES &amp; SOCIAL SCIENCES ASSESSMENT TASK</w:t>
            </w:r>
          </w:p>
        </w:tc>
      </w:tr>
      <w:tr w:rsidR="00560153" w:rsidRPr="00560153" w14:paraId="63BEFDFC" w14:textId="77777777" w:rsidTr="00560153">
        <w:trPr>
          <w:trHeight w:val="329"/>
          <w:jc w:val="center"/>
        </w:trPr>
        <w:tc>
          <w:tcPr>
            <w:tcW w:w="1806" w:type="dxa"/>
            <w:tcBorders>
              <w:top w:val="single" w:sz="4" w:space="0" w:color="auto"/>
              <w:left w:val="single" w:sz="4" w:space="0" w:color="auto"/>
              <w:bottom w:val="single" w:sz="4" w:space="0" w:color="auto"/>
              <w:right w:val="single" w:sz="4" w:space="0" w:color="auto"/>
            </w:tcBorders>
          </w:tcPr>
          <w:p w14:paraId="1179EF2D" w14:textId="77777777" w:rsidR="00560153" w:rsidRPr="00560153" w:rsidRDefault="00560153" w:rsidP="00563820">
            <w:pPr>
              <w:pStyle w:val="TableParagraph"/>
              <w:spacing w:before="107"/>
              <w:ind w:left="110"/>
              <w:rPr>
                <w:b/>
                <w:sz w:val="24"/>
                <w:szCs w:val="24"/>
              </w:rPr>
            </w:pPr>
            <w:r w:rsidRPr="00560153">
              <w:rPr>
                <w:b/>
                <w:sz w:val="24"/>
                <w:szCs w:val="24"/>
              </w:rPr>
              <w:t>Year level</w:t>
            </w:r>
          </w:p>
        </w:tc>
        <w:tc>
          <w:tcPr>
            <w:tcW w:w="8654" w:type="dxa"/>
            <w:tcBorders>
              <w:top w:val="single" w:sz="4" w:space="0" w:color="auto"/>
              <w:left w:val="single" w:sz="4" w:space="0" w:color="auto"/>
              <w:bottom w:val="single" w:sz="4" w:space="0" w:color="auto"/>
              <w:right w:val="single" w:sz="4" w:space="0" w:color="auto"/>
            </w:tcBorders>
          </w:tcPr>
          <w:p w14:paraId="0DD94880" w14:textId="72596BAF" w:rsidR="00560153" w:rsidRPr="00560153" w:rsidRDefault="00084966" w:rsidP="00563820">
            <w:pPr>
              <w:pStyle w:val="TableParagraph"/>
              <w:spacing w:before="107"/>
              <w:ind w:left="113"/>
              <w:rPr>
                <w:sz w:val="24"/>
                <w:szCs w:val="24"/>
              </w:rPr>
            </w:pPr>
            <w:r>
              <w:rPr>
                <w:sz w:val="24"/>
                <w:szCs w:val="24"/>
              </w:rPr>
              <w:t>7</w:t>
            </w:r>
          </w:p>
        </w:tc>
      </w:tr>
      <w:tr w:rsidR="00560153" w:rsidRPr="00560153" w14:paraId="6A0F9D0A" w14:textId="77777777" w:rsidTr="00560153">
        <w:trPr>
          <w:trHeight w:val="324"/>
          <w:jc w:val="center"/>
        </w:trPr>
        <w:tc>
          <w:tcPr>
            <w:tcW w:w="1806" w:type="dxa"/>
            <w:tcBorders>
              <w:top w:val="single" w:sz="4" w:space="0" w:color="auto"/>
              <w:left w:val="single" w:sz="4" w:space="0" w:color="auto"/>
              <w:bottom w:val="single" w:sz="4" w:space="0" w:color="auto"/>
              <w:right w:val="single" w:sz="4" w:space="0" w:color="auto"/>
            </w:tcBorders>
          </w:tcPr>
          <w:p w14:paraId="3122A22F" w14:textId="77777777" w:rsidR="00560153" w:rsidRPr="00560153" w:rsidRDefault="00560153" w:rsidP="00563820">
            <w:pPr>
              <w:pStyle w:val="TableParagraph"/>
              <w:spacing w:before="97"/>
              <w:ind w:left="110"/>
              <w:rPr>
                <w:b/>
                <w:sz w:val="24"/>
                <w:szCs w:val="24"/>
              </w:rPr>
            </w:pPr>
            <w:r w:rsidRPr="00560153">
              <w:rPr>
                <w:b/>
                <w:sz w:val="24"/>
                <w:szCs w:val="24"/>
              </w:rPr>
              <w:t>Subject</w:t>
            </w:r>
          </w:p>
        </w:tc>
        <w:tc>
          <w:tcPr>
            <w:tcW w:w="8654" w:type="dxa"/>
            <w:tcBorders>
              <w:top w:val="single" w:sz="4" w:space="0" w:color="auto"/>
              <w:left w:val="single" w:sz="4" w:space="0" w:color="auto"/>
              <w:bottom w:val="single" w:sz="4" w:space="0" w:color="auto"/>
              <w:right w:val="single" w:sz="4" w:space="0" w:color="auto"/>
            </w:tcBorders>
          </w:tcPr>
          <w:p w14:paraId="18B4C5A9" w14:textId="77777777" w:rsidR="00560153" w:rsidRPr="00560153" w:rsidRDefault="00560153" w:rsidP="00560153">
            <w:pPr>
              <w:pStyle w:val="TableParagraph"/>
              <w:spacing w:before="97"/>
              <w:ind w:left="113"/>
              <w:rPr>
                <w:sz w:val="24"/>
                <w:szCs w:val="24"/>
              </w:rPr>
            </w:pPr>
            <w:r w:rsidRPr="00560153">
              <w:rPr>
                <w:sz w:val="24"/>
                <w:szCs w:val="24"/>
              </w:rPr>
              <w:t>Economics &amp; Business</w:t>
            </w:r>
          </w:p>
        </w:tc>
      </w:tr>
      <w:tr w:rsidR="00560153" w:rsidRPr="00560153" w14:paraId="1B800919" w14:textId="77777777" w:rsidTr="00560153">
        <w:trPr>
          <w:trHeight w:val="322"/>
          <w:jc w:val="center"/>
        </w:trPr>
        <w:tc>
          <w:tcPr>
            <w:tcW w:w="1806" w:type="dxa"/>
            <w:tcBorders>
              <w:top w:val="single" w:sz="4" w:space="0" w:color="auto"/>
              <w:left w:val="single" w:sz="4" w:space="0" w:color="auto"/>
              <w:bottom w:val="single" w:sz="4" w:space="0" w:color="auto"/>
              <w:right w:val="single" w:sz="4" w:space="0" w:color="auto"/>
            </w:tcBorders>
          </w:tcPr>
          <w:p w14:paraId="74086EC2" w14:textId="77777777" w:rsidR="00560153" w:rsidRPr="00560153" w:rsidRDefault="00560153" w:rsidP="00563820">
            <w:pPr>
              <w:pStyle w:val="TableParagraph"/>
              <w:spacing w:before="97"/>
              <w:ind w:left="110"/>
              <w:rPr>
                <w:b/>
                <w:sz w:val="24"/>
                <w:szCs w:val="24"/>
              </w:rPr>
            </w:pPr>
            <w:r w:rsidRPr="00560153">
              <w:rPr>
                <w:b/>
                <w:sz w:val="24"/>
                <w:szCs w:val="24"/>
              </w:rPr>
              <w:t>Title of task</w:t>
            </w:r>
          </w:p>
        </w:tc>
        <w:tc>
          <w:tcPr>
            <w:tcW w:w="8654" w:type="dxa"/>
            <w:tcBorders>
              <w:top w:val="single" w:sz="4" w:space="0" w:color="auto"/>
              <w:left w:val="single" w:sz="4" w:space="0" w:color="auto"/>
              <w:bottom w:val="single" w:sz="4" w:space="0" w:color="auto"/>
              <w:right w:val="single" w:sz="4" w:space="0" w:color="auto"/>
            </w:tcBorders>
          </w:tcPr>
          <w:p w14:paraId="028DF86C" w14:textId="187CF799" w:rsidR="00560153" w:rsidRPr="00560153" w:rsidRDefault="00560153" w:rsidP="00563820">
            <w:pPr>
              <w:pStyle w:val="TableParagraph"/>
              <w:spacing w:before="97"/>
              <w:rPr>
                <w:sz w:val="24"/>
                <w:szCs w:val="24"/>
              </w:rPr>
            </w:pPr>
            <w:r w:rsidRPr="00560153">
              <w:rPr>
                <w:i/>
                <w:sz w:val="24"/>
                <w:szCs w:val="24"/>
              </w:rPr>
              <w:t xml:space="preserve"> </w:t>
            </w:r>
            <w:r w:rsidR="00563820">
              <w:rPr>
                <w:sz w:val="24"/>
                <w:szCs w:val="24"/>
              </w:rPr>
              <w:t>Assessment 3</w:t>
            </w:r>
            <w:r w:rsidRPr="00560153">
              <w:rPr>
                <w:sz w:val="24"/>
                <w:szCs w:val="24"/>
              </w:rPr>
              <w:t xml:space="preserve">: Case Study – </w:t>
            </w:r>
            <w:r w:rsidR="00084966">
              <w:rPr>
                <w:sz w:val="24"/>
                <w:szCs w:val="24"/>
              </w:rPr>
              <w:t>Impact of COVID on businesses.</w:t>
            </w:r>
          </w:p>
        </w:tc>
      </w:tr>
      <w:tr w:rsidR="00560153" w:rsidRPr="00560153" w14:paraId="043BF063" w14:textId="77777777" w:rsidTr="00560153">
        <w:trPr>
          <w:trHeight w:val="322"/>
          <w:jc w:val="center"/>
        </w:trPr>
        <w:tc>
          <w:tcPr>
            <w:tcW w:w="1806" w:type="dxa"/>
            <w:tcBorders>
              <w:top w:val="single" w:sz="4" w:space="0" w:color="auto"/>
              <w:left w:val="single" w:sz="4" w:space="0" w:color="auto"/>
              <w:bottom w:val="single" w:sz="4" w:space="0" w:color="auto"/>
              <w:right w:val="single" w:sz="4" w:space="0" w:color="auto"/>
            </w:tcBorders>
          </w:tcPr>
          <w:p w14:paraId="19E9D0F7" w14:textId="77777777" w:rsidR="00560153" w:rsidRPr="00560153" w:rsidRDefault="00560153" w:rsidP="00563820">
            <w:pPr>
              <w:pStyle w:val="TableParagraph"/>
              <w:spacing w:before="97"/>
              <w:ind w:left="110"/>
              <w:rPr>
                <w:b/>
                <w:sz w:val="24"/>
                <w:szCs w:val="24"/>
              </w:rPr>
            </w:pPr>
            <w:r w:rsidRPr="00560153">
              <w:rPr>
                <w:b/>
                <w:sz w:val="24"/>
                <w:szCs w:val="24"/>
              </w:rPr>
              <w:t>Weighting</w:t>
            </w:r>
          </w:p>
        </w:tc>
        <w:tc>
          <w:tcPr>
            <w:tcW w:w="8654" w:type="dxa"/>
            <w:tcBorders>
              <w:top w:val="single" w:sz="4" w:space="0" w:color="auto"/>
              <w:left w:val="single" w:sz="4" w:space="0" w:color="auto"/>
              <w:bottom w:val="single" w:sz="4" w:space="0" w:color="auto"/>
              <w:right w:val="single" w:sz="4" w:space="0" w:color="auto"/>
            </w:tcBorders>
          </w:tcPr>
          <w:p w14:paraId="3A0245C9" w14:textId="77D0A3BF" w:rsidR="00560153" w:rsidRPr="00560153" w:rsidRDefault="00444E6E" w:rsidP="00084966">
            <w:pPr>
              <w:pStyle w:val="TableParagraph"/>
              <w:spacing w:before="97"/>
              <w:rPr>
                <w:sz w:val="24"/>
                <w:szCs w:val="24"/>
              </w:rPr>
            </w:pPr>
            <w:r>
              <w:rPr>
                <w:sz w:val="24"/>
                <w:szCs w:val="24"/>
              </w:rPr>
              <w:t>7</w:t>
            </w:r>
            <w:r w:rsidR="002356DD">
              <w:rPr>
                <w:sz w:val="24"/>
                <w:szCs w:val="24"/>
              </w:rPr>
              <w:t xml:space="preserve"> %</w:t>
            </w:r>
          </w:p>
        </w:tc>
      </w:tr>
      <w:tr w:rsidR="00560153" w:rsidRPr="00560153" w14:paraId="556F8A37" w14:textId="77777777" w:rsidTr="00560153">
        <w:trPr>
          <w:trHeight w:val="509"/>
          <w:jc w:val="center"/>
        </w:trPr>
        <w:tc>
          <w:tcPr>
            <w:tcW w:w="1806" w:type="dxa"/>
            <w:tcBorders>
              <w:top w:val="single" w:sz="4" w:space="0" w:color="auto"/>
              <w:left w:val="single" w:sz="4" w:space="0" w:color="auto"/>
              <w:bottom w:val="single" w:sz="4" w:space="0" w:color="auto"/>
              <w:right w:val="single" w:sz="4" w:space="0" w:color="auto"/>
            </w:tcBorders>
          </w:tcPr>
          <w:p w14:paraId="0A81BA91" w14:textId="77777777" w:rsidR="00560153" w:rsidRPr="00560153" w:rsidRDefault="00560153" w:rsidP="00563820">
            <w:pPr>
              <w:pStyle w:val="TableParagraph"/>
              <w:spacing w:before="100"/>
              <w:ind w:left="110"/>
              <w:rPr>
                <w:b/>
                <w:sz w:val="24"/>
                <w:szCs w:val="24"/>
              </w:rPr>
            </w:pPr>
            <w:r w:rsidRPr="00560153">
              <w:rPr>
                <w:b/>
                <w:sz w:val="24"/>
                <w:szCs w:val="24"/>
              </w:rPr>
              <w:t>Description of task</w:t>
            </w:r>
          </w:p>
        </w:tc>
        <w:tc>
          <w:tcPr>
            <w:tcW w:w="8654" w:type="dxa"/>
            <w:tcBorders>
              <w:top w:val="single" w:sz="4" w:space="0" w:color="auto"/>
              <w:left w:val="single" w:sz="4" w:space="0" w:color="auto"/>
              <w:bottom w:val="single" w:sz="4" w:space="0" w:color="auto"/>
              <w:right w:val="single" w:sz="4" w:space="0" w:color="auto"/>
            </w:tcBorders>
            <w:vAlign w:val="center"/>
          </w:tcPr>
          <w:p w14:paraId="2DDF13C9" w14:textId="77777777" w:rsidR="00560153" w:rsidRPr="00560153" w:rsidRDefault="00560153" w:rsidP="00563820">
            <w:pPr>
              <w:spacing w:before="120" w:after="120"/>
              <w:ind w:right="113"/>
              <w:rPr>
                <w:rFonts w:cstheme="minorHAnsi"/>
              </w:rPr>
            </w:pPr>
            <w:r>
              <w:rPr>
                <w:rFonts w:cstheme="minorHAnsi"/>
              </w:rPr>
              <w:t>This assessment has two parts:</w:t>
            </w:r>
            <w:r w:rsidRPr="00560153">
              <w:rPr>
                <w:rFonts w:cstheme="minorHAnsi"/>
              </w:rPr>
              <w:t xml:space="preserve"> </w:t>
            </w:r>
          </w:p>
          <w:p w14:paraId="6206C7F4" w14:textId="7FAA8F17" w:rsidR="00560153" w:rsidRPr="00560153" w:rsidRDefault="00563820" w:rsidP="00560153">
            <w:pPr>
              <w:rPr>
                <w:rFonts w:cstheme="minorHAnsi"/>
              </w:rPr>
            </w:pPr>
            <w:r>
              <w:rPr>
                <w:rFonts w:cstheme="minorHAnsi"/>
                <w:b/>
              </w:rPr>
              <w:t xml:space="preserve">Part A </w:t>
            </w:r>
            <w:r w:rsidR="001D40FB">
              <w:rPr>
                <w:rFonts w:cstheme="minorHAnsi"/>
                <w:b/>
              </w:rPr>
              <w:t>(</w:t>
            </w:r>
            <w:r w:rsidR="002A339F">
              <w:rPr>
                <w:rFonts w:cstheme="minorHAnsi"/>
                <w:b/>
              </w:rPr>
              <w:t>5</w:t>
            </w:r>
            <w:r w:rsidR="00560153" w:rsidRPr="00560153">
              <w:rPr>
                <w:rFonts w:cstheme="minorHAnsi"/>
                <w:b/>
              </w:rPr>
              <w:t>%):</w:t>
            </w:r>
            <w:r w:rsidR="00560153" w:rsidRPr="00560153">
              <w:rPr>
                <w:rFonts w:cstheme="minorHAnsi"/>
              </w:rPr>
              <w:t xml:space="preserve"> Students will spend </w:t>
            </w:r>
            <w:r w:rsidR="00560153" w:rsidRPr="00560153">
              <w:rPr>
                <w:rFonts w:cstheme="minorHAnsi"/>
                <w:i/>
              </w:rPr>
              <w:t>two lessons in class</w:t>
            </w:r>
            <w:r w:rsidR="00560153" w:rsidRPr="00560153">
              <w:rPr>
                <w:rFonts w:cstheme="minorHAnsi"/>
              </w:rPr>
              <w:t xml:space="preserve"> using a provided graphic organiser to make notes based on a news article.</w:t>
            </w:r>
          </w:p>
          <w:p w14:paraId="3931D5D9" w14:textId="77777777" w:rsidR="00560153" w:rsidRPr="00560153" w:rsidRDefault="00560153" w:rsidP="00560153">
            <w:pPr>
              <w:rPr>
                <w:rFonts w:cstheme="minorHAnsi"/>
              </w:rPr>
            </w:pPr>
          </w:p>
          <w:p w14:paraId="47E5C97D" w14:textId="38D2E426" w:rsidR="00560153" w:rsidRPr="00560153" w:rsidRDefault="00560153" w:rsidP="00563820">
            <w:pPr>
              <w:rPr>
                <w:rFonts w:cstheme="minorHAnsi"/>
              </w:rPr>
            </w:pPr>
            <w:r w:rsidRPr="00560153">
              <w:rPr>
                <w:rFonts w:cstheme="minorHAnsi"/>
                <w:b/>
              </w:rPr>
              <w:t>Part B (</w:t>
            </w:r>
            <w:r w:rsidR="00563820">
              <w:rPr>
                <w:rFonts w:cstheme="minorHAnsi"/>
                <w:b/>
              </w:rPr>
              <w:t>2</w:t>
            </w:r>
            <w:r w:rsidRPr="00560153">
              <w:rPr>
                <w:rFonts w:cstheme="minorHAnsi"/>
                <w:b/>
              </w:rPr>
              <w:t>%):</w:t>
            </w:r>
            <w:r w:rsidRPr="00560153">
              <w:rPr>
                <w:rFonts w:cstheme="minorHAnsi"/>
              </w:rPr>
              <w:t xml:space="preserve"> Students will complete an in-class validation (</w:t>
            </w:r>
            <w:r w:rsidRPr="00560153">
              <w:rPr>
                <w:rFonts w:cstheme="minorHAnsi"/>
                <w:i/>
              </w:rPr>
              <w:t>one lesson</w:t>
            </w:r>
            <w:r w:rsidRPr="00560153">
              <w:rPr>
                <w:rFonts w:cstheme="minorHAnsi"/>
              </w:rPr>
              <w:t>) with short answer questions based on the article and the way that producers must respond to the demands of consumers. They will be allowed their note-taking sheet for this.</w:t>
            </w:r>
          </w:p>
        </w:tc>
      </w:tr>
      <w:tr w:rsidR="00560153" w:rsidRPr="00560153" w14:paraId="12D23376" w14:textId="77777777" w:rsidTr="00560153">
        <w:trPr>
          <w:trHeight w:val="322"/>
          <w:jc w:val="center"/>
        </w:trPr>
        <w:tc>
          <w:tcPr>
            <w:tcW w:w="1806" w:type="dxa"/>
            <w:tcBorders>
              <w:top w:val="single" w:sz="4" w:space="0" w:color="auto"/>
              <w:left w:val="single" w:sz="4" w:space="0" w:color="auto"/>
              <w:bottom w:val="single" w:sz="4" w:space="0" w:color="auto"/>
              <w:right w:val="single" w:sz="4" w:space="0" w:color="auto"/>
            </w:tcBorders>
          </w:tcPr>
          <w:p w14:paraId="33163699" w14:textId="77777777" w:rsidR="00560153" w:rsidRPr="00560153" w:rsidRDefault="00560153" w:rsidP="00563820">
            <w:pPr>
              <w:pStyle w:val="TableParagraph"/>
              <w:spacing w:before="97"/>
              <w:ind w:left="110"/>
              <w:rPr>
                <w:b/>
                <w:sz w:val="24"/>
                <w:szCs w:val="24"/>
              </w:rPr>
            </w:pPr>
            <w:r w:rsidRPr="00560153">
              <w:rPr>
                <w:b/>
                <w:sz w:val="24"/>
                <w:szCs w:val="24"/>
              </w:rPr>
              <w:t>Suggested time</w:t>
            </w:r>
          </w:p>
        </w:tc>
        <w:tc>
          <w:tcPr>
            <w:tcW w:w="8654" w:type="dxa"/>
            <w:tcBorders>
              <w:top w:val="single" w:sz="4" w:space="0" w:color="auto"/>
              <w:left w:val="single" w:sz="4" w:space="0" w:color="auto"/>
              <w:bottom w:val="single" w:sz="4" w:space="0" w:color="auto"/>
              <w:right w:val="single" w:sz="4" w:space="0" w:color="auto"/>
            </w:tcBorders>
          </w:tcPr>
          <w:p w14:paraId="76396485" w14:textId="77777777" w:rsidR="00560153" w:rsidRPr="00560153" w:rsidRDefault="00560153" w:rsidP="00560153">
            <w:pPr>
              <w:pStyle w:val="ListParagraph"/>
              <w:numPr>
                <w:ilvl w:val="0"/>
                <w:numId w:val="4"/>
              </w:numPr>
              <w:spacing w:before="120" w:after="120"/>
              <w:ind w:right="113"/>
              <w:rPr>
                <w:rFonts w:cs="Times"/>
              </w:rPr>
            </w:pPr>
            <w:r w:rsidRPr="00560153">
              <w:rPr>
                <w:rFonts w:cs="Times"/>
              </w:rPr>
              <w:t xml:space="preserve">3 lessons in class </w:t>
            </w:r>
          </w:p>
        </w:tc>
      </w:tr>
      <w:tr w:rsidR="00560153" w:rsidRPr="00560153" w14:paraId="7CFE9404" w14:textId="77777777" w:rsidTr="00560153">
        <w:trPr>
          <w:trHeight w:val="339"/>
          <w:jc w:val="center"/>
        </w:trPr>
        <w:tc>
          <w:tcPr>
            <w:tcW w:w="104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0CF422" w14:textId="77777777" w:rsidR="00560153" w:rsidRPr="00560153" w:rsidRDefault="00560153" w:rsidP="00563820">
            <w:pPr>
              <w:pStyle w:val="TableParagraph"/>
              <w:spacing w:before="120" w:after="120"/>
              <w:ind w:left="4031" w:right="4029"/>
              <w:jc w:val="center"/>
              <w:rPr>
                <w:b/>
                <w:sz w:val="24"/>
                <w:szCs w:val="24"/>
              </w:rPr>
            </w:pPr>
            <w:r w:rsidRPr="00560153">
              <w:rPr>
                <w:b/>
                <w:sz w:val="24"/>
                <w:szCs w:val="24"/>
              </w:rPr>
              <w:t>DOCUMENTATION</w:t>
            </w:r>
          </w:p>
        </w:tc>
      </w:tr>
      <w:tr w:rsidR="00560153" w:rsidRPr="00560153" w14:paraId="615DB848" w14:textId="77777777" w:rsidTr="00560153">
        <w:trPr>
          <w:trHeight w:val="426"/>
          <w:jc w:val="center"/>
        </w:trPr>
        <w:tc>
          <w:tcPr>
            <w:tcW w:w="1806" w:type="dxa"/>
            <w:tcBorders>
              <w:top w:val="single" w:sz="4" w:space="0" w:color="auto"/>
              <w:bottom w:val="single" w:sz="4" w:space="0" w:color="auto"/>
            </w:tcBorders>
          </w:tcPr>
          <w:p w14:paraId="4D814B39" w14:textId="77777777" w:rsidR="00560153" w:rsidRPr="00560153" w:rsidRDefault="00560153" w:rsidP="00563820">
            <w:pPr>
              <w:pStyle w:val="TableParagraph"/>
              <w:spacing w:before="107"/>
              <w:ind w:left="110"/>
              <w:rPr>
                <w:b/>
                <w:sz w:val="24"/>
                <w:szCs w:val="24"/>
              </w:rPr>
            </w:pPr>
            <w:r w:rsidRPr="00560153">
              <w:rPr>
                <w:b/>
                <w:sz w:val="24"/>
                <w:szCs w:val="24"/>
              </w:rPr>
              <w:t>Documentation</w:t>
            </w:r>
          </w:p>
        </w:tc>
        <w:tc>
          <w:tcPr>
            <w:tcW w:w="8654" w:type="dxa"/>
            <w:tcBorders>
              <w:top w:val="single" w:sz="4" w:space="0" w:color="auto"/>
              <w:bottom w:val="single" w:sz="4" w:space="0" w:color="auto"/>
            </w:tcBorders>
            <w:vAlign w:val="center"/>
          </w:tcPr>
          <w:p w14:paraId="742FA797" w14:textId="77777777" w:rsidR="00560153" w:rsidRPr="00560153" w:rsidRDefault="00560153" w:rsidP="00560153">
            <w:pPr>
              <w:pStyle w:val="ListParagraph"/>
              <w:numPr>
                <w:ilvl w:val="0"/>
                <w:numId w:val="3"/>
              </w:numPr>
              <w:spacing w:before="120" w:after="120"/>
            </w:pPr>
            <w:r>
              <w:rPr>
                <w:rFonts w:cs="Calibri"/>
              </w:rPr>
              <w:t xml:space="preserve">Copy of news article </w:t>
            </w:r>
          </w:p>
          <w:p w14:paraId="633D3C8C" w14:textId="77777777" w:rsidR="00560153" w:rsidRPr="00560153" w:rsidRDefault="00560153" w:rsidP="00560153">
            <w:pPr>
              <w:pStyle w:val="ListParagraph"/>
              <w:numPr>
                <w:ilvl w:val="0"/>
                <w:numId w:val="3"/>
              </w:numPr>
              <w:spacing w:before="120" w:after="120"/>
            </w:pPr>
            <w:r>
              <w:rPr>
                <w:rFonts w:cs="Calibri"/>
              </w:rPr>
              <w:t>Note-taking template (A3)</w:t>
            </w:r>
          </w:p>
          <w:p w14:paraId="3F48A7E4" w14:textId="77777777" w:rsidR="00560153" w:rsidRPr="00560153" w:rsidRDefault="00560153" w:rsidP="00560153">
            <w:pPr>
              <w:pStyle w:val="ListParagraph"/>
              <w:numPr>
                <w:ilvl w:val="0"/>
                <w:numId w:val="3"/>
              </w:numPr>
              <w:spacing w:before="120" w:after="120"/>
              <w:rPr>
                <w:rFonts w:ascii="Times" w:hAnsi="Times" w:cs="Times"/>
              </w:rPr>
            </w:pPr>
            <w:r>
              <w:rPr>
                <w:rFonts w:cs="Calibri"/>
              </w:rPr>
              <w:t xml:space="preserve">Validation </w:t>
            </w:r>
          </w:p>
        </w:tc>
      </w:tr>
      <w:tr w:rsidR="00560153" w:rsidRPr="00560153" w14:paraId="644B4A8F" w14:textId="77777777" w:rsidTr="00560153">
        <w:trPr>
          <w:trHeight w:val="279"/>
          <w:jc w:val="center"/>
        </w:trPr>
        <w:tc>
          <w:tcPr>
            <w:tcW w:w="10461" w:type="dxa"/>
            <w:gridSpan w:val="2"/>
            <w:tcBorders>
              <w:top w:val="single" w:sz="4" w:space="0" w:color="auto"/>
              <w:bottom w:val="single" w:sz="4" w:space="0" w:color="auto"/>
            </w:tcBorders>
            <w:shd w:val="clear" w:color="auto" w:fill="D9D9D9" w:themeFill="background1" w:themeFillShade="D9"/>
            <w:vAlign w:val="center"/>
          </w:tcPr>
          <w:p w14:paraId="637395EB" w14:textId="77777777" w:rsidR="00560153" w:rsidRPr="00560153" w:rsidRDefault="00560153" w:rsidP="00563820">
            <w:pPr>
              <w:pStyle w:val="TableParagraph"/>
              <w:spacing w:before="120" w:after="120"/>
              <w:ind w:left="4031" w:right="4031"/>
              <w:jc w:val="center"/>
              <w:rPr>
                <w:sz w:val="24"/>
                <w:szCs w:val="24"/>
              </w:rPr>
            </w:pPr>
            <w:r w:rsidRPr="00560153">
              <w:rPr>
                <w:b/>
                <w:sz w:val="24"/>
                <w:szCs w:val="24"/>
              </w:rPr>
              <w:t>TEACHER FEEDBACK</w:t>
            </w:r>
          </w:p>
        </w:tc>
      </w:tr>
      <w:tr w:rsidR="00560153" w:rsidRPr="00560153" w14:paraId="30600997" w14:textId="77777777" w:rsidTr="00560153">
        <w:trPr>
          <w:trHeight w:val="1196"/>
          <w:jc w:val="center"/>
        </w:trPr>
        <w:tc>
          <w:tcPr>
            <w:tcW w:w="10461" w:type="dxa"/>
            <w:gridSpan w:val="2"/>
            <w:tcBorders>
              <w:top w:val="single" w:sz="4" w:space="0" w:color="auto"/>
              <w:bottom w:val="single" w:sz="4" w:space="0" w:color="auto"/>
            </w:tcBorders>
          </w:tcPr>
          <w:p w14:paraId="37784942" w14:textId="32236891" w:rsidR="00560153" w:rsidRPr="00560153" w:rsidRDefault="00560153" w:rsidP="00563820">
            <w:pPr>
              <w:pStyle w:val="TableParagraph"/>
              <w:spacing w:before="120"/>
              <w:rPr>
                <w:bCs/>
                <w:sz w:val="24"/>
                <w:szCs w:val="24"/>
              </w:rPr>
            </w:pPr>
            <w:r w:rsidRPr="00560153">
              <w:rPr>
                <w:sz w:val="24"/>
                <w:szCs w:val="24"/>
              </w:rPr>
              <w:t xml:space="preserve"> </w:t>
            </w:r>
            <w:r w:rsidRPr="00560153">
              <w:rPr>
                <w:b/>
                <w:sz w:val="24"/>
                <w:szCs w:val="24"/>
              </w:rPr>
              <w:t xml:space="preserve">MARK:  </w:t>
            </w:r>
            <w:r w:rsidRPr="00560153">
              <w:rPr>
                <w:bCs/>
                <w:sz w:val="24"/>
                <w:szCs w:val="24"/>
              </w:rPr>
              <w:t xml:space="preserve"> _____/</w:t>
            </w:r>
            <w:r w:rsidR="002356DD">
              <w:rPr>
                <w:bCs/>
                <w:sz w:val="24"/>
                <w:szCs w:val="24"/>
              </w:rPr>
              <w:t>38</w:t>
            </w:r>
          </w:p>
          <w:p w14:paraId="1C9F45BE" w14:textId="77777777" w:rsidR="00560153" w:rsidRPr="00560153" w:rsidRDefault="00560153" w:rsidP="00563820">
            <w:pPr>
              <w:pStyle w:val="TableParagraph"/>
              <w:spacing w:before="120"/>
              <w:rPr>
                <w:bCs/>
                <w:sz w:val="24"/>
                <w:szCs w:val="24"/>
              </w:rPr>
            </w:pPr>
          </w:p>
          <w:p w14:paraId="2543388E" w14:textId="77777777" w:rsidR="00560153" w:rsidRPr="00560153" w:rsidRDefault="00560153" w:rsidP="00563820">
            <w:pPr>
              <w:pStyle w:val="TableParagraph"/>
              <w:spacing w:before="120"/>
              <w:rPr>
                <w:bCs/>
                <w:sz w:val="24"/>
                <w:szCs w:val="24"/>
              </w:rPr>
            </w:pPr>
          </w:p>
          <w:p w14:paraId="1EDD71B6" w14:textId="77777777" w:rsidR="00560153" w:rsidRPr="00560153" w:rsidRDefault="00560153" w:rsidP="00563820">
            <w:pPr>
              <w:pStyle w:val="TableParagraph"/>
              <w:spacing w:before="120"/>
              <w:rPr>
                <w:sz w:val="24"/>
                <w:szCs w:val="24"/>
              </w:rPr>
            </w:pPr>
          </w:p>
        </w:tc>
      </w:tr>
    </w:tbl>
    <w:p w14:paraId="6F5CC1B7" w14:textId="77777777" w:rsidR="00560153" w:rsidRDefault="00560153" w:rsidP="00560153">
      <w:pPr>
        <w:rPr>
          <w:rFonts w:cstheme="minorHAnsi"/>
          <w:b/>
          <w:sz w:val="22"/>
        </w:rPr>
      </w:pPr>
    </w:p>
    <w:p w14:paraId="54807DD8" w14:textId="77777777" w:rsidR="00560153" w:rsidRPr="00560153" w:rsidRDefault="00560153" w:rsidP="00560153"/>
    <w:p w14:paraId="6068A4C1" w14:textId="77777777" w:rsidR="00235C72" w:rsidRPr="001405FA" w:rsidRDefault="00FA5CBB" w:rsidP="001405FA">
      <w:pPr>
        <w:pStyle w:val="Heading2"/>
      </w:pPr>
      <w:r w:rsidRPr="001405FA">
        <w:t>Background Information</w:t>
      </w:r>
    </w:p>
    <w:p w14:paraId="29855F6C" w14:textId="77777777" w:rsidR="00235C72" w:rsidRPr="00235C72" w:rsidRDefault="00235C72" w:rsidP="00235C72">
      <w:pPr>
        <w:rPr>
          <w:rFonts w:cstheme="minorHAnsi"/>
        </w:rPr>
      </w:pPr>
      <w:r w:rsidRPr="00235C72">
        <w:rPr>
          <w:rFonts w:cstheme="minorHAnsi"/>
        </w:rPr>
        <w:t xml:space="preserve">The coronavirus (or COVID 19) pandemic forced a number of changes in consumer behaviour, and businesses were compelled to respond quickly to maintain their market share and remain viable. The following businesses have been impacted by the restrictions placed on society due to the coronavirus pandemic and have been required to respond to changes in consumer demand. </w:t>
      </w:r>
    </w:p>
    <w:p w14:paraId="7CAA8DDE" w14:textId="77777777" w:rsidR="00235C72" w:rsidRPr="00235C72" w:rsidRDefault="00235C72" w:rsidP="00235C72">
      <w:pPr>
        <w:pStyle w:val="ListParagraph"/>
        <w:numPr>
          <w:ilvl w:val="0"/>
          <w:numId w:val="1"/>
        </w:numPr>
        <w:rPr>
          <w:rFonts w:cstheme="minorHAnsi"/>
        </w:rPr>
      </w:pPr>
      <w:r w:rsidRPr="00235C72">
        <w:rPr>
          <w:rFonts w:cstheme="minorHAnsi"/>
        </w:rPr>
        <w:t xml:space="preserve">Teleconferencing services </w:t>
      </w:r>
    </w:p>
    <w:p w14:paraId="36118379" w14:textId="77777777" w:rsidR="00235C72" w:rsidRPr="00235C72" w:rsidRDefault="00235C72" w:rsidP="00235C72">
      <w:pPr>
        <w:pStyle w:val="ListParagraph"/>
        <w:numPr>
          <w:ilvl w:val="0"/>
          <w:numId w:val="1"/>
        </w:numPr>
        <w:rPr>
          <w:rFonts w:cstheme="minorHAnsi"/>
        </w:rPr>
      </w:pPr>
      <w:r w:rsidRPr="00235C72">
        <w:rPr>
          <w:rFonts w:cstheme="minorHAnsi"/>
        </w:rPr>
        <w:t xml:space="preserve">Food delivery services </w:t>
      </w:r>
    </w:p>
    <w:p w14:paraId="58ED7C51" w14:textId="77777777" w:rsidR="00235C72" w:rsidRPr="00235C72" w:rsidRDefault="0041794E" w:rsidP="00235C72">
      <w:pPr>
        <w:pStyle w:val="ListParagraph"/>
        <w:numPr>
          <w:ilvl w:val="0"/>
          <w:numId w:val="1"/>
        </w:numPr>
        <w:rPr>
          <w:rFonts w:cstheme="minorHAnsi"/>
        </w:rPr>
      </w:pPr>
      <w:r>
        <w:rPr>
          <w:rFonts w:cstheme="minorHAnsi"/>
        </w:rPr>
        <w:t>DIY</w:t>
      </w:r>
      <w:r w:rsidR="00235C72" w:rsidRPr="00235C72">
        <w:rPr>
          <w:rFonts w:cstheme="minorHAnsi"/>
        </w:rPr>
        <w:t xml:space="preserve"> suppliers </w:t>
      </w:r>
    </w:p>
    <w:p w14:paraId="29C71495" w14:textId="77777777" w:rsidR="00235C72" w:rsidRPr="00235C72" w:rsidRDefault="00235C72" w:rsidP="00235C72">
      <w:pPr>
        <w:pStyle w:val="ListParagraph"/>
        <w:numPr>
          <w:ilvl w:val="0"/>
          <w:numId w:val="1"/>
        </w:numPr>
        <w:rPr>
          <w:rFonts w:cstheme="minorHAnsi"/>
        </w:rPr>
      </w:pPr>
      <w:r w:rsidRPr="00235C72">
        <w:rPr>
          <w:rFonts w:cstheme="minorHAnsi"/>
        </w:rPr>
        <w:t xml:space="preserve">Education and health services </w:t>
      </w:r>
    </w:p>
    <w:p w14:paraId="556D53D9" w14:textId="77777777" w:rsidR="00235C72" w:rsidRPr="00235C72" w:rsidRDefault="00235C72" w:rsidP="00235C72">
      <w:pPr>
        <w:pStyle w:val="ListParagraph"/>
        <w:numPr>
          <w:ilvl w:val="0"/>
          <w:numId w:val="1"/>
        </w:numPr>
        <w:rPr>
          <w:rFonts w:cstheme="minorHAnsi"/>
        </w:rPr>
      </w:pPr>
      <w:r w:rsidRPr="00235C72">
        <w:rPr>
          <w:rFonts w:cstheme="minorHAnsi"/>
        </w:rPr>
        <w:t xml:space="preserve">Food suppliers e.g. cafés and restaurants </w:t>
      </w:r>
    </w:p>
    <w:p w14:paraId="5E367CC1" w14:textId="77777777" w:rsidR="00235C72" w:rsidRDefault="00235C72" w:rsidP="00235C72">
      <w:pPr>
        <w:spacing w:line="360" w:lineRule="auto"/>
        <w:ind w:right="334"/>
        <w:rPr>
          <w:rFonts w:cstheme="minorHAnsi"/>
          <w:b/>
        </w:rPr>
      </w:pPr>
    </w:p>
    <w:p w14:paraId="6B5CD88B" w14:textId="77777777" w:rsidR="00CD52CE" w:rsidRDefault="00CD52CE" w:rsidP="00235C72">
      <w:pPr>
        <w:spacing w:line="360" w:lineRule="auto"/>
        <w:ind w:right="334"/>
        <w:rPr>
          <w:rFonts w:cstheme="minorHAnsi"/>
          <w:b/>
        </w:rPr>
      </w:pPr>
    </w:p>
    <w:p w14:paraId="63EC43EE" w14:textId="77777777" w:rsidR="00235C72" w:rsidRDefault="00235C72" w:rsidP="001405FA">
      <w:pPr>
        <w:pStyle w:val="Heading2"/>
      </w:pPr>
      <w:r w:rsidRPr="00235C72">
        <w:lastRenderedPageBreak/>
        <w:t>Instructions:</w:t>
      </w:r>
    </w:p>
    <w:p w14:paraId="79F6EFFA" w14:textId="77777777" w:rsidR="00235C72" w:rsidRPr="00235C72" w:rsidRDefault="00235C72" w:rsidP="00235C72">
      <w:pPr>
        <w:spacing w:line="360" w:lineRule="auto"/>
        <w:ind w:right="334"/>
        <w:rPr>
          <w:rFonts w:cstheme="minorHAnsi"/>
          <w:i/>
        </w:rPr>
      </w:pPr>
      <w:r>
        <w:rPr>
          <w:rFonts w:cstheme="minorHAnsi"/>
          <w:i/>
        </w:rPr>
        <w:t xml:space="preserve">Note: </w:t>
      </w:r>
      <w:r w:rsidRPr="00235C72">
        <w:rPr>
          <w:rFonts w:cstheme="minorHAnsi"/>
          <w:i/>
        </w:rPr>
        <w:t xml:space="preserve">You will have two lessons in class to complete this </w:t>
      </w:r>
      <w:r>
        <w:rPr>
          <w:rFonts w:cstheme="minorHAnsi"/>
          <w:i/>
        </w:rPr>
        <w:t xml:space="preserve">part of the task. </w:t>
      </w:r>
      <w:r w:rsidRPr="00235C72">
        <w:rPr>
          <w:rFonts w:cstheme="minorHAnsi"/>
          <w:i/>
        </w:rPr>
        <w:t xml:space="preserve">  </w:t>
      </w:r>
    </w:p>
    <w:p w14:paraId="116146F4" w14:textId="7BB77C60" w:rsidR="00235C72" w:rsidRPr="002356DD" w:rsidRDefault="00235C72" w:rsidP="00235C72">
      <w:pPr>
        <w:pStyle w:val="ListParagraph"/>
        <w:numPr>
          <w:ilvl w:val="0"/>
          <w:numId w:val="2"/>
        </w:numPr>
        <w:ind w:right="334"/>
        <w:rPr>
          <w:rFonts w:cstheme="minorHAnsi"/>
          <w:sz w:val="22"/>
          <w:szCs w:val="22"/>
        </w:rPr>
      </w:pPr>
      <w:r w:rsidRPr="002356DD">
        <w:rPr>
          <w:rFonts w:cstheme="minorHAnsi"/>
          <w:sz w:val="22"/>
          <w:szCs w:val="22"/>
        </w:rPr>
        <w:t>Before reading the article, make notes on your A3 note-taking sheet on how you think the</w:t>
      </w:r>
      <w:r w:rsidR="00CD52CE" w:rsidRPr="002356DD">
        <w:rPr>
          <w:rFonts w:cstheme="minorHAnsi"/>
          <w:sz w:val="22"/>
          <w:szCs w:val="22"/>
        </w:rPr>
        <w:t xml:space="preserve"> </w:t>
      </w:r>
      <w:r w:rsidR="00A62D42" w:rsidRPr="002356DD">
        <w:rPr>
          <w:rFonts w:cstheme="minorHAnsi"/>
          <w:sz w:val="22"/>
          <w:szCs w:val="22"/>
        </w:rPr>
        <w:t xml:space="preserve">listed industry has been shaped by the </w:t>
      </w:r>
      <w:proofErr w:type="gramStart"/>
      <w:r w:rsidR="00A62D42" w:rsidRPr="002356DD">
        <w:rPr>
          <w:rFonts w:cstheme="minorHAnsi"/>
          <w:sz w:val="22"/>
          <w:szCs w:val="22"/>
        </w:rPr>
        <w:t>Coronavirus</w:t>
      </w:r>
      <w:proofErr w:type="gramEnd"/>
    </w:p>
    <w:p w14:paraId="5BEBBF4D" w14:textId="77777777" w:rsidR="00235C72" w:rsidRPr="002356DD" w:rsidRDefault="00235C72" w:rsidP="00235C72">
      <w:pPr>
        <w:pStyle w:val="ListParagraph"/>
        <w:ind w:right="334"/>
        <w:rPr>
          <w:rFonts w:cstheme="minorHAnsi"/>
          <w:sz w:val="22"/>
          <w:szCs w:val="22"/>
        </w:rPr>
      </w:pPr>
    </w:p>
    <w:p w14:paraId="7E16E3CE" w14:textId="2D3565D9" w:rsidR="00235C72" w:rsidRPr="002356DD" w:rsidRDefault="00235C72" w:rsidP="00235C72">
      <w:pPr>
        <w:pStyle w:val="ListParagraph"/>
        <w:numPr>
          <w:ilvl w:val="0"/>
          <w:numId w:val="2"/>
        </w:numPr>
        <w:ind w:right="334"/>
        <w:rPr>
          <w:rFonts w:cstheme="minorHAnsi"/>
          <w:sz w:val="22"/>
          <w:szCs w:val="22"/>
        </w:rPr>
      </w:pPr>
      <w:r w:rsidRPr="002356DD">
        <w:rPr>
          <w:rFonts w:cstheme="minorHAnsi"/>
          <w:sz w:val="22"/>
          <w:szCs w:val="22"/>
        </w:rPr>
        <w:t xml:space="preserve">Read the ABC news article titled </w:t>
      </w:r>
      <w:r w:rsidRPr="002356DD">
        <w:rPr>
          <w:rFonts w:cstheme="minorHAnsi"/>
          <w:i/>
          <w:sz w:val="22"/>
          <w:szCs w:val="22"/>
        </w:rPr>
        <w:t xml:space="preserve">‘Coronavirus shifts consumer behaviour and helps some businesses boom’ </w:t>
      </w:r>
      <w:r w:rsidRPr="002356DD">
        <w:rPr>
          <w:rFonts w:cstheme="minorHAnsi"/>
          <w:sz w:val="22"/>
          <w:szCs w:val="22"/>
        </w:rPr>
        <w:t xml:space="preserve">by Nassim </w:t>
      </w:r>
      <w:proofErr w:type="spellStart"/>
      <w:r w:rsidRPr="002356DD">
        <w:rPr>
          <w:rFonts w:cstheme="minorHAnsi"/>
          <w:sz w:val="22"/>
          <w:szCs w:val="22"/>
        </w:rPr>
        <w:t>Khadem</w:t>
      </w:r>
      <w:proofErr w:type="spellEnd"/>
      <w:r w:rsidRPr="002356DD">
        <w:rPr>
          <w:rFonts w:cstheme="minorHAnsi"/>
          <w:sz w:val="22"/>
          <w:szCs w:val="22"/>
        </w:rPr>
        <w:t xml:space="preserve">. </w:t>
      </w:r>
      <w:r w:rsidR="001405FA" w:rsidRPr="002356DD">
        <w:rPr>
          <w:rFonts w:cstheme="minorHAnsi"/>
          <w:sz w:val="22"/>
          <w:szCs w:val="22"/>
        </w:rPr>
        <w:t>A copy is provided in this booklet for you</w:t>
      </w:r>
      <w:r w:rsidR="008552B4" w:rsidRPr="002356DD">
        <w:rPr>
          <w:rFonts w:cstheme="minorHAnsi"/>
          <w:sz w:val="22"/>
          <w:szCs w:val="22"/>
        </w:rPr>
        <w:t xml:space="preserve"> (Pg 3)</w:t>
      </w:r>
      <w:r w:rsidR="001405FA" w:rsidRPr="002356DD">
        <w:rPr>
          <w:rFonts w:cstheme="minorHAnsi"/>
          <w:sz w:val="22"/>
          <w:szCs w:val="22"/>
        </w:rPr>
        <w:t>.</w:t>
      </w:r>
      <w:r w:rsidRPr="002356DD">
        <w:rPr>
          <w:rFonts w:cstheme="minorHAnsi"/>
          <w:sz w:val="22"/>
          <w:szCs w:val="22"/>
        </w:rPr>
        <w:t xml:space="preserve"> Take notes on your A3 sheet based on how</w:t>
      </w:r>
      <w:r w:rsidR="00CD52CE" w:rsidRPr="002356DD">
        <w:rPr>
          <w:rFonts w:cstheme="minorHAnsi"/>
          <w:sz w:val="22"/>
          <w:szCs w:val="22"/>
        </w:rPr>
        <w:t xml:space="preserve"> different technological advancements and COVID-19 has impacted the </w:t>
      </w:r>
      <w:r w:rsidR="00A62D42" w:rsidRPr="002356DD">
        <w:rPr>
          <w:rFonts w:cstheme="minorHAnsi"/>
          <w:sz w:val="22"/>
          <w:szCs w:val="22"/>
        </w:rPr>
        <w:t>listed industry.</w:t>
      </w:r>
      <w:r w:rsidRPr="002356DD">
        <w:rPr>
          <w:rFonts w:cstheme="minorHAnsi"/>
          <w:sz w:val="22"/>
          <w:szCs w:val="22"/>
        </w:rPr>
        <w:t xml:space="preserve"> </w:t>
      </w:r>
    </w:p>
    <w:p w14:paraId="4F2E592F" w14:textId="77777777" w:rsidR="00235C72" w:rsidRPr="00235C72" w:rsidRDefault="00560153" w:rsidP="00CD52CE">
      <w:pPr>
        <w:ind w:right="334"/>
        <w:rPr>
          <w:rFonts w:cstheme="minorHAnsi"/>
          <w:b/>
        </w:rPr>
      </w:pPr>
      <w:r w:rsidRPr="00CD52CE">
        <w:rPr>
          <w:rFonts w:cstheme="minorHAnsi"/>
        </w:rPr>
        <w:t xml:space="preserve"> </w:t>
      </w:r>
    </w:p>
    <w:p w14:paraId="402049F3" w14:textId="77777777" w:rsidR="00A145A9" w:rsidRDefault="00A145A9" w:rsidP="00560153">
      <w:pPr>
        <w:pStyle w:val="Heading2"/>
      </w:pPr>
      <w:r>
        <w:t>Part A: Marking Key</w:t>
      </w:r>
    </w:p>
    <w:tbl>
      <w:tblPr>
        <w:tblStyle w:val="TableGrid"/>
        <w:tblpPr w:leftFromText="180" w:rightFromText="180" w:vertAnchor="text" w:horzAnchor="margin" w:tblpXSpec="center" w:tblpY="152"/>
        <w:tblW w:w="10385" w:type="dxa"/>
        <w:tblLook w:val="04A0" w:firstRow="1" w:lastRow="0" w:firstColumn="1" w:lastColumn="0" w:noHBand="0" w:noVBand="1"/>
      </w:tblPr>
      <w:tblGrid>
        <w:gridCol w:w="1776"/>
        <w:gridCol w:w="1763"/>
        <w:gridCol w:w="1843"/>
        <w:gridCol w:w="1979"/>
        <w:gridCol w:w="2075"/>
        <w:gridCol w:w="949"/>
      </w:tblGrid>
      <w:tr w:rsidR="00CD52CE" w:rsidRPr="003B1FC6" w14:paraId="4327518D" w14:textId="77777777" w:rsidTr="002356DD">
        <w:trPr>
          <w:trHeight w:val="699"/>
        </w:trPr>
        <w:tc>
          <w:tcPr>
            <w:tcW w:w="1776" w:type="dxa"/>
            <w:shd w:val="clear" w:color="auto" w:fill="D9D9D9" w:themeFill="background1" w:themeFillShade="D9"/>
            <w:vAlign w:val="center"/>
          </w:tcPr>
          <w:p w14:paraId="31C1BC01" w14:textId="77777777" w:rsidR="00560153" w:rsidRPr="003B1FC6" w:rsidRDefault="00560153" w:rsidP="00560153">
            <w:pPr>
              <w:jc w:val="center"/>
              <w:rPr>
                <w:rFonts w:cstheme="minorHAnsi"/>
                <w:b/>
                <w:sz w:val="20"/>
              </w:rPr>
            </w:pPr>
          </w:p>
        </w:tc>
        <w:tc>
          <w:tcPr>
            <w:tcW w:w="1763" w:type="dxa"/>
            <w:shd w:val="clear" w:color="auto" w:fill="D9D9D9" w:themeFill="background1" w:themeFillShade="D9"/>
            <w:vAlign w:val="center"/>
          </w:tcPr>
          <w:p w14:paraId="70564C33" w14:textId="79194D6D" w:rsidR="00560153" w:rsidRPr="003B1FC6" w:rsidRDefault="00A62D42" w:rsidP="00560153">
            <w:pPr>
              <w:jc w:val="center"/>
              <w:rPr>
                <w:rFonts w:cstheme="minorHAnsi"/>
                <w:b/>
                <w:sz w:val="20"/>
              </w:rPr>
            </w:pPr>
            <w:r>
              <w:rPr>
                <w:rFonts w:cstheme="minorHAnsi"/>
                <w:b/>
                <w:sz w:val="20"/>
              </w:rPr>
              <w:t>3</w:t>
            </w:r>
          </w:p>
        </w:tc>
        <w:tc>
          <w:tcPr>
            <w:tcW w:w="1843" w:type="dxa"/>
            <w:shd w:val="clear" w:color="auto" w:fill="D9D9D9" w:themeFill="background1" w:themeFillShade="D9"/>
            <w:vAlign w:val="center"/>
          </w:tcPr>
          <w:p w14:paraId="39B63890" w14:textId="7F892030" w:rsidR="00560153" w:rsidRPr="003B1FC6" w:rsidRDefault="00A62D42" w:rsidP="00560153">
            <w:pPr>
              <w:jc w:val="center"/>
              <w:rPr>
                <w:rFonts w:cstheme="minorHAnsi"/>
                <w:b/>
                <w:sz w:val="20"/>
              </w:rPr>
            </w:pPr>
            <w:r>
              <w:rPr>
                <w:rFonts w:cstheme="minorHAnsi"/>
                <w:b/>
                <w:sz w:val="20"/>
              </w:rPr>
              <w:t>2</w:t>
            </w:r>
          </w:p>
        </w:tc>
        <w:tc>
          <w:tcPr>
            <w:tcW w:w="1979" w:type="dxa"/>
            <w:shd w:val="clear" w:color="auto" w:fill="D9D9D9" w:themeFill="background1" w:themeFillShade="D9"/>
            <w:vAlign w:val="center"/>
          </w:tcPr>
          <w:p w14:paraId="1EA4C5DB" w14:textId="2FF4535C" w:rsidR="00560153" w:rsidRPr="003B1FC6" w:rsidRDefault="00A62D42" w:rsidP="00CD52CE">
            <w:pPr>
              <w:jc w:val="center"/>
              <w:rPr>
                <w:rFonts w:cstheme="minorHAnsi"/>
                <w:b/>
                <w:sz w:val="20"/>
              </w:rPr>
            </w:pPr>
            <w:r>
              <w:rPr>
                <w:rFonts w:cstheme="minorHAnsi"/>
                <w:b/>
                <w:sz w:val="20"/>
              </w:rPr>
              <w:t>1</w:t>
            </w:r>
          </w:p>
        </w:tc>
        <w:tc>
          <w:tcPr>
            <w:tcW w:w="2075" w:type="dxa"/>
            <w:shd w:val="clear" w:color="auto" w:fill="D9D9D9" w:themeFill="background1" w:themeFillShade="D9"/>
            <w:vAlign w:val="center"/>
          </w:tcPr>
          <w:p w14:paraId="3247185C" w14:textId="77777777" w:rsidR="00560153" w:rsidRPr="003B1FC6" w:rsidRDefault="00560153" w:rsidP="00CD52CE">
            <w:pPr>
              <w:jc w:val="center"/>
              <w:rPr>
                <w:rFonts w:cstheme="minorHAnsi"/>
                <w:b/>
                <w:sz w:val="20"/>
              </w:rPr>
            </w:pPr>
            <w:r>
              <w:rPr>
                <w:rFonts w:cstheme="minorHAnsi"/>
                <w:b/>
                <w:sz w:val="20"/>
              </w:rPr>
              <w:t>0</w:t>
            </w:r>
          </w:p>
        </w:tc>
        <w:tc>
          <w:tcPr>
            <w:tcW w:w="949" w:type="dxa"/>
            <w:shd w:val="clear" w:color="auto" w:fill="D9D9D9" w:themeFill="background1" w:themeFillShade="D9"/>
            <w:vAlign w:val="center"/>
          </w:tcPr>
          <w:p w14:paraId="6C7E44EE" w14:textId="77777777" w:rsidR="00560153" w:rsidRPr="003B1FC6" w:rsidRDefault="00560153" w:rsidP="00560153">
            <w:pPr>
              <w:jc w:val="center"/>
              <w:rPr>
                <w:rFonts w:cstheme="minorHAnsi"/>
                <w:b/>
                <w:sz w:val="20"/>
                <w:highlight w:val="yellow"/>
              </w:rPr>
            </w:pPr>
            <w:r w:rsidRPr="003B1FC6">
              <w:rPr>
                <w:rFonts w:cstheme="minorHAnsi"/>
                <w:b/>
                <w:sz w:val="20"/>
              </w:rPr>
              <w:t>Subtotal</w:t>
            </w:r>
          </w:p>
        </w:tc>
      </w:tr>
      <w:tr w:rsidR="00CD52CE" w:rsidRPr="003B1FC6" w14:paraId="47724405" w14:textId="77777777" w:rsidTr="002356DD">
        <w:trPr>
          <w:trHeight w:val="707"/>
        </w:trPr>
        <w:tc>
          <w:tcPr>
            <w:tcW w:w="1776" w:type="dxa"/>
            <w:tcBorders>
              <w:bottom w:val="single" w:sz="4" w:space="0" w:color="auto"/>
            </w:tcBorders>
            <w:vAlign w:val="center"/>
          </w:tcPr>
          <w:p w14:paraId="3E95018D" w14:textId="77777777" w:rsidR="00560153" w:rsidRDefault="00CD52CE" w:rsidP="00560153">
            <w:pPr>
              <w:jc w:val="center"/>
              <w:rPr>
                <w:rFonts w:cstheme="minorHAnsi"/>
                <w:b/>
                <w:sz w:val="20"/>
              </w:rPr>
            </w:pPr>
            <w:r>
              <w:rPr>
                <w:rFonts w:cstheme="minorHAnsi"/>
                <w:b/>
                <w:sz w:val="20"/>
              </w:rPr>
              <w:t>Before Reading</w:t>
            </w:r>
          </w:p>
          <w:p w14:paraId="56706810" w14:textId="2FC8B6A7" w:rsidR="00956B57" w:rsidRPr="003B1FC6" w:rsidRDefault="00956B57" w:rsidP="00560153">
            <w:pPr>
              <w:jc w:val="center"/>
              <w:rPr>
                <w:rFonts w:cstheme="minorHAnsi"/>
                <w:b/>
                <w:sz w:val="20"/>
              </w:rPr>
            </w:pPr>
            <w:r>
              <w:rPr>
                <w:rFonts w:cstheme="minorHAnsi"/>
                <w:b/>
                <w:sz w:val="20"/>
              </w:rPr>
              <w:t>(Per Section)</w:t>
            </w:r>
          </w:p>
        </w:tc>
        <w:tc>
          <w:tcPr>
            <w:tcW w:w="1763" w:type="dxa"/>
            <w:tcBorders>
              <w:bottom w:val="single" w:sz="4" w:space="0" w:color="auto"/>
            </w:tcBorders>
            <w:vAlign w:val="center"/>
          </w:tcPr>
          <w:p w14:paraId="75F7B3C2" w14:textId="096BDCD4" w:rsidR="00560153" w:rsidRPr="008552B4" w:rsidRDefault="00CD52CE" w:rsidP="00956B57">
            <w:pPr>
              <w:tabs>
                <w:tab w:val="left" w:pos="5982"/>
              </w:tabs>
              <w:jc w:val="center"/>
              <w:rPr>
                <w:rFonts w:cstheme="minorHAnsi"/>
                <w:sz w:val="20"/>
              </w:rPr>
            </w:pPr>
            <w:r>
              <w:rPr>
                <w:rFonts w:cstheme="minorHAnsi"/>
                <w:sz w:val="20"/>
              </w:rPr>
              <w:t>3 marks detailed notes</w:t>
            </w:r>
          </w:p>
        </w:tc>
        <w:tc>
          <w:tcPr>
            <w:tcW w:w="1843" w:type="dxa"/>
            <w:tcBorders>
              <w:bottom w:val="single" w:sz="4" w:space="0" w:color="auto"/>
            </w:tcBorders>
            <w:shd w:val="clear" w:color="auto" w:fill="auto"/>
            <w:vAlign w:val="center"/>
          </w:tcPr>
          <w:p w14:paraId="3AB80BD1" w14:textId="530A72D5" w:rsidR="00560153" w:rsidRDefault="00560153" w:rsidP="008552B4">
            <w:pPr>
              <w:tabs>
                <w:tab w:val="left" w:pos="5982"/>
              </w:tabs>
              <w:jc w:val="center"/>
              <w:rPr>
                <w:rFonts w:cstheme="minorHAnsi"/>
                <w:sz w:val="20"/>
              </w:rPr>
            </w:pPr>
          </w:p>
          <w:p w14:paraId="1CA68A45" w14:textId="37F1D602" w:rsidR="00560153" w:rsidRPr="003B1FC6" w:rsidRDefault="00CD52CE" w:rsidP="00956B57">
            <w:pPr>
              <w:tabs>
                <w:tab w:val="left" w:pos="5982"/>
              </w:tabs>
              <w:jc w:val="center"/>
              <w:rPr>
                <w:rFonts w:cstheme="minorHAnsi"/>
                <w:sz w:val="20"/>
              </w:rPr>
            </w:pPr>
            <w:r>
              <w:rPr>
                <w:rFonts w:cstheme="minorHAnsi"/>
                <w:sz w:val="20"/>
              </w:rPr>
              <w:t>2 marks for listing and outlining</w:t>
            </w:r>
          </w:p>
        </w:tc>
        <w:tc>
          <w:tcPr>
            <w:tcW w:w="1979" w:type="dxa"/>
            <w:tcBorders>
              <w:bottom w:val="single" w:sz="4" w:space="0" w:color="auto"/>
            </w:tcBorders>
            <w:shd w:val="clear" w:color="auto" w:fill="auto"/>
            <w:vAlign w:val="center"/>
          </w:tcPr>
          <w:p w14:paraId="3C1344E5" w14:textId="77777777" w:rsidR="008552B4" w:rsidRDefault="00CD52CE" w:rsidP="00CD52CE">
            <w:pPr>
              <w:tabs>
                <w:tab w:val="left" w:pos="5982"/>
              </w:tabs>
              <w:jc w:val="center"/>
              <w:rPr>
                <w:rFonts w:cstheme="minorHAnsi"/>
                <w:sz w:val="20"/>
              </w:rPr>
            </w:pPr>
            <w:r>
              <w:rPr>
                <w:rFonts w:cstheme="minorHAnsi"/>
                <w:sz w:val="20"/>
              </w:rPr>
              <w:t xml:space="preserve">1 mark limited </w:t>
            </w:r>
            <w:proofErr w:type="gramStart"/>
            <w:r>
              <w:rPr>
                <w:rFonts w:cstheme="minorHAnsi"/>
                <w:sz w:val="20"/>
              </w:rPr>
              <w:t>notes</w:t>
            </w:r>
            <w:proofErr w:type="gramEnd"/>
          </w:p>
          <w:p w14:paraId="67CC8436" w14:textId="77777777" w:rsidR="00560153" w:rsidRPr="003B1FC6" w:rsidRDefault="00560153" w:rsidP="00956B57">
            <w:pPr>
              <w:tabs>
                <w:tab w:val="left" w:pos="5982"/>
              </w:tabs>
              <w:jc w:val="center"/>
              <w:rPr>
                <w:rFonts w:cstheme="minorHAnsi"/>
                <w:sz w:val="20"/>
              </w:rPr>
            </w:pPr>
          </w:p>
        </w:tc>
        <w:tc>
          <w:tcPr>
            <w:tcW w:w="2075" w:type="dxa"/>
            <w:tcBorders>
              <w:bottom w:val="single" w:sz="4" w:space="0" w:color="auto"/>
            </w:tcBorders>
            <w:vAlign w:val="center"/>
          </w:tcPr>
          <w:p w14:paraId="2BF9041A" w14:textId="77777777" w:rsidR="00560153" w:rsidRPr="003B1FC6" w:rsidRDefault="00560153" w:rsidP="00560153">
            <w:pPr>
              <w:jc w:val="center"/>
              <w:rPr>
                <w:rFonts w:cstheme="minorHAnsi"/>
                <w:sz w:val="20"/>
              </w:rPr>
            </w:pPr>
            <w:r w:rsidRPr="003B1FC6">
              <w:rPr>
                <w:rFonts w:cstheme="minorHAnsi"/>
                <w:sz w:val="20"/>
              </w:rPr>
              <w:t>No notes are submitted (0)</w:t>
            </w:r>
          </w:p>
        </w:tc>
        <w:tc>
          <w:tcPr>
            <w:tcW w:w="949" w:type="dxa"/>
            <w:tcBorders>
              <w:bottom w:val="single" w:sz="4" w:space="0" w:color="auto"/>
            </w:tcBorders>
            <w:vAlign w:val="center"/>
          </w:tcPr>
          <w:p w14:paraId="0B1F3649" w14:textId="289D0731" w:rsidR="00560153" w:rsidRPr="003B1FC6" w:rsidRDefault="00956B57" w:rsidP="00560153">
            <w:pPr>
              <w:jc w:val="center"/>
              <w:rPr>
                <w:rFonts w:cstheme="minorHAnsi"/>
                <w:sz w:val="20"/>
                <w:highlight w:val="yellow"/>
              </w:rPr>
            </w:pPr>
            <w:r w:rsidRPr="00956B57">
              <w:rPr>
                <w:rFonts w:cstheme="minorHAnsi"/>
                <w:sz w:val="20"/>
              </w:rPr>
              <w:t>/12</w:t>
            </w:r>
          </w:p>
        </w:tc>
      </w:tr>
      <w:tr w:rsidR="00CD52CE" w:rsidRPr="003B1FC6" w14:paraId="39D48540" w14:textId="77777777" w:rsidTr="002356DD">
        <w:trPr>
          <w:trHeight w:val="418"/>
        </w:trPr>
        <w:tc>
          <w:tcPr>
            <w:tcW w:w="1776" w:type="dxa"/>
            <w:shd w:val="clear" w:color="auto" w:fill="D9D9D9" w:themeFill="background1" w:themeFillShade="D9"/>
            <w:vAlign w:val="center"/>
          </w:tcPr>
          <w:p w14:paraId="05A841D2" w14:textId="77777777" w:rsidR="00CD52CE" w:rsidRPr="003B1FC6" w:rsidRDefault="00CD52CE" w:rsidP="00CD52CE">
            <w:pPr>
              <w:jc w:val="center"/>
              <w:rPr>
                <w:rFonts w:cstheme="minorHAnsi"/>
                <w:b/>
                <w:sz w:val="20"/>
              </w:rPr>
            </w:pPr>
            <w:r>
              <w:rPr>
                <w:rFonts w:cstheme="minorHAnsi"/>
                <w:b/>
                <w:sz w:val="20"/>
              </w:rPr>
              <w:t>After Reading</w:t>
            </w:r>
          </w:p>
        </w:tc>
        <w:tc>
          <w:tcPr>
            <w:tcW w:w="1763" w:type="dxa"/>
            <w:shd w:val="clear" w:color="auto" w:fill="D9D9D9" w:themeFill="background1" w:themeFillShade="D9"/>
            <w:vAlign w:val="center"/>
          </w:tcPr>
          <w:p w14:paraId="22F1CC24" w14:textId="0EBE54A2" w:rsidR="00CD52CE" w:rsidRPr="003B1FC6" w:rsidRDefault="00A62D42" w:rsidP="00CD52CE">
            <w:pPr>
              <w:jc w:val="center"/>
              <w:rPr>
                <w:rFonts w:cstheme="minorHAnsi"/>
                <w:b/>
                <w:sz w:val="20"/>
              </w:rPr>
            </w:pPr>
            <w:r>
              <w:rPr>
                <w:rFonts w:cstheme="minorHAnsi"/>
                <w:b/>
                <w:sz w:val="20"/>
              </w:rPr>
              <w:t>4-5</w:t>
            </w:r>
          </w:p>
        </w:tc>
        <w:tc>
          <w:tcPr>
            <w:tcW w:w="1843" w:type="dxa"/>
            <w:shd w:val="clear" w:color="auto" w:fill="D9D9D9" w:themeFill="background1" w:themeFillShade="D9"/>
            <w:vAlign w:val="center"/>
          </w:tcPr>
          <w:p w14:paraId="3131330E" w14:textId="1410DA86" w:rsidR="00CD52CE" w:rsidRPr="003B1FC6" w:rsidRDefault="00A62D42" w:rsidP="00CD52CE">
            <w:pPr>
              <w:jc w:val="center"/>
              <w:rPr>
                <w:rFonts w:cstheme="minorHAnsi"/>
                <w:b/>
                <w:sz w:val="20"/>
              </w:rPr>
            </w:pPr>
            <w:r>
              <w:rPr>
                <w:rFonts w:cstheme="minorHAnsi"/>
                <w:b/>
                <w:sz w:val="20"/>
              </w:rPr>
              <w:t>2-3</w:t>
            </w:r>
          </w:p>
        </w:tc>
        <w:tc>
          <w:tcPr>
            <w:tcW w:w="1979" w:type="dxa"/>
            <w:shd w:val="clear" w:color="auto" w:fill="D9D9D9" w:themeFill="background1" w:themeFillShade="D9"/>
            <w:vAlign w:val="center"/>
          </w:tcPr>
          <w:p w14:paraId="47807FD8" w14:textId="77777777" w:rsidR="00CD52CE" w:rsidRPr="003B1FC6" w:rsidRDefault="00CD52CE" w:rsidP="00CD52CE">
            <w:pPr>
              <w:jc w:val="center"/>
              <w:rPr>
                <w:rFonts w:cstheme="minorHAnsi"/>
                <w:b/>
                <w:sz w:val="20"/>
              </w:rPr>
            </w:pPr>
            <w:r>
              <w:rPr>
                <w:rFonts w:cstheme="minorHAnsi"/>
                <w:b/>
                <w:sz w:val="20"/>
              </w:rPr>
              <w:t>1</w:t>
            </w:r>
          </w:p>
        </w:tc>
        <w:tc>
          <w:tcPr>
            <w:tcW w:w="2075" w:type="dxa"/>
            <w:shd w:val="clear" w:color="auto" w:fill="D9D9D9" w:themeFill="background1" w:themeFillShade="D9"/>
            <w:vAlign w:val="center"/>
          </w:tcPr>
          <w:p w14:paraId="27B5608E" w14:textId="77777777" w:rsidR="00CD52CE" w:rsidRPr="003B1FC6" w:rsidRDefault="00CD52CE" w:rsidP="00CD52CE">
            <w:pPr>
              <w:jc w:val="center"/>
              <w:rPr>
                <w:rFonts w:cstheme="minorHAnsi"/>
                <w:b/>
                <w:sz w:val="20"/>
              </w:rPr>
            </w:pPr>
            <w:r>
              <w:rPr>
                <w:rFonts w:cstheme="minorHAnsi"/>
                <w:b/>
                <w:sz w:val="20"/>
              </w:rPr>
              <w:t>0</w:t>
            </w:r>
          </w:p>
        </w:tc>
        <w:tc>
          <w:tcPr>
            <w:tcW w:w="949" w:type="dxa"/>
            <w:shd w:val="clear" w:color="auto" w:fill="D9D9D9" w:themeFill="background1" w:themeFillShade="D9"/>
            <w:vAlign w:val="center"/>
          </w:tcPr>
          <w:p w14:paraId="7445EE51" w14:textId="77777777" w:rsidR="00CD52CE" w:rsidRPr="003B1FC6" w:rsidRDefault="00CD52CE" w:rsidP="00CD52CE">
            <w:pPr>
              <w:jc w:val="center"/>
              <w:rPr>
                <w:rFonts w:cstheme="minorHAnsi"/>
                <w:b/>
                <w:sz w:val="20"/>
                <w:highlight w:val="yellow"/>
              </w:rPr>
            </w:pPr>
            <w:r w:rsidRPr="003B1FC6">
              <w:rPr>
                <w:rFonts w:cstheme="minorHAnsi"/>
                <w:b/>
                <w:sz w:val="20"/>
              </w:rPr>
              <w:t>Subtotal</w:t>
            </w:r>
          </w:p>
        </w:tc>
      </w:tr>
      <w:tr w:rsidR="00CD52CE" w:rsidRPr="003B1FC6" w14:paraId="07B95BA2" w14:textId="77777777" w:rsidTr="002356DD">
        <w:trPr>
          <w:trHeight w:val="1704"/>
        </w:trPr>
        <w:tc>
          <w:tcPr>
            <w:tcW w:w="1776" w:type="dxa"/>
            <w:tcBorders>
              <w:bottom w:val="single" w:sz="4" w:space="0" w:color="auto"/>
            </w:tcBorders>
            <w:vAlign w:val="center"/>
          </w:tcPr>
          <w:p w14:paraId="2908AA6A" w14:textId="3AA7507A" w:rsidR="00CD52CE" w:rsidRDefault="00956B57" w:rsidP="00CD52CE">
            <w:pPr>
              <w:jc w:val="center"/>
              <w:rPr>
                <w:rFonts w:cstheme="minorHAnsi"/>
                <w:b/>
                <w:sz w:val="20"/>
              </w:rPr>
            </w:pPr>
            <w:r>
              <w:rPr>
                <w:rFonts w:cstheme="minorHAnsi"/>
                <w:b/>
                <w:sz w:val="20"/>
              </w:rPr>
              <w:t>Videoconferencing</w:t>
            </w:r>
          </w:p>
        </w:tc>
        <w:tc>
          <w:tcPr>
            <w:tcW w:w="1763" w:type="dxa"/>
            <w:tcBorders>
              <w:bottom w:val="single" w:sz="4" w:space="0" w:color="auto"/>
            </w:tcBorders>
            <w:vAlign w:val="center"/>
          </w:tcPr>
          <w:p w14:paraId="4C7E66E5" w14:textId="77777777" w:rsidR="00CD52CE" w:rsidRPr="003B1FC6" w:rsidRDefault="00CD52CE" w:rsidP="00CD52CE">
            <w:pPr>
              <w:jc w:val="center"/>
              <w:rPr>
                <w:rFonts w:cstheme="minorHAnsi"/>
                <w:sz w:val="20"/>
              </w:rPr>
            </w:pPr>
            <w:r>
              <w:rPr>
                <w:rFonts w:cstheme="minorHAnsi"/>
                <w:sz w:val="20"/>
              </w:rPr>
              <w:t xml:space="preserve">Detailed notes, </w:t>
            </w:r>
            <w:r w:rsidRPr="003B1FC6">
              <w:rPr>
                <w:rFonts w:cstheme="minorHAnsi"/>
                <w:sz w:val="20"/>
              </w:rPr>
              <w:t>Uses</w:t>
            </w:r>
            <w:r>
              <w:rPr>
                <w:rFonts w:cstheme="minorHAnsi"/>
                <w:sz w:val="20"/>
              </w:rPr>
              <w:t xml:space="preserve"> supporting </w:t>
            </w:r>
            <w:r w:rsidRPr="003B1FC6">
              <w:rPr>
                <w:rFonts w:cstheme="minorHAnsi"/>
                <w:sz w:val="20"/>
              </w:rPr>
              <w:t xml:space="preserve">evidence from </w:t>
            </w:r>
            <w:r>
              <w:rPr>
                <w:rFonts w:cstheme="minorHAnsi"/>
                <w:sz w:val="20"/>
              </w:rPr>
              <w:t>the source such as statistics, quotes and examples of businesses.</w:t>
            </w:r>
          </w:p>
        </w:tc>
        <w:tc>
          <w:tcPr>
            <w:tcW w:w="1843" w:type="dxa"/>
            <w:tcBorders>
              <w:bottom w:val="single" w:sz="4" w:space="0" w:color="auto"/>
            </w:tcBorders>
            <w:shd w:val="clear" w:color="auto" w:fill="auto"/>
            <w:vAlign w:val="center"/>
          </w:tcPr>
          <w:p w14:paraId="283E367C" w14:textId="77777777" w:rsidR="00CD52CE" w:rsidRPr="003B1FC6" w:rsidRDefault="00CD52CE" w:rsidP="00CD52CE">
            <w:pPr>
              <w:tabs>
                <w:tab w:val="left" w:pos="5982"/>
              </w:tabs>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 xml:space="preserve">the source such as statistics, </w:t>
            </w:r>
          </w:p>
        </w:tc>
        <w:tc>
          <w:tcPr>
            <w:tcW w:w="1979" w:type="dxa"/>
            <w:tcBorders>
              <w:bottom w:val="single" w:sz="4" w:space="0" w:color="auto"/>
            </w:tcBorders>
            <w:shd w:val="clear" w:color="auto" w:fill="auto"/>
            <w:vAlign w:val="center"/>
          </w:tcPr>
          <w:p w14:paraId="75BCFDF9" w14:textId="77777777" w:rsidR="00CD52CE" w:rsidRPr="003B1FC6" w:rsidRDefault="00CD52CE" w:rsidP="00CD52CE">
            <w:pPr>
              <w:tabs>
                <w:tab w:val="left" w:pos="5982"/>
              </w:tabs>
              <w:jc w:val="center"/>
              <w:rPr>
                <w:rFonts w:cstheme="minorHAnsi"/>
                <w:sz w:val="20"/>
              </w:rPr>
            </w:pPr>
            <w:r>
              <w:rPr>
                <w:rFonts w:cstheme="minorHAnsi"/>
                <w:sz w:val="20"/>
              </w:rPr>
              <w:t xml:space="preserve">Limited notes, </w:t>
            </w:r>
            <w:r w:rsidRPr="003B1FC6">
              <w:rPr>
                <w:rFonts w:cstheme="minorHAnsi"/>
                <w:sz w:val="20"/>
              </w:rPr>
              <w:t xml:space="preserve">Uses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075" w:type="dxa"/>
            <w:tcBorders>
              <w:bottom w:val="single" w:sz="4" w:space="0" w:color="auto"/>
            </w:tcBorders>
            <w:vAlign w:val="center"/>
          </w:tcPr>
          <w:p w14:paraId="6E682BDF" w14:textId="77777777" w:rsidR="00CD52CE" w:rsidRPr="003B1FC6" w:rsidRDefault="00CD52CE" w:rsidP="00CD52CE">
            <w:pPr>
              <w:jc w:val="center"/>
              <w:rPr>
                <w:rFonts w:cstheme="minorHAnsi"/>
                <w:sz w:val="20"/>
              </w:rPr>
            </w:pPr>
            <w:r>
              <w:rPr>
                <w:rFonts w:cstheme="minorHAnsi"/>
                <w:sz w:val="20"/>
              </w:rPr>
              <w:t>No evidence is provided (0)</w:t>
            </w:r>
          </w:p>
        </w:tc>
        <w:tc>
          <w:tcPr>
            <w:tcW w:w="949" w:type="dxa"/>
            <w:tcBorders>
              <w:bottom w:val="single" w:sz="4" w:space="0" w:color="auto"/>
            </w:tcBorders>
            <w:vAlign w:val="center"/>
          </w:tcPr>
          <w:p w14:paraId="2D67F1F0" w14:textId="28701245" w:rsidR="00CD52CE" w:rsidRPr="003B1FC6" w:rsidRDefault="00956B57" w:rsidP="00CD52CE">
            <w:pPr>
              <w:jc w:val="center"/>
              <w:rPr>
                <w:rFonts w:cstheme="minorHAnsi"/>
                <w:sz w:val="20"/>
                <w:highlight w:val="yellow"/>
              </w:rPr>
            </w:pPr>
            <w:r w:rsidRPr="00956B57">
              <w:rPr>
                <w:rFonts w:cstheme="minorHAnsi"/>
                <w:sz w:val="20"/>
              </w:rPr>
              <w:t>/5</w:t>
            </w:r>
          </w:p>
        </w:tc>
      </w:tr>
      <w:tr w:rsidR="00956B57" w:rsidRPr="003B1FC6" w14:paraId="46436700" w14:textId="77777777" w:rsidTr="002356DD">
        <w:trPr>
          <w:trHeight w:val="1704"/>
        </w:trPr>
        <w:tc>
          <w:tcPr>
            <w:tcW w:w="1776" w:type="dxa"/>
            <w:tcBorders>
              <w:bottom w:val="single" w:sz="4" w:space="0" w:color="auto"/>
            </w:tcBorders>
            <w:vAlign w:val="center"/>
          </w:tcPr>
          <w:p w14:paraId="7A1E3637" w14:textId="2AD6D9CD" w:rsidR="00956B57" w:rsidRDefault="00956B57" w:rsidP="00956B57">
            <w:pPr>
              <w:jc w:val="center"/>
              <w:rPr>
                <w:rFonts w:cstheme="minorHAnsi"/>
                <w:b/>
                <w:sz w:val="20"/>
              </w:rPr>
            </w:pPr>
            <w:r>
              <w:rPr>
                <w:rFonts w:cstheme="minorHAnsi"/>
                <w:b/>
                <w:sz w:val="20"/>
              </w:rPr>
              <w:t>Food Delivery &amp; Restaurants</w:t>
            </w:r>
          </w:p>
        </w:tc>
        <w:tc>
          <w:tcPr>
            <w:tcW w:w="1763" w:type="dxa"/>
            <w:tcBorders>
              <w:bottom w:val="single" w:sz="4" w:space="0" w:color="auto"/>
            </w:tcBorders>
            <w:vAlign w:val="center"/>
          </w:tcPr>
          <w:p w14:paraId="7412D1D7" w14:textId="7F27A628" w:rsidR="00956B57" w:rsidRDefault="00956B57" w:rsidP="00956B57">
            <w:pPr>
              <w:jc w:val="center"/>
              <w:rPr>
                <w:rFonts w:cstheme="minorHAnsi"/>
                <w:sz w:val="20"/>
              </w:rPr>
            </w:pPr>
            <w:r>
              <w:rPr>
                <w:rFonts w:cstheme="minorHAnsi"/>
                <w:sz w:val="20"/>
              </w:rPr>
              <w:t xml:space="preserve">Detailed notes, </w:t>
            </w:r>
            <w:r w:rsidRPr="003B1FC6">
              <w:rPr>
                <w:rFonts w:cstheme="minorHAnsi"/>
                <w:sz w:val="20"/>
              </w:rPr>
              <w:t>Uses</w:t>
            </w:r>
            <w:r>
              <w:rPr>
                <w:rFonts w:cstheme="minorHAnsi"/>
                <w:sz w:val="20"/>
              </w:rPr>
              <w:t xml:space="preserve"> supporting </w:t>
            </w:r>
            <w:r w:rsidRPr="003B1FC6">
              <w:rPr>
                <w:rFonts w:cstheme="minorHAnsi"/>
                <w:sz w:val="20"/>
              </w:rPr>
              <w:t xml:space="preserve">evidence from </w:t>
            </w:r>
            <w:r>
              <w:rPr>
                <w:rFonts w:cstheme="minorHAnsi"/>
                <w:sz w:val="20"/>
              </w:rPr>
              <w:t>the source such as statistics, quotes and examples of businesses.</w:t>
            </w:r>
          </w:p>
        </w:tc>
        <w:tc>
          <w:tcPr>
            <w:tcW w:w="1843" w:type="dxa"/>
            <w:tcBorders>
              <w:bottom w:val="single" w:sz="4" w:space="0" w:color="auto"/>
            </w:tcBorders>
            <w:shd w:val="clear" w:color="auto" w:fill="auto"/>
            <w:vAlign w:val="center"/>
          </w:tcPr>
          <w:p w14:paraId="11091AAC" w14:textId="2F1E59EC" w:rsidR="00956B57" w:rsidRDefault="00956B57" w:rsidP="00956B57">
            <w:pPr>
              <w:tabs>
                <w:tab w:val="left" w:pos="5982"/>
              </w:tabs>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 xml:space="preserve">the source such as statistics, </w:t>
            </w:r>
          </w:p>
        </w:tc>
        <w:tc>
          <w:tcPr>
            <w:tcW w:w="1979" w:type="dxa"/>
            <w:tcBorders>
              <w:bottom w:val="single" w:sz="4" w:space="0" w:color="auto"/>
            </w:tcBorders>
            <w:shd w:val="clear" w:color="auto" w:fill="auto"/>
            <w:vAlign w:val="center"/>
          </w:tcPr>
          <w:p w14:paraId="2550EBD0" w14:textId="3A6C8348" w:rsidR="00956B57" w:rsidRDefault="00956B57" w:rsidP="00956B57">
            <w:pPr>
              <w:tabs>
                <w:tab w:val="left" w:pos="5982"/>
              </w:tabs>
              <w:jc w:val="center"/>
              <w:rPr>
                <w:rFonts w:cstheme="minorHAnsi"/>
                <w:sz w:val="20"/>
              </w:rPr>
            </w:pPr>
            <w:r>
              <w:rPr>
                <w:rFonts w:cstheme="minorHAnsi"/>
                <w:sz w:val="20"/>
              </w:rPr>
              <w:t xml:space="preserve">Limited notes, </w:t>
            </w:r>
            <w:proofErr w:type="gramStart"/>
            <w:r w:rsidRPr="003B1FC6">
              <w:rPr>
                <w:rFonts w:cstheme="minorHAnsi"/>
                <w:sz w:val="20"/>
              </w:rPr>
              <w:t>Uses</w:t>
            </w:r>
            <w:proofErr w:type="gramEnd"/>
            <w:r w:rsidRPr="003B1FC6">
              <w:rPr>
                <w:rFonts w:cstheme="minorHAnsi"/>
                <w:sz w:val="20"/>
              </w:rPr>
              <w:t xml:space="preserve">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075" w:type="dxa"/>
            <w:tcBorders>
              <w:bottom w:val="single" w:sz="4" w:space="0" w:color="auto"/>
            </w:tcBorders>
            <w:vAlign w:val="center"/>
          </w:tcPr>
          <w:p w14:paraId="2C734E4D" w14:textId="6FF5451C" w:rsidR="00956B57" w:rsidRDefault="00956B57" w:rsidP="00956B57">
            <w:pPr>
              <w:jc w:val="center"/>
              <w:rPr>
                <w:rFonts w:cstheme="minorHAnsi"/>
                <w:sz w:val="20"/>
              </w:rPr>
            </w:pPr>
            <w:r>
              <w:rPr>
                <w:rFonts w:cstheme="minorHAnsi"/>
                <w:sz w:val="20"/>
              </w:rPr>
              <w:t>No evidence is provided (0)</w:t>
            </w:r>
          </w:p>
        </w:tc>
        <w:tc>
          <w:tcPr>
            <w:tcW w:w="949" w:type="dxa"/>
            <w:tcBorders>
              <w:bottom w:val="single" w:sz="4" w:space="0" w:color="auto"/>
            </w:tcBorders>
            <w:vAlign w:val="center"/>
          </w:tcPr>
          <w:p w14:paraId="5E8F9B3D" w14:textId="4D047EF9" w:rsidR="00956B57" w:rsidRPr="003B1FC6" w:rsidRDefault="00956B57" w:rsidP="00956B57">
            <w:pPr>
              <w:jc w:val="center"/>
              <w:rPr>
                <w:rFonts w:cstheme="minorHAnsi"/>
                <w:sz w:val="20"/>
                <w:highlight w:val="yellow"/>
              </w:rPr>
            </w:pPr>
            <w:r w:rsidRPr="00956B57">
              <w:rPr>
                <w:rFonts w:cstheme="minorHAnsi"/>
                <w:sz w:val="20"/>
              </w:rPr>
              <w:t>/5</w:t>
            </w:r>
          </w:p>
        </w:tc>
      </w:tr>
      <w:tr w:rsidR="00956B57" w:rsidRPr="003B1FC6" w14:paraId="2128DF4E" w14:textId="77777777" w:rsidTr="002356DD">
        <w:trPr>
          <w:trHeight w:val="1704"/>
        </w:trPr>
        <w:tc>
          <w:tcPr>
            <w:tcW w:w="1776" w:type="dxa"/>
            <w:tcBorders>
              <w:bottom w:val="single" w:sz="4" w:space="0" w:color="auto"/>
            </w:tcBorders>
            <w:vAlign w:val="center"/>
          </w:tcPr>
          <w:p w14:paraId="11415CA5" w14:textId="37FBC895" w:rsidR="00956B57" w:rsidRDefault="00956B57" w:rsidP="00956B57">
            <w:pPr>
              <w:jc w:val="center"/>
              <w:rPr>
                <w:rFonts w:cstheme="minorHAnsi"/>
                <w:b/>
                <w:sz w:val="20"/>
              </w:rPr>
            </w:pPr>
            <w:r>
              <w:rPr>
                <w:rFonts w:cstheme="minorHAnsi"/>
                <w:b/>
                <w:sz w:val="20"/>
              </w:rPr>
              <w:t>DIY (Bunnings etc)</w:t>
            </w:r>
          </w:p>
        </w:tc>
        <w:tc>
          <w:tcPr>
            <w:tcW w:w="1763" w:type="dxa"/>
            <w:tcBorders>
              <w:bottom w:val="single" w:sz="4" w:space="0" w:color="auto"/>
            </w:tcBorders>
            <w:vAlign w:val="center"/>
          </w:tcPr>
          <w:p w14:paraId="138BE209" w14:textId="7C2BC84C" w:rsidR="00956B57" w:rsidRDefault="00956B57" w:rsidP="00956B57">
            <w:pPr>
              <w:jc w:val="center"/>
              <w:rPr>
                <w:rFonts w:cstheme="minorHAnsi"/>
                <w:sz w:val="20"/>
              </w:rPr>
            </w:pPr>
            <w:r>
              <w:rPr>
                <w:rFonts w:cstheme="minorHAnsi"/>
                <w:sz w:val="20"/>
              </w:rPr>
              <w:t xml:space="preserve">Detailed notes, </w:t>
            </w:r>
            <w:r w:rsidRPr="003B1FC6">
              <w:rPr>
                <w:rFonts w:cstheme="minorHAnsi"/>
                <w:sz w:val="20"/>
              </w:rPr>
              <w:t>Uses</w:t>
            </w:r>
            <w:r>
              <w:rPr>
                <w:rFonts w:cstheme="minorHAnsi"/>
                <w:sz w:val="20"/>
              </w:rPr>
              <w:t xml:space="preserve"> supporting </w:t>
            </w:r>
            <w:r w:rsidRPr="003B1FC6">
              <w:rPr>
                <w:rFonts w:cstheme="minorHAnsi"/>
                <w:sz w:val="20"/>
              </w:rPr>
              <w:t xml:space="preserve">evidence from </w:t>
            </w:r>
            <w:r>
              <w:rPr>
                <w:rFonts w:cstheme="minorHAnsi"/>
                <w:sz w:val="20"/>
              </w:rPr>
              <w:t>the source such as statistics, quotes and examples of businesses.</w:t>
            </w:r>
          </w:p>
        </w:tc>
        <w:tc>
          <w:tcPr>
            <w:tcW w:w="1843" w:type="dxa"/>
            <w:tcBorders>
              <w:bottom w:val="single" w:sz="4" w:space="0" w:color="auto"/>
            </w:tcBorders>
            <w:shd w:val="clear" w:color="auto" w:fill="auto"/>
            <w:vAlign w:val="center"/>
          </w:tcPr>
          <w:p w14:paraId="786B40AB" w14:textId="36B011BB" w:rsidR="00956B57" w:rsidRDefault="00956B57" w:rsidP="00956B57">
            <w:pPr>
              <w:tabs>
                <w:tab w:val="left" w:pos="5982"/>
              </w:tabs>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 xml:space="preserve">the source such as statistics, </w:t>
            </w:r>
          </w:p>
        </w:tc>
        <w:tc>
          <w:tcPr>
            <w:tcW w:w="1979" w:type="dxa"/>
            <w:tcBorders>
              <w:bottom w:val="single" w:sz="4" w:space="0" w:color="auto"/>
            </w:tcBorders>
            <w:shd w:val="clear" w:color="auto" w:fill="auto"/>
            <w:vAlign w:val="center"/>
          </w:tcPr>
          <w:p w14:paraId="459CD250" w14:textId="1BA5122C" w:rsidR="00956B57" w:rsidRDefault="00956B57" w:rsidP="00956B57">
            <w:pPr>
              <w:tabs>
                <w:tab w:val="left" w:pos="5982"/>
              </w:tabs>
              <w:jc w:val="center"/>
              <w:rPr>
                <w:rFonts w:cstheme="minorHAnsi"/>
                <w:sz w:val="20"/>
              </w:rPr>
            </w:pPr>
            <w:r>
              <w:rPr>
                <w:rFonts w:cstheme="minorHAnsi"/>
                <w:sz w:val="20"/>
              </w:rPr>
              <w:t xml:space="preserve">Limited notes, </w:t>
            </w:r>
            <w:proofErr w:type="gramStart"/>
            <w:r w:rsidRPr="003B1FC6">
              <w:rPr>
                <w:rFonts w:cstheme="minorHAnsi"/>
                <w:sz w:val="20"/>
              </w:rPr>
              <w:t>Uses</w:t>
            </w:r>
            <w:proofErr w:type="gramEnd"/>
            <w:r w:rsidRPr="003B1FC6">
              <w:rPr>
                <w:rFonts w:cstheme="minorHAnsi"/>
                <w:sz w:val="20"/>
              </w:rPr>
              <w:t xml:space="preserve">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075" w:type="dxa"/>
            <w:tcBorders>
              <w:bottom w:val="single" w:sz="4" w:space="0" w:color="auto"/>
            </w:tcBorders>
            <w:vAlign w:val="center"/>
          </w:tcPr>
          <w:p w14:paraId="2C3D1A02" w14:textId="26B6D04B" w:rsidR="00956B57" w:rsidRDefault="00956B57" w:rsidP="00956B57">
            <w:pPr>
              <w:jc w:val="center"/>
              <w:rPr>
                <w:rFonts w:cstheme="minorHAnsi"/>
                <w:sz w:val="20"/>
              </w:rPr>
            </w:pPr>
            <w:r>
              <w:rPr>
                <w:rFonts w:cstheme="minorHAnsi"/>
                <w:sz w:val="20"/>
              </w:rPr>
              <w:t>No evidence is provided (0)</w:t>
            </w:r>
          </w:p>
        </w:tc>
        <w:tc>
          <w:tcPr>
            <w:tcW w:w="949" w:type="dxa"/>
            <w:tcBorders>
              <w:bottom w:val="single" w:sz="4" w:space="0" w:color="auto"/>
            </w:tcBorders>
            <w:vAlign w:val="center"/>
          </w:tcPr>
          <w:p w14:paraId="3F1B9B7D" w14:textId="7FE7B277" w:rsidR="00956B57" w:rsidRPr="003B1FC6" w:rsidRDefault="00956B57" w:rsidP="00956B57">
            <w:pPr>
              <w:jc w:val="center"/>
              <w:rPr>
                <w:rFonts w:cstheme="minorHAnsi"/>
                <w:sz w:val="20"/>
                <w:highlight w:val="yellow"/>
              </w:rPr>
            </w:pPr>
            <w:r w:rsidRPr="00956B57">
              <w:rPr>
                <w:rFonts w:cstheme="minorHAnsi"/>
                <w:sz w:val="20"/>
              </w:rPr>
              <w:t>/5</w:t>
            </w:r>
          </w:p>
        </w:tc>
      </w:tr>
      <w:tr w:rsidR="00956B57" w:rsidRPr="003B1FC6" w14:paraId="19AB9062" w14:textId="77777777" w:rsidTr="002356DD">
        <w:trPr>
          <w:trHeight w:val="1704"/>
        </w:trPr>
        <w:tc>
          <w:tcPr>
            <w:tcW w:w="1776" w:type="dxa"/>
            <w:tcBorders>
              <w:bottom w:val="single" w:sz="4" w:space="0" w:color="auto"/>
            </w:tcBorders>
            <w:vAlign w:val="center"/>
          </w:tcPr>
          <w:p w14:paraId="405D4851" w14:textId="61E2F558" w:rsidR="00956B57" w:rsidRDefault="00956B57" w:rsidP="00956B57">
            <w:pPr>
              <w:rPr>
                <w:rFonts w:cstheme="minorHAnsi"/>
                <w:b/>
                <w:sz w:val="20"/>
              </w:rPr>
            </w:pPr>
            <w:r>
              <w:rPr>
                <w:rFonts w:cstheme="minorHAnsi"/>
                <w:b/>
                <w:sz w:val="20"/>
              </w:rPr>
              <w:t>Beauty and Books</w:t>
            </w:r>
          </w:p>
        </w:tc>
        <w:tc>
          <w:tcPr>
            <w:tcW w:w="1763" w:type="dxa"/>
            <w:tcBorders>
              <w:bottom w:val="single" w:sz="4" w:space="0" w:color="auto"/>
            </w:tcBorders>
            <w:vAlign w:val="center"/>
          </w:tcPr>
          <w:p w14:paraId="55AC2B55" w14:textId="4931DCBF" w:rsidR="00956B57" w:rsidRDefault="00956B57" w:rsidP="00956B57">
            <w:pPr>
              <w:jc w:val="center"/>
              <w:rPr>
                <w:rFonts w:cstheme="minorHAnsi"/>
                <w:sz w:val="20"/>
              </w:rPr>
            </w:pPr>
            <w:r>
              <w:rPr>
                <w:rFonts w:cstheme="minorHAnsi"/>
                <w:sz w:val="20"/>
              </w:rPr>
              <w:t xml:space="preserve">Detailed notes, </w:t>
            </w:r>
            <w:r w:rsidRPr="003B1FC6">
              <w:rPr>
                <w:rFonts w:cstheme="minorHAnsi"/>
                <w:sz w:val="20"/>
              </w:rPr>
              <w:t>Uses</w:t>
            </w:r>
            <w:r>
              <w:rPr>
                <w:rFonts w:cstheme="minorHAnsi"/>
                <w:sz w:val="20"/>
              </w:rPr>
              <w:t xml:space="preserve"> supporting </w:t>
            </w:r>
            <w:r w:rsidRPr="003B1FC6">
              <w:rPr>
                <w:rFonts w:cstheme="minorHAnsi"/>
                <w:sz w:val="20"/>
              </w:rPr>
              <w:t xml:space="preserve">evidence from </w:t>
            </w:r>
            <w:r>
              <w:rPr>
                <w:rFonts w:cstheme="minorHAnsi"/>
                <w:sz w:val="20"/>
              </w:rPr>
              <w:t>the source such as statistics, quotes and examples of businesses.</w:t>
            </w:r>
          </w:p>
        </w:tc>
        <w:tc>
          <w:tcPr>
            <w:tcW w:w="1843" w:type="dxa"/>
            <w:tcBorders>
              <w:bottom w:val="single" w:sz="4" w:space="0" w:color="auto"/>
            </w:tcBorders>
            <w:shd w:val="clear" w:color="auto" w:fill="auto"/>
            <w:vAlign w:val="center"/>
          </w:tcPr>
          <w:p w14:paraId="490748E6" w14:textId="18EE7A0F" w:rsidR="00956B57" w:rsidRDefault="00956B57" w:rsidP="00956B57">
            <w:pPr>
              <w:tabs>
                <w:tab w:val="left" w:pos="5982"/>
              </w:tabs>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 xml:space="preserve">the source such as statistics, </w:t>
            </w:r>
          </w:p>
        </w:tc>
        <w:tc>
          <w:tcPr>
            <w:tcW w:w="1979" w:type="dxa"/>
            <w:tcBorders>
              <w:bottom w:val="single" w:sz="4" w:space="0" w:color="auto"/>
            </w:tcBorders>
            <w:shd w:val="clear" w:color="auto" w:fill="auto"/>
            <w:vAlign w:val="center"/>
          </w:tcPr>
          <w:p w14:paraId="37848469" w14:textId="0FCD4FCB" w:rsidR="00956B57" w:rsidRDefault="00956B57" w:rsidP="00956B57">
            <w:pPr>
              <w:tabs>
                <w:tab w:val="left" w:pos="5982"/>
              </w:tabs>
              <w:jc w:val="center"/>
              <w:rPr>
                <w:rFonts w:cstheme="minorHAnsi"/>
                <w:sz w:val="20"/>
              </w:rPr>
            </w:pPr>
            <w:r>
              <w:rPr>
                <w:rFonts w:cstheme="minorHAnsi"/>
                <w:sz w:val="20"/>
              </w:rPr>
              <w:t xml:space="preserve">Limited notes, </w:t>
            </w:r>
            <w:proofErr w:type="gramStart"/>
            <w:r w:rsidRPr="003B1FC6">
              <w:rPr>
                <w:rFonts w:cstheme="minorHAnsi"/>
                <w:sz w:val="20"/>
              </w:rPr>
              <w:t>Uses</w:t>
            </w:r>
            <w:proofErr w:type="gramEnd"/>
            <w:r w:rsidRPr="003B1FC6">
              <w:rPr>
                <w:rFonts w:cstheme="minorHAnsi"/>
                <w:sz w:val="20"/>
              </w:rPr>
              <w:t xml:space="preserve">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075" w:type="dxa"/>
            <w:tcBorders>
              <w:bottom w:val="single" w:sz="4" w:space="0" w:color="auto"/>
            </w:tcBorders>
            <w:vAlign w:val="center"/>
          </w:tcPr>
          <w:p w14:paraId="71D8765A" w14:textId="527AD704" w:rsidR="00956B57" w:rsidRDefault="00956B57" w:rsidP="00956B57">
            <w:pPr>
              <w:jc w:val="center"/>
              <w:rPr>
                <w:rFonts w:cstheme="minorHAnsi"/>
                <w:sz w:val="20"/>
              </w:rPr>
            </w:pPr>
            <w:r>
              <w:rPr>
                <w:rFonts w:cstheme="minorHAnsi"/>
                <w:sz w:val="20"/>
              </w:rPr>
              <w:t>No evidence is provided (0)</w:t>
            </w:r>
          </w:p>
        </w:tc>
        <w:tc>
          <w:tcPr>
            <w:tcW w:w="949" w:type="dxa"/>
            <w:tcBorders>
              <w:bottom w:val="single" w:sz="4" w:space="0" w:color="auto"/>
            </w:tcBorders>
            <w:vAlign w:val="center"/>
          </w:tcPr>
          <w:p w14:paraId="18413C1B" w14:textId="53FB6335" w:rsidR="00956B57" w:rsidRPr="003B1FC6" w:rsidRDefault="00956B57" w:rsidP="00956B57">
            <w:pPr>
              <w:jc w:val="center"/>
              <w:rPr>
                <w:rFonts w:cstheme="minorHAnsi"/>
                <w:sz w:val="20"/>
                <w:highlight w:val="yellow"/>
              </w:rPr>
            </w:pPr>
            <w:r w:rsidRPr="00956B57">
              <w:rPr>
                <w:rFonts w:cstheme="minorHAnsi"/>
                <w:sz w:val="20"/>
              </w:rPr>
              <w:t>/5</w:t>
            </w:r>
          </w:p>
        </w:tc>
      </w:tr>
      <w:tr w:rsidR="00956B57" w:rsidRPr="003B1FC6" w14:paraId="4569FADA" w14:textId="77777777" w:rsidTr="002356DD">
        <w:trPr>
          <w:trHeight w:val="112"/>
        </w:trPr>
        <w:tc>
          <w:tcPr>
            <w:tcW w:w="1776" w:type="dxa"/>
            <w:shd w:val="clear" w:color="auto" w:fill="D9D9D9" w:themeFill="background1" w:themeFillShade="D9"/>
            <w:vAlign w:val="center"/>
          </w:tcPr>
          <w:p w14:paraId="79C834B2" w14:textId="77777777" w:rsidR="00956B57" w:rsidRPr="003B1FC6" w:rsidRDefault="00956B57" w:rsidP="00956B57">
            <w:pPr>
              <w:jc w:val="center"/>
              <w:rPr>
                <w:rFonts w:cstheme="minorHAnsi"/>
                <w:b/>
                <w:sz w:val="20"/>
              </w:rPr>
            </w:pPr>
          </w:p>
        </w:tc>
        <w:tc>
          <w:tcPr>
            <w:tcW w:w="1763" w:type="dxa"/>
            <w:shd w:val="clear" w:color="auto" w:fill="D9D9D9" w:themeFill="background1" w:themeFillShade="D9"/>
            <w:vAlign w:val="center"/>
          </w:tcPr>
          <w:p w14:paraId="109A8D33" w14:textId="10296A9B" w:rsidR="00956B57" w:rsidRDefault="00956B57" w:rsidP="00956B57">
            <w:pPr>
              <w:jc w:val="center"/>
              <w:rPr>
                <w:rFonts w:cstheme="minorHAnsi"/>
                <w:b/>
                <w:sz w:val="20"/>
              </w:rPr>
            </w:pPr>
            <w:r>
              <w:rPr>
                <w:rFonts w:cstheme="minorHAnsi"/>
                <w:b/>
                <w:sz w:val="20"/>
              </w:rPr>
              <w:t>5-6</w:t>
            </w:r>
          </w:p>
        </w:tc>
        <w:tc>
          <w:tcPr>
            <w:tcW w:w="1843" w:type="dxa"/>
            <w:shd w:val="clear" w:color="auto" w:fill="D9D9D9" w:themeFill="background1" w:themeFillShade="D9"/>
            <w:vAlign w:val="center"/>
          </w:tcPr>
          <w:p w14:paraId="14278CCF" w14:textId="09374C4B" w:rsidR="00956B57" w:rsidRDefault="00956B57" w:rsidP="00956B57">
            <w:pPr>
              <w:jc w:val="center"/>
              <w:rPr>
                <w:rFonts w:cstheme="minorHAnsi"/>
                <w:b/>
                <w:sz w:val="20"/>
              </w:rPr>
            </w:pPr>
            <w:r>
              <w:rPr>
                <w:rFonts w:cstheme="minorHAnsi"/>
                <w:b/>
                <w:sz w:val="20"/>
              </w:rPr>
              <w:t>3-4</w:t>
            </w:r>
          </w:p>
        </w:tc>
        <w:tc>
          <w:tcPr>
            <w:tcW w:w="1979" w:type="dxa"/>
            <w:shd w:val="clear" w:color="auto" w:fill="D9D9D9" w:themeFill="background1" w:themeFillShade="D9"/>
            <w:vAlign w:val="center"/>
          </w:tcPr>
          <w:p w14:paraId="4C51AC47" w14:textId="42DC3412" w:rsidR="00956B57" w:rsidRDefault="00956B57" w:rsidP="00956B57">
            <w:pPr>
              <w:jc w:val="center"/>
              <w:rPr>
                <w:rFonts w:cstheme="minorHAnsi"/>
                <w:b/>
                <w:color w:val="000000"/>
                <w:sz w:val="20"/>
              </w:rPr>
            </w:pPr>
            <w:r>
              <w:rPr>
                <w:rFonts w:cstheme="minorHAnsi"/>
                <w:b/>
                <w:color w:val="000000"/>
                <w:sz w:val="20"/>
              </w:rPr>
              <w:t>1-2</w:t>
            </w:r>
          </w:p>
        </w:tc>
        <w:tc>
          <w:tcPr>
            <w:tcW w:w="2075" w:type="dxa"/>
            <w:shd w:val="clear" w:color="auto" w:fill="D9D9D9" w:themeFill="background1" w:themeFillShade="D9"/>
            <w:vAlign w:val="center"/>
          </w:tcPr>
          <w:p w14:paraId="744AF9C7" w14:textId="77777777" w:rsidR="00956B57" w:rsidRDefault="00956B57" w:rsidP="00956B57">
            <w:pPr>
              <w:jc w:val="center"/>
              <w:rPr>
                <w:rFonts w:cstheme="minorHAnsi"/>
                <w:b/>
                <w:color w:val="000000"/>
                <w:sz w:val="20"/>
              </w:rPr>
            </w:pPr>
            <w:r>
              <w:rPr>
                <w:rFonts w:cstheme="minorHAnsi"/>
                <w:b/>
                <w:color w:val="000000"/>
                <w:sz w:val="20"/>
              </w:rPr>
              <w:t>0</w:t>
            </w:r>
          </w:p>
        </w:tc>
        <w:tc>
          <w:tcPr>
            <w:tcW w:w="949" w:type="dxa"/>
            <w:shd w:val="clear" w:color="auto" w:fill="D9D9D9" w:themeFill="background1" w:themeFillShade="D9"/>
            <w:vAlign w:val="center"/>
          </w:tcPr>
          <w:p w14:paraId="7B5D4D43" w14:textId="77777777" w:rsidR="00956B57" w:rsidRPr="003B1FC6" w:rsidRDefault="00956B57" w:rsidP="00956B57">
            <w:pPr>
              <w:jc w:val="center"/>
              <w:rPr>
                <w:rFonts w:cstheme="minorHAnsi"/>
                <w:b/>
                <w:sz w:val="20"/>
              </w:rPr>
            </w:pPr>
            <w:r w:rsidRPr="003B1FC6">
              <w:rPr>
                <w:rFonts w:cstheme="minorHAnsi"/>
                <w:b/>
                <w:sz w:val="20"/>
              </w:rPr>
              <w:t>Subtotal</w:t>
            </w:r>
          </w:p>
        </w:tc>
      </w:tr>
      <w:tr w:rsidR="00956B57" w:rsidRPr="003B1FC6" w14:paraId="46811216" w14:textId="77777777" w:rsidTr="002356DD">
        <w:trPr>
          <w:trHeight w:val="470"/>
        </w:trPr>
        <w:tc>
          <w:tcPr>
            <w:tcW w:w="1776" w:type="dxa"/>
            <w:shd w:val="clear" w:color="auto" w:fill="auto"/>
            <w:vAlign w:val="center"/>
          </w:tcPr>
          <w:p w14:paraId="0DC94C40" w14:textId="66BE0E96" w:rsidR="00956B57" w:rsidRDefault="00956B57" w:rsidP="00956B57">
            <w:pPr>
              <w:jc w:val="center"/>
              <w:rPr>
                <w:rFonts w:cstheme="minorHAnsi"/>
                <w:b/>
                <w:sz w:val="20"/>
              </w:rPr>
            </w:pPr>
            <w:r>
              <w:rPr>
                <w:rFonts w:cstheme="minorHAnsi"/>
                <w:b/>
                <w:sz w:val="20"/>
              </w:rPr>
              <w:t>PMI</w:t>
            </w:r>
          </w:p>
        </w:tc>
        <w:tc>
          <w:tcPr>
            <w:tcW w:w="1763" w:type="dxa"/>
            <w:shd w:val="clear" w:color="auto" w:fill="FFFFFF" w:themeFill="background1"/>
            <w:vAlign w:val="center"/>
          </w:tcPr>
          <w:p w14:paraId="7E7ED890" w14:textId="58EB23F6" w:rsidR="00956B57" w:rsidRPr="002356DD" w:rsidRDefault="002356DD" w:rsidP="00956B57">
            <w:pPr>
              <w:jc w:val="center"/>
              <w:rPr>
                <w:rFonts w:cstheme="minorHAnsi"/>
                <w:b/>
                <w:sz w:val="18"/>
                <w:szCs w:val="18"/>
              </w:rPr>
            </w:pPr>
            <w:r w:rsidRPr="002356DD">
              <w:rPr>
                <w:rFonts w:cstheme="minorHAnsi"/>
                <w:color w:val="000000"/>
                <w:sz w:val="18"/>
                <w:szCs w:val="18"/>
              </w:rPr>
              <w:t xml:space="preserve">Comprehensive detail is used in each section of the PMI chart, which relates clearly to the task and the key areas. </w:t>
            </w:r>
          </w:p>
        </w:tc>
        <w:tc>
          <w:tcPr>
            <w:tcW w:w="1843" w:type="dxa"/>
            <w:shd w:val="clear" w:color="auto" w:fill="auto"/>
            <w:vAlign w:val="center"/>
          </w:tcPr>
          <w:p w14:paraId="6346F7AF" w14:textId="22D48AF8" w:rsidR="00956B57" w:rsidRPr="002356DD" w:rsidRDefault="002356DD" w:rsidP="00956B57">
            <w:pPr>
              <w:jc w:val="center"/>
              <w:rPr>
                <w:rFonts w:cstheme="minorHAnsi"/>
                <w:sz w:val="20"/>
              </w:rPr>
            </w:pPr>
            <w:r w:rsidRPr="002356DD">
              <w:rPr>
                <w:rFonts w:cstheme="minorHAnsi"/>
                <w:color w:val="000000"/>
                <w:sz w:val="16"/>
                <w:szCs w:val="16"/>
              </w:rPr>
              <w:t>Less comprehensive reference to key areas. Some sections are incomplete or not finished, with sections missing, including basic information on task and/or topic.</w:t>
            </w:r>
            <w:r w:rsidRPr="002356DD">
              <w:rPr>
                <w:rFonts w:cstheme="minorHAnsi"/>
                <w:sz w:val="16"/>
                <w:szCs w:val="16"/>
              </w:rPr>
              <w:t xml:space="preserve">              </w:t>
            </w:r>
          </w:p>
        </w:tc>
        <w:tc>
          <w:tcPr>
            <w:tcW w:w="1979" w:type="dxa"/>
            <w:shd w:val="clear" w:color="auto" w:fill="auto"/>
            <w:vAlign w:val="center"/>
          </w:tcPr>
          <w:p w14:paraId="0620F01F" w14:textId="77777777" w:rsidR="002356DD" w:rsidRPr="002356DD" w:rsidRDefault="002356DD" w:rsidP="002356DD">
            <w:pPr>
              <w:rPr>
                <w:rFonts w:cstheme="minorHAnsi"/>
                <w:color w:val="000000"/>
                <w:sz w:val="18"/>
                <w:szCs w:val="18"/>
              </w:rPr>
            </w:pPr>
            <w:r w:rsidRPr="002356DD">
              <w:rPr>
                <w:rFonts w:cstheme="minorHAnsi"/>
                <w:color w:val="000000"/>
                <w:sz w:val="18"/>
                <w:szCs w:val="18"/>
              </w:rPr>
              <w:t>Presents a generalised plan and/or limited chart. Limited references are made to key areas. Sections are missed.</w:t>
            </w:r>
          </w:p>
          <w:p w14:paraId="3498D9A7" w14:textId="26A2CD65" w:rsidR="00956B57" w:rsidRPr="008552B4" w:rsidRDefault="00956B57" w:rsidP="00956B57">
            <w:pPr>
              <w:jc w:val="center"/>
              <w:rPr>
                <w:rFonts w:cstheme="minorHAnsi"/>
                <w:color w:val="000000"/>
                <w:sz w:val="20"/>
              </w:rPr>
            </w:pPr>
          </w:p>
        </w:tc>
        <w:tc>
          <w:tcPr>
            <w:tcW w:w="2075" w:type="dxa"/>
            <w:shd w:val="clear" w:color="auto" w:fill="auto"/>
            <w:vAlign w:val="center"/>
          </w:tcPr>
          <w:p w14:paraId="66E2B6C7" w14:textId="757F4DED" w:rsidR="00956B57" w:rsidRPr="008552B4" w:rsidRDefault="002356DD" w:rsidP="00956B57">
            <w:pPr>
              <w:jc w:val="center"/>
              <w:rPr>
                <w:rFonts w:cstheme="minorHAnsi"/>
                <w:color w:val="000000"/>
                <w:sz w:val="20"/>
              </w:rPr>
            </w:pPr>
            <w:r>
              <w:rPr>
                <w:rFonts w:cstheme="minorHAnsi"/>
                <w:sz w:val="20"/>
              </w:rPr>
              <w:t>No PMI Chart Submitted</w:t>
            </w:r>
          </w:p>
        </w:tc>
        <w:tc>
          <w:tcPr>
            <w:tcW w:w="949" w:type="dxa"/>
            <w:shd w:val="clear" w:color="auto" w:fill="auto"/>
            <w:vAlign w:val="center"/>
          </w:tcPr>
          <w:p w14:paraId="228AEBB4" w14:textId="70683FA9" w:rsidR="00956B57" w:rsidRPr="003B1FC6" w:rsidRDefault="00956B57" w:rsidP="00956B57">
            <w:pPr>
              <w:jc w:val="center"/>
              <w:rPr>
                <w:rFonts w:cstheme="minorHAnsi"/>
                <w:sz w:val="20"/>
                <w:highlight w:val="yellow"/>
              </w:rPr>
            </w:pPr>
            <w:r w:rsidRPr="00956B57">
              <w:rPr>
                <w:rFonts w:cstheme="minorHAnsi"/>
                <w:sz w:val="20"/>
              </w:rPr>
              <w:t>/6</w:t>
            </w:r>
          </w:p>
        </w:tc>
      </w:tr>
    </w:tbl>
    <w:p w14:paraId="609FAA96" w14:textId="77777777" w:rsidR="00A145A9" w:rsidRDefault="00A145A9" w:rsidP="00A145A9"/>
    <w:p w14:paraId="49AFE7C4" w14:textId="77777777" w:rsidR="00A145A9" w:rsidRDefault="008552B4" w:rsidP="00A145A9">
      <w:r w:rsidRPr="00140F2E">
        <w:rPr>
          <w:b/>
        </w:rPr>
        <w:t>Total Score:</w:t>
      </w:r>
      <w:r>
        <w:t xml:space="preserve"> ________</w:t>
      </w:r>
      <w:r w:rsidR="00140F2E">
        <w:t xml:space="preserve"> </w:t>
      </w:r>
      <w:r>
        <w:t>/</w:t>
      </w:r>
      <w:r w:rsidR="00140F2E">
        <w:t xml:space="preserve"> 38</w:t>
      </w:r>
    </w:p>
    <w:p w14:paraId="7C5B2490" w14:textId="77777777" w:rsidR="00A145A9" w:rsidRDefault="00A145A9" w:rsidP="00A145A9"/>
    <w:p w14:paraId="4BE3446B" w14:textId="77777777" w:rsidR="00CD52CE" w:rsidRDefault="00CD52CE" w:rsidP="00A145A9"/>
    <w:p w14:paraId="68C493DC" w14:textId="77777777" w:rsidR="00A2438A" w:rsidRDefault="00A2438A" w:rsidP="00A2438A">
      <w:pPr>
        <w:pStyle w:val="Title"/>
        <w:rPr>
          <w:sz w:val="44"/>
        </w:rPr>
      </w:pPr>
      <w:r>
        <w:rPr>
          <w:sz w:val="44"/>
        </w:rPr>
        <w:t xml:space="preserve">News Article </w:t>
      </w:r>
    </w:p>
    <w:p w14:paraId="58695AB4" w14:textId="77777777" w:rsidR="00A2438A" w:rsidRPr="00A2438A" w:rsidRDefault="00A2438A" w:rsidP="00A2438A">
      <w:pPr>
        <w:rPr>
          <w:lang w:val="en-AU"/>
        </w:rPr>
      </w:pPr>
    </w:p>
    <w:p w14:paraId="5CC987ED" w14:textId="77777777" w:rsidR="00A2438A" w:rsidRDefault="00A2438A" w:rsidP="00A2438A">
      <w:pPr>
        <w:rPr>
          <w:i/>
          <w:lang w:val="en-AU"/>
        </w:rPr>
      </w:pPr>
      <w:r w:rsidRPr="00A2438A">
        <w:rPr>
          <w:b/>
          <w:lang w:val="en-AU"/>
        </w:rPr>
        <w:t>Adapted from:</w:t>
      </w:r>
      <w:r>
        <w:rPr>
          <w:lang w:val="en-AU"/>
        </w:rPr>
        <w:t xml:space="preserve"> </w:t>
      </w:r>
      <w:proofErr w:type="spellStart"/>
      <w:r>
        <w:rPr>
          <w:lang w:val="en-AU"/>
        </w:rPr>
        <w:t>Khadem</w:t>
      </w:r>
      <w:proofErr w:type="spellEnd"/>
      <w:r>
        <w:rPr>
          <w:lang w:val="en-AU"/>
        </w:rPr>
        <w:t xml:space="preserve">, N. (April 2020). Coronavirus shifts consumer behaviour and helps some businesses boom. </w:t>
      </w:r>
      <w:r>
        <w:rPr>
          <w:i/>
          <w:lang w:val="en-AU"/>
        </w:rPr>
        <w:t>ABC News.</w:t>
      </w:r>
      <w:r w:rsidRPr="00A2438A">
        <w:rPr>
          <w:lang w:val="en-AU"/>
        </w:rPr>
        <w:t xml:space="preserve"> </w:t>
      </w:r>
      <w:hyperlink r:id="rId8" w:history="1">
        <w:r w:rsidRPr="00A2438A">
          <w:rPr>
            <w:rStyle w:val="Hyperlink"/>
            <w:bdr w:val="none" w:sz="0" w:space="0" w:color="auto"/>
            <w:lang w:val="en-AU"/>
          </w:rPr>
          <w:t>https://www.abc.net.au/news/2020-04-06/coronavirus-shifts-consumer-behaviour-and-helps-businesses-boom/12119508</w:t>
        </w:r>
      </w:hyperlink>
    </w:p>
    <w:p w14:paraId="3A707573" w14:textId="77777777" w:rsidR="00A2438A" w:rsidRDefault="00A2438A" w:rsidP="00A2438A">
      <w:pPr>
        <w:rPr>
          <w:lang w:val="en-AU"/>
        </w:rPr>
      </w:pPr>
    </w:p>
    <w:p w14:paraId="07569B44" w14:textId="77777777" w:rsidR="00A2438A" w:rsidRDefault="00A2438A" w:rsidP="00A2438A">
      <w:pPr>
        <w:rPr>
          <w:b/>
          <w:sz w:val="40"/>
          <w:lang w:val="en-AU"/>
        </w:rPr>
      </w:pPr>
      <w:r w:rsidRPr="00A2438A">
        <w:rPr>
          <w:b/>
          <w:sz w:val="40"/>
          <w:lang w:val="en-AU"/>
        </w:rPr>
        <w:t>Coronavirus shifts consumer behaviour and helps some businesses boom</w:t>
      </w:r>
    </w:p>
    <w:p w14:paraId="208F350E" w14:textId="77777777" w:rsidR="00A2438A" w:rsidRPr="00A2438A" w:rsidRDefault="00A2438A" w:rsidP="00A2438A">
      <w:pPr>
        <w:spacing w:line="276" w:lineRule="auto"/>
        <w:rPr>
          <w:b/>
          <w:sz w:val="40"/>
        </w:rPr>
      </w:pPr>
    </w:p>
    <w:p w14:paraId="30F31A27" w14:textId="77777777" w:rsidR="00A2438A" w:rsidRDefault="00A2438A" w:rsidP="00A2438A">
      <w:pPr>
        <w:spacing w:line="276" w:lineRule="auto"/>
      </w:pPr>
      <w:r>
        <w:t xml:space="preserve">Social distancing measures and lockdowns introduced in response to the coronavirus pandemic have forced everyone to rethink their everyday interactions. </w:t>
      </w:r>
    </w:p>
    <w:p w14:paraId="793F0941" w14:textId="77777777" w:rsidR="00A2438A" w:rsidRDefault="00A2438A" w:rsidP="00A2438A">
      <w:pPr>
        <w:spacing w:line="276" w:lineRule="auto"/>
      </w:pPr>
      <w:r>
        <w:t xml:space="preserve">It may permanently change the way we live and work, according to Australian business leaders. </w:t>
      </w:r>
    </w:p>
    <w:p w14:paraId="02530092" w14:textId="77777777" w:rsidR="00A2438A" w:rsidRDefault="009123DC" w:rsidP="00A2438A">
      <w:pPr>
        <w:spacing w:line="276" w:lineRule="auto"/>
      </w:pPr>
      <w:r>
        <w:t>Video</w:t>
      </w:r>
      <w:r w:rsidR="00A2438A">
        <w:t xml:space="preserve">conferencing services like Zoom and Skype, food delivery services like Uber Eats and Deliveroo, and businesses like Bunnings now see the future differently. They are some examples of the businesses which have not just survived the biggest health and economic catastrophe of the century, but are booming. </w:t>
      </w:r>
    </w:p>
    <w:p w14:paraId="4549A18D" w14:textId="77777777" w:rsidR="00A2438A" w:rsidRDefault="00A2438A" w:rsidP="00A2438A">
      <w:pPr>
        <w:spacing w:line="276" w:lineRule="auto"/>
      </w:pPr>
      <w:r>
        <w:t xml:space="preserve">However, the pandemic has also raised some new questions about privacy and security. If more of us are online and using apps to do everything from birthday parties, weddings, funerals and business board meetings, what responsibilities do companies have to protect our information? </w:t>
      </w:r>
    </w:p>
    <w:p w14:paraId="34C78720" w14:textId="77777777" w:rsidR="00A2438A" w:rsidRDefault="00A2438A" w:rsidP="00A2438A"/>
    <w:p w14:paraId="6597AC7E" w14:textId="77777777" w:rsidR="00A2438A" w:rsidRPr="00A2438A" w:rsidRDefault="00A2438A" w:rsidP="00A2438A">
      <w:pPr>
        <w:rPr>
          <w:b/>
          <w:bCs/>
          <w:sz w:val="28"/>
        </w:rPr>
      </w:pPr>
      <w:r w:rsidRPr="00A2438A">
        <w:rPr>
          <w:b/>
          <w:bCs/>
          <w:sz w:val="28"/>
        </w:rPr>
        <w:t xml:space="preserve">Demand for videoconferencing will continue to grow rapidly </w:t>
      </w:r>
    </w:p>
    <w:p w14:paraId="06C13DC3" w14:textId="77777777" w:rsidR="00A2438A" w:rsidRDefault="00A2438A" w:rsidP="00A2438A">
      <w:pPr>
        <w:spacing w:line="276" w:lineRule="auto"/>
      </w:pPr>
      <w:r>
        <w:t xml:space="preserve">Zoom, a free video conferencing app, has had a big uptake in consumers and has had to advise consumers of how their information will be protected. After some cases of so-called ‘Zoombombing’ – where hackers or trolls hijack a public video call- the company’s security and privacy protections have come into question. One of the company’s leaders, Michael </w:t>
      </w:r>
      <w:proofErr w:type="spellStart"/>
      <w:r>
        <w:t>Chetner</w:t>
      </w:r>
      <w:proofErr w:type="spellEnd"/>
      <w:r>
        <w:t xml:space="preserve">, says the company takes security and privacy seriously and complies with all of the local laws wherever it operates. </w:t>
      </w:r>
    </w:p>
    <w:p w14:paraId="3E6B091A" w14:textId="77777777" w:rsidR="00A2438A" w:rsidRDefault="00A2438A" w:rsidP="00A2438A">
      <w:pPr>
        <w:spacing w:line="276" w:lineRule="auto"/>
      </w:pPr>
      <w:r>
        <w:t xml:space="preserve">He said that technology is now a requirement, not a just something on people’s wish list. A digital transformation is occurring. </w:t>
      </w:r>
    </w:p>
    <w:p w14:paraId="2B490B2E" w14:textId="77777777" w:rsidR="00A2438A" w:rsidRDefault="00A2438A" w:rsidP="00A2438A">
      <w:pPr>
        <w:spacing w:line="276" w:lineRule="auto"/>
      </w:pPr>
      <w:r>
        <w:t xml:space="preserve">In Australia there has been more demand for services in rural and regional areas around education and health. Mr </w:t>
      </w:r>
      <w:proofErr w:type="spellStart"/>
      <w:r>
        <w:t>Chetner</w:t>
      </w:r>
      <w:proofErr w:type="spellEnd"/>
      <w:r>
        <w:t xml:space="preserve"> said that the need for Zoom will only continue to increase with educators teaching their students and health professionals how to deliver e-health services. </w:t>
      </w:r>
    </w:p>
    <w:p w14:paraId="2C3EAA4C" w14:textId="77777777" w:rsidR="00A2438A" w:rsidRDefault="00A2438A" w:rsidP="00A2438A">
      <w:pPr>
        <w:spacing w:line="276" w:lineRule="auto"/>
      </w:pPr>
      <w:r>
        <w:t xml:space="preserve">“As of the end of December last year, the maximum number of Zoom participants was about 10 million, but now it’s up to more than 200 million per day”. </w:t>
      </w:r>
    </w:p>
    <w:p w14:paraId="7B17DD21" w14:textId="77777777" w:rsidR="00A2438A" w:rsidRDefault="00A2438A" w:rsidP="00A2438A">
      <w:pPr>
        <w:spacing w:line="276" w:lineRule="auto"/>
      </w:pPr>
    </w:p>
    <w:p w14:paraId="5D8B2BAE" w14:textId="77777777" w:rsidR="00A2438A" w:rsidRPr="00A2438A" w:rsidRDefault="00A2438A" w:rsidP="00A2438A">
      <w:pPr>
        <w:rPr>
          <w:b/>
          <w:sz w:val="28"/>
        </w:rPr>
      </w:pPr>
      <w:r w:rsidRPr="00A2438A">
        <w:rPr>
          <w:b/>
          <w:sz w:val="28"/>
        </w:rPr>
        <w:t xml:space="preserve">Online food delivery soars </w:t>
      </w:r>
    </w:p>
    <w:p w14:paraId="3F17933E" w14:textId="77777777" w:rsidR="00A2438A" w:rsidRDefault="00A2438A" w:rsidP="00A2438A">
      <w:pPr>
        <w:spacing w:line="276" w:lineRule="auto"/>
      </w:pPr>
      <w:r>
        <w:t xml:space="preserve">The introduction of social distancing measures and closure of businesses has hit the café and restaurant industry especially hard. But companies like </w:t>
      </w:r>
      <w:proofErr w:type="spellStart"/>
      <w:r>
        <w:t>UberEats</w:t>
      </w:r>
      <w:proofErr w:type="spellEnd"/>
      <w:r>
        <w:t xml:space="preserve"> and Deliveroo are now seeing many temporarily shut-down restaurants move onto their platform, looking for ways to increase their digital business. The </w:t>
      </w:r>
      <w:r>
        <w:lastRenderedPageBreak/>
        <w:t xml:space="preserve">boss of Deliveroo said that in the week after bans were introduced, the </w:t>
      </w:r>
      <w:r>
        <w:rPr>
          <w:noProof/>
          <w:lang w:val="en-AU" w:eastAsia="en-AU"/>
        </w:rPr>
        <w:drawing>
          <wp:anchor distT="0" distB="0" distL="114300" distR="114300" simplePos="0" relativeHeight="251660288" behindDoc="0" locked="0" layoutInCell="1" allowOverlap="1" wp14:anchorId="56575F69" wp14:editId="70F41C34">
            <wp:simplePos x="0" y="0"/>
            <wp:positionH relativeFrom="margin">
              <wp:align>right</wp:align>
            </wp:positionH>
            <wp:positionV relativeFrom="paragraph">
              <wp:posOffset>148265</wp:posOffset>
            </wp:positionV>
            <wp:extent cx="3114675" cy="2338070"/>
            <wp:effectExtent l="0" t="0" r="9525" b="5080"/>
            <wp:wrapThrough wrapText="bothSides">
              <wp:wrapPolygon edited="0">
                <wp:start x="0" y="0"/>
                <wp:lineTo x="0" y="21471"/>
                <wp:lineTo x="21534" y="21471"/>
                <wp:lineTo x="21534" y="0"/>
                <wp:lineTo x="0" y="0"/>
              </wp:wrapPolygon>
            </wp:wrapThrough>
            <wp:docPr id="2" name="Picture 2" descr="A Deliveroo worker cycles along a road in October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liveroo worker cycles along a road in October 20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23380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company saw an additional 1700 restaurants join. This includes higher-end restaurants, and those in which pre-coronavirus had long lines of customers waiting outside their doors, such as Melbourne’s Chin </w:t>
      </w:r>
      <w:proofErr w:type="spellStart"/>
      <w:r>
        <w:t>Chin</w:t>
      </w:r>
      <w:proofErr w:type="spellEnd"/>
      <w:r>
        <w:t xml:space="preserve">. </w:t>
      </w:r>
    </w:p>
    <w:p w14:paraId="067893FC" w14:textId="77777777" w:rsidR="00A2438A" w:rsidRDefault="00A2438A" w:rsidP="00A2438A">
      <w:pPr>
        <w:spacing w:line="276" w:lineRule="auto"/>
      </w:pPr>
      <w:r>
        <w:t xml:space="preserve">Mr McManus says there has also been a growth in the number of new customers ordering through the app, as well as in the volume of deliveries. He is beginning to question whether consumer behaviour is now forever changed, however added that Australians love dining out with friends and family, and that would likely always be the case. </w:t>
      </w:r>
    </w:p>
    <w:p w14:paraId="5AD1D195" w14:textId="77777777" w:rsidR="00A2438A" w:rsidRDefault="00A2438A" w:rsidP="00A2438A"/>
    <w:p w14:paraId="3E623352" w14:textId="77777777" w:rsidR="00A2438A" w:rsidRPr="00A2438A" w:rsidRDefault="00A2438A" w:rsidP="00A2438A">
      <w:pPr>
        <w:rPr>
          <w:b/>
          <w:bCs/>
          <w:sz w:val="28"/>
        </w:rPr>
      </w:pPr>
      <w:r w:rsidRPr="00A2438A">
        <w:rPr>
          <w:b/>
          <w:bCs/>
          <w:sz w:val="28"/>
        </w:rPr>
        <w:t xml:space="preserve">Retail sector in transition </w:t>
      </w:r>
    </w:p>
    <w:p w14:paraId="5857A3BC" w14:textId="77777777" w:rsidR="00A2438A" w:rsidRDefault="00A2438A" w:rsidP="00A2438A">
      <w:pPr>
        <w:spacing w:line="276" w:lineRule="auto"/>
      </w:pPr>
      <w:r>
        <w:t xml:space="preserve">The retail industry, however, may have permanently changed. </w:t>
      </w:r>
    </w:p>
    <w:p w14:paraId="3531400F" w14:textId="77777777" w:rsidR="00A2438A" w:rsidRDefault="00A2438A" w:rsidP="00A2438A">
      <w:pPr>
        <w:spacing w:line="276" w:lineRule="auto"/>
      </w:pPr>
      <w:r>
        <w:t xml:space="preserve">Bunnings managing director Mike Schneider says that the retailer has seen demand like never before for goods as more Australians work and spend time at home. </w:t>
      </w:r>
    </w:p>
    <w:p w14:paraId="3D735458" w14:textId="77777777" w:rsidR="00A2438A" w:rsidRDefault="00A2438A" w:rsidP="00A2438A">
      <w:pPr>
        <w:spacing w:line="276" w:lineRule="auto"/>
      </w:pPr>
      <w:r>
        <w:t xml:space="preserve">He says there has been a huge wave of people purchasing supplies to build home offices and home classrooms. But there has also been a steady strong demand for cleaning products, seedlings and general garden supplies. </w:t>
      </w:r>
    </w:p>
    <w:p w14:paraId="0C778618" w14:textId="77777777" w:rsidR="00A2438A" w:rsidRDefault="00A2438A" w:rsidP="00A2438A">
      <w:pPr>
        <w:spacing w:line="276" w:lineRule="auto"/>
      </w:pPr>
      <w:r>
        <w:t xml:space="preserve">The company’s online marketplace has also been booming, with people purchasing gym equipment and various home fittings and furnishings. In March there were about 30 million visits to the Bunnings website. More customers are now purchasing goods through the website and also paying for online delivery. </w:t>
      </w:r>
    </w:p>
    <w:p w14:paraId="605FFD31" w14:textId="77777777" w:rsidR="00A2438A" w:rsidRDefault="00A2438A" w:rsidP="00A2438A">
      <w:pPr>
        <w:spacing w:line="276" w:lineRule="auto"/>
      </w:pPr>
      <w:r>
        <w:t xml:space="preserve">Schneider said “our patterns of living are going to change, and if that changes then what you buy and how you buy it changes”. </w:t>
      </w:r>
    </w:p>
    <w:p w14:paraId="5D811CA9" w14:textId="77777777" w:rsidR="00A2438A" w:rsidRDefault="00A2438A" w:rsidP="00A2438A"/>
    <w:p w14:paraId="3D3573C2" w14:textId="77777777" w:rsidR="00A2438A" w:rsidRPr="00A2438A" w:rsidRDefault="00A2438A" w:rsidP="00A2438A">
      <w:pPr>
        <w:rPr>
          <w:b/>
          <w:sz w:val="28"/>
        </w:rPr>
      </w:pPr>
      <w:r w:rsidRPr="00A2438A">
        <w:rPr>
          <w:b/>
          <w:sz w:val="28"/>
        </w:rPr>
        <w:t xml:space="preserve">Demand for online goods from beauty to books </w:t>
      </w:r>
    </w:p>
    <w:p w14:paraId="46A6B6B0" w14:textId="77777777" w:rsidR="00A2438A" w:rsidRDefault="00A2438A" w:rsidP="00A2438A">
      <w:pPr>
        <w:spacing w:line="276" w:lineRule="auto"/>
      </w:pPr>
      <w:r>
        <w:t xml:space="preserve">Businesses that were already operating online have been winners in this crisis. Kate Morris, founder of adorebeauty.com.au, says her Melbourne-based business has never seen such a leap in demand for online beauty and skincare products. This is thanks to a huge spike in demand for products including hand wash, sanitiser, soap and skincare. </w:t>
      </w:r>
    </w:p>
    <w:p w14:paraId="04BB5648" w14:textId="77777777" w:rsidR="00A2438A" w:rsidRDefault="00A2438A" w:rsidP="00A2438A">
      <w:pPr>
        <w:spacing w:line="276" w:lineRule="auto"/>
      </w:pPr>
      <w:r>
        <w:t xml:space="preserve">Since beauty salons closed and people stopped going to hairdressers, Ms Morris says sales of shampoo and conditioners, as well as facemasks, have also soared. </w:t>
      </w:r>
    </w:p>
    <w:p w14:paraId="21E9C18E" w14:textId="77777777" w:rsidR="00A2438A" w:rsidRDefault="00A2438A" w:rsidP="00A2438A">
      <w:pPr>
        <w:spacing w:line="276" w:lineRule="auto"/>
      </w:pPr>
      <w:r>
        <w:t xml:space="preserve">Australian online bookstore </w:t>
      </w:r>
      <w:proofErr w:type="spellStart"/>
      <w:r>
        <w:t>Booktopia’s</w:t>
      </w:r>
      <w:proofErr w:type="spellEnd"/>
      <w:r>
        <w:t xml:space="preserve"> deputy CEO Wayne Baskin says they are hitting their targets because demand for some books has gone up, mostly fiction. </w:t>
      </w:r>
    </w:p>
    <w:p w14:paraId="1FB31D4F" w14:textId="77777777" w:rsidR="00A2438A" w:rsidRDefault="00A2438A" w:rsidP="00A2438A"/>
    <w:p w14:paraId="3578266F" w14:textId="77777777" w:rsidR="00A2438A" w:rsidRDefault="00A2438A" w:rsidP="00A2438A"/>
    <w:p w14:paraId="5D6735C8" w14:textId="77777777" w:rsidR="00A2438A" w:rsidRDefault="00A2438A" w:rsidP="00A2438A"/>
    <w:p w14:paraId="5B87221B" w14:textId="77777777" w:rsidR="00A2438A" w:rsidRDefault="00A2438A" w:rsidP="00A2438A"/>
    <w:p w14:paraId="6A344796" w14:textId="77777777" w:rsidR="00A145A9" w:rsidRPr="00A145A9" w:rsidRDefault="00A145A9" w:rsidP="00A145A9"/>
    <w:sectPr w:rsidR="00A145A9" w:rsidRPr="00A145A9" w:rsidSect="00CD52CE">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B37B" w14:textId="77777777" w:rsidR="00563820" w:rsidRDefault="00563820" w:rsidP="001405FA">
      <w:r>
        <w:separator/>
      </w:r>
    </w:p>
  </w:endnote>
  <w:endnote w:type="continuationSeparator" w:id="0">
    <w:p w14:paraId="2FB44CAE" w14:textId="77777777" w:rsidR="00563820" w:rsidRDefault="00563820" w:rsidP="0014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2D18" w14:textId="77777777" w:rsidR="00563820" w:rsidRPr="00560153" w:rsidRDefault="00563820">
    <w:pPr>
      <w:pStyle w:val="Footer"/>
      <w:jc w:val="center"/>
      <w:rPr>
        <w:caps/>
        <w:noProof/>
      </w:rPr>
    </w:pPr>
    <w:r w:rsidRPr="00560153">
      <w:rPr>
        <w:caps/>
      </w:rPr>
      <w:fldChar w:fldCharType="begin"/>
    </w:r>
    <w:r w:rsidRPr="00560153">
      <w:rPr>
        <w:caps/>
      </w:rPr>
      <w:instrText xml:space="preserve"> PAGE   \* MERGEFORMAT </w:instrText>
    </w:r>
    <w:r w:rsidRPr="00560153">
      <w:rPr>
        <w:caps/>
      </w:rPr>
      <w:fldChar w:fldCharType="separate"/>
    </w:r>
    <w:r w:rsidR="00CD52CE">
      <w:rPr>
        <w:caps/>
        <w:noProof/>
      </w:rPr>
      <w:t>4</w:t>
    </w:r>
    <w:r w:rsidRPr="00560153">
      <w:rPr>
        <w:caps/>
        <w:noProof/>
      </w:rPr>
      <w:fldChar w:fldCharType="end"/>
    </w:r>
  </w:p>
  <w:p w14:paraId="0C159743" w14:textId="77777777" w:rsidR="00563820" w:rsidRDefault="00563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AE7A8" w14:textId="77777777" w:rsidR="00563820" w:rsidRDefault="00563820" w:rsidP="001405FA">
      <w:r>
        <w:separator/>
      </w:r>
    </w:p>
  </w:footnote>
  <w:footnote w:type="continuationSeparator" w:id="0">
    <w:p w14:paraId="33FEF11D" w14:textId="77777777" w:rsidR="00563820" w:rsidRDefault="00563820" w:rsidP="00140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90F"/>
    <w:multiLevelType w:val="hybridMultilevel"/>
    <w:tmpl w:val="32AEB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574FB9"/>
    <w:multiLevelType w:val="hybridMultilevel"/>
    <w:tmpl w:val="D3142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3A16EE"/>
    <w:multiLevelType w:val="hybridMultilevel"/>
    <w:tmpl w:val="6E1A32E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3E9F14BB"/>
    <w:multiLevelType w:val="hybridMultilevel"/>
    <w:tmpl w:val="DC5AF7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157A28"/>
    <w:multiLevelType w:val="hybridMultilevel"/>
    <w:tmpl w:val="2304B7E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16cid:durableId="2066756011">
    <w:abstractNumId w:val="0"/>
  </w:num>
  <w:num w:numId="2" w16cid:durableId="276521003">
    <w:abstractNumId w:val="3"/>
  </w:num>
  <w:num w:numId="3" w16cid:durableId="2015180721">
    <w:abstractNumId w:val="4"/>
  </w:num>
  <w:num w:numId="4" w16cid:durableId="2049795853">
    <w:abstractNumId w:val="2"/>
  </w:num>
  <w:num w:numId="5" w16cid:durableId="1451433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72"/>
    <w:rsid w:val="00084966"/>
    <w:rsid w:val="000C5E55"/>
    <w:rsid w:val="001405FA"/>
    <w:rsid w:val="00140F2E"/>
    <w:rsid w:val="001D40FB"/>
    <w:rsid w:val="002356DD"/>
    <w:rsid w:val="00235C72"/>
    <w:rsid w:val="002A339F"/>
    <w:rsid w:val="0041794E"/>
    <w:rsid w:val="00426615"/>
    <w:rsid w:val="00444E6E"/>
    <w:rsid w:val="00530DE2"/>
    <w:rsid w:val="00560153"/>
    <w:rsid w:val="00563820"/>
    <w:rsid w:val="008552B4"/>
    <w:rsid w:val="009123DC"/>
    <w:rsid w:val="00956B57"/>
    <w:rsid w:val="00960809"/>
    <w:rsid w:val="009728CF"/>
    <w:rsid w:val="00A145A9"/>
    <w:rsid w:val="00A2438A"/>
    <w:rsid w:val="00A62D42"/>
    <w:rsid w:val="00C92734"/>
    <w:rsid w:val="00CD52CE"/>
    <w:rsid w:val="00FA5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1134E10"/>
  <w15:chartTrackingRefBased/>
  <w15:docId w15:val="{390B62E1-522B-4470-927B-CAD8FA11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C72"/>
    <w:pPr>
      <w:spacing w:after="0" w:line="240" w:lineRule="auto"/>
    </w:pPr>
    <w:rPr>
      <w:sz w:val="24"/>
      <w:szCs w:val="24"/>
      <w:lang w:val="en-GB"/>
    </w:rPr>
  </w:style>
  <w:style w:type="paragraph" w:styleId="Heading1">
    <w:name w:val="heading 1"/>
    <w:basedOn w:val="Normal"/>
    <w:next w:val="Normal"/>
    <w:link w:val="Heading1Char"/>
    <w:uiPriority w:val="9"/>
    <w:qFormat/>
    <w:rsid w:val="00140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5F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C72"/>
    <w:pPr>
      <w:ind w:left="720"/>
      <w:contextualSpacing/>
    </w:pPr>
  </w:style>
  <w:style w:type="character" w:styleId="Hyperlink">
    <w:name w:val="Hyperlink"/>
    <w:basedOn w:val="DefaultParagraphFont"/>
    <w:uiPriority w:val="99"/>
    <w:unhideWhenUsed/>
    <w:rsid w:val="00235C72"/>
    <w:rPr>
      <w:strike w:val="0"/>
      <w:dstrike w:val="0"/>
      <w:color w:val="005D8B"/>
      <w:sz w:val="24"/>
      <w:szCs w:val="24"/>
      <w:u w:val="none"/>
      <w:effect w:val="none"/>
      <w:bdr w:val="none" w:sz="0" w:space="0" w:color="auto" w:frame="1"/>
      <w:shd w:val="clear" w:color="auto" w:fill="auto"/>
      <w:vertAlign w:val="baseline"/>
    </w:rPr>
  </w:style>
  <w:style w:type="character" w:styleId="FollowedHyperlink">
    <w:name w:val="FollowedHyperlink"/>
    <w:basedOn w:val="DefaultParagraphFont"/>
    <w:uiPriority w:val="99"/>
    <w:semiHidden/>
    <w:unhideWhenUsed/>
    <w:rsid w:val="00235C72"/>
    <w:rPr>
      <w:color w:val="954F72" w:themeColor="followedHyperlink"/>
      <w:u w:val="single"/>
    </w:rPr>
  </w:style>
  <w:style w:type="character" w:customStyle="1" w:styleId="Heading1Char">
    <w:name w:val="Heading 1 Char"/>
    <w:basedOn w:val="DefaultParagraphFont"/>
    <w:link w:val="Heading1"/>
    <w:uiPriority w:val="9"/>
    <w:rsid w:val="001405FA"/>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405FA"/>
    <w:rPr>
      <w:rFonts w:asciiTheme="majorHAnsi" w:eastAsiaTheme="majorEastAsia" w:hAnsiTheme="majorHAnsi" w:cstheme="majorBidi"/>
      <w:color w:val="2E74B5" w:themeColor="accent1" w:themeShade="BF"/>
      <w:sz w:val="26"/>
      <w:szCs w:val="26"/>
      <w:lang w:val="en-GB"/>
    </w:rPr>
  </w:style>
  <w:style w:type="paragraph" w:styleId="Header">
    <w:name w:val="header"/>
    <w:basedOn w:val="Normal"/>
    <w:link w:val="HeaderChar"/>
    <w:uiPriority w:val="99"/>
    <w:unhideWhenUsed/>
    <w:rsid w:val="001405FA"/>
    <w:pPr>
      <w:tabs>
        <w:tab w:val="center" w:pos="4513"/>
        <w:tab w:val="right" w:pos="9026"/>
      </w:tabs>
    </w:pPr>
  </w:style>
  <w:style w:type="character" w:customStyle="1" w:styleId="HeaderChar">
    <w:name w:val="Header Char"/>
    <w:basedOn w:val="DefaultParagraphFont"/>
    <w:link w:val="Header"/>
    <w:uiPriority w:val="99"/>
    <w:rsid w:val="001405FA"/>
    <w:rPr>
      <w:sz w:val="24"/>
      <w:szCs w:val="24"/>
      <w:lang w:val="en-GB"/>
    </w:rPr>
  </w:style>
  <w:style w:type="paragraph" w:styleId="Footer">
    <w:name w:val="footer"/>
    <w:basedOn w:val="Normal"/>
    <w:link w:val="FooterChar"/>
    <w:uiPriority w:val="99"/>
    <w:unhideWhenUsed/>
    <w:rsid w:val="001405FA"/>
    <w:pPr>
      <w:tabs>
        <w:tab w:val="center" w:pos="4513"/>
        <w:tab w:val="right" w:pos="9026"/>
      </w:tabs>
    </w:pPr>
  </w:style>
  <w:style w:type="character" w:customStyle="1" w:styleId="FooterChar">
    <w:name w:val="Footer Char"/>
    <w:basedOn w:val="DefaultParagraphFont"/>
    <w:link w:val="Footer"/>
    <w:uiPriority w:val="99"/>
    <w:rsid w:val="001405FA"/>
    <w:rPr>
      <w:sz w:val="24"/>
      <w:szCs w:val="24"/>
      <w:lang w:val="en-GB"/>
    </w:rPr>
  </w:style>
  <w:style w:type="paragraph" w:styleId="NoSpacing">
    <w:name w:val="No Spacing"/>
    <w:uiPriority w:val="1"/>
    <w:qFormat/>
    <w:rsid w:val="00C92734"/>
    <w:pPr>
      <w:spacing w:after="0" w:line="240" w:lineRule="auto"/>
    </w:pPr>
    <w:rPr>
      <w:sz w:val="24"/>
      <w:szCs w:val="24"/>
      <w:lang w:val="en-GB"/>
    </w:rPr>
  </w:style>
  <w:style w:type="paragraph" w:customStyle="1" w:styleId="TableParagraph">
    <w:name w:val="Table Paragraph"/>
    <w:basedOn w:val="Normal"/>
    <w:uiPriority w:val="1"/>
    <w:qFormat/>
    <w:rsid w:val="00560153"/>
    <w:pPr>
      <w:widowControl w:val="0"/>
      <w:autoSpaceDE w:val="0"/>
      <w:autoSpaceDN w:val="0"/>
    </w:pPr>
    <w:rPr>
      <w:rFonts w:ascii="Calibri" w:eastAsia="Calibri" w:hAnsi="Calibri" w:cs="Calibri"/>
      <w:sz w:val="22"/>
      <w:szCs w:val="22"/>
      <w:lang w:val="en-AU" w:eastAsia="en-AU" w:bidi="en-AU"/>
    </w:rPr>
  </w:style>
  <w:style w:type="table" w:styleId="TableGrid">
    <w:name w:val="Table Grid"/>
    <w:aliases w:val="Assesment_Pointer_Movement"/>
    <w:basedOn w:val="TableNormal"/>
    <w:uiPriority w:val="59"/>
    <w:rsid w:val="00560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438A"/>
    <w:pPr>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A2438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30D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DE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net.au/news/2020-04-06/coronavirus-shifts-consumer-behaviour-and-helps-businesses-boom/1211950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FLAVEL Carly [Narrogin Senior High School]</dc:creator>
  <cp:keywords/>
  <dc:description/>
  <cp:lastModifiedBy>SHERIDAN Ellie [Narrogin Senior High School]</cp:lastModifiedBy>
  <cp:revision>8</cp:revision>
  <cp:lastPrinted>2022-05-13T07:24:00Z</cp:lastPrinted>
  <dcterms:created xsi:type="dcterms:W3CDTF">2023-10-09T03:55:00Z</dcterms:created>
  <dcterms:modified xsi:type="dcterms:W3CDTF">2024-03-22T01:59:00Z</dcterms:modified>
</cp:coreProperties>
</file>