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55"/>
        <w:tblW w:w="10881" w:type="dxa"/>
        <w:tblLook w:val="04A0" w:firstRow="1" w:lastRow="0" w:firstColumn="1" w:lastColumn="0" w:noHBand="0" w:noVBand="1"/>
      </w:tblPr>
      <w:tblGrid>
        <w:gridCol w:w="5353"/>
        <w:gridCol w:w="5528"/>
      </w:tblGrid>
      <w:tr w:rsidR="00712FEF" w:rsidRPr="00712FEF" w14:paraId="55E1C8A1" w14:textId="77777777" w:rsidTr="00712FEF">
        <w:trPr>
          <w:cantSplit/>
          <w:trHeight w:hRule="exact" w:val="1134"/>
        </w:trPr>
        <w:tc>
          <w:tcPr>
            <w:tcW w:w="1088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8ADBA" w14:textId="77777777" w:rsidR="00712FEF" w:rsidRPr="00712FEF" w:rsidRDefault="00712FEF" w:rsidP="00C6686E">
            <w:pPr>
              <w:rPr>
                <w:rFonts w:ascii="Arial" w:hAnsi="Arial"/>
              </w:rPr>
            </w:pPr>
            <w:r w:rsidRPr="00712FEF">
              <w:rPr>
                <w:rFonts w:ascii="Arial" w:hAnsi="Arial"/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5456235F" wp14:editId="137122FC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57150</wp:posOffset>
                  </wp:positionV>
                  <wp:extent cx="355600" cy="588645"/>
                  <wp:effectExtent l="61277" t="167323" r="0" b="162877"/>
                  <wp:wrapTight wrapText="bothSides">
                    <wp:wrapPolygon edited="0">
                      <wp:start x="-2403" y="788"/>
                      <wp:lineTo x="-17011" y="12953"/>
                      <wp:lineTo x="6653" y="26323"/>
                      <wp:lineTo x="16356" y="24148"/>
                      <wp:lineTo x="24787" y="18702"/>
                      <wp:lineTo x="16826" y="12928"/>
                      <wp:lineTo x="6246" y="-705"/>
                      <wp:lineTo x="2866" y="-2615"/>
                      <wp:lineTo x="-2403" y="788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949839942140777322scissors_svg_m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815042">
                            <a:off x="0" y="0"/>
                            <a:ext cx="35560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FD70EB" w14:textId="395899C0" w:rsidR="00712FEF" w:rsidRPr="00712FEF" w:rsidRDefault="002E626B" w:rsidP="00D7037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712FEF" w:rsidRPr="00712FEF">
              <w:rPr>
                <w:rFonts w:ascii="Arial" w:hAnsi="Arial"/>
              </w:rPr>
              <w:t>Create</w:t>
            </w:r>
            <w:r w:rsidR="00342449">
              <w:rPr>
                <w:rFonts w:ascii="Arial" w:hAnsi="Arial"/>
              </w:rPr>
              <w:t xml:space="preserve"> your</w:t>
            </w:r>
            <w:r w:rsidR="00712FEF" w:rsidRPr="00712FEF">
              <w:rPr>
                <w:rFonts w:ascii="Arial" w:hAnsi="Arial"/>
              </w:rPr>
              <w:t xml:space="preserve"> </w:t>
            </w:r>
            <w:r w:rsidR="00342449">
              <w:rPr>
                <w:rFonts w:ascii="Arial" w:hAnsi="Arial"/>
              </w:rPr>
              <w:t xml:space="preserve">key terms </w:t>
            </w:r>
            <w:r w:rsidR="00600018">
              <w:rPr>
                <w:rFonts w:ascii="Arial" w:hAnsi="Arial"/>
              </w:rPr>
              <w:t xml:space="preserve">definition </w:t>
            </w:r>
            <w:r w:rsidR="00342449">
              <w:rPr>
                <w:rFonts w:ascii="Arial" w:hAnsi="Arial"/>
              </w:rPr>
              <w:t>cards</w:t>
            </w:r>
            <w:r w:rsidR="00712FEF" w:rsidRPr="00712FEF">
              <w:rPr>
                <w:rFonts w:ascii="Arial" w:hAnsi="Arial"/>
              </w:rPr>
              <w:t xml:space="preserve"> by cutting al</w:t>
            </w:r>
            <w:r w:rsidR="00732D77">
              <w:rPr>
                <w:rFonts w:ascii="Arial" w:hAnsi="Arial"/>
              </w:rPr>
              <w:t>o</w:t>
            </w:r>
            <w:r w:rsidR="00D70371">
              <w:rPr>
                <w:rFonts w:ascii="Arial" w:hAnsi="Arial"/>
              </w:rPr>
              <w:t>ng the dotted line of each row. T</w:t>
            </w:r>
            <w:r w:rsidR="00732D77">
              <w:rPr>
                <w:rFonts w:ascii="Arial" w:hAnsi="Arial"/>
              </w:rPr>
              <w:t xml:space="preserve">hen </w:t>
            </w:r>
            <w:r w:rsidR="00D70371">
              <w:rPr>
                <w:rFonts w:ascii="Arial" w:hAnsi="Arial"/>
              </w:rPr>
              <w:t>fold</w:t>
            </w:r>
            <w:r w:rsidR="00712FEF" w:rsidRPr="00712FEF">
              <w:rPr>
                <w:rFonts w:ascii="Arial" w:hAnsi="Arial"/>
              </w:rPr>
              <w:t xml:space="preserve"> along the solid centre line </w:t>
            </w:r>
            <w:r w:rsidR="00732D77">
              <w:rPr>
                <w:rFonts w:ascii="Arial" w:hAnsi="Arial"/>
              </w:rPr>
              <w:t>and</w:t>
            </w:r>
            <w:r w:rsidR="00D70371">
              <w:rPr>
                <w:rFonts w:ascii="Arial" w:hAnsi="Arial"/>
              </w:rPr>
              <w:t xml:space="preserve"> stick the blank sides together, creating a </w:t>
            </w:r>
            <w:r w:rsidR="00712FEF">
              <w:rPr>
                <w:rFonts w:ascii="Arial" w:hAnsi="Arial"/>
              </w:rPr>
              <w:t>double-</w:t>
            </w:r>
            <w:r w:rsidR="00712FEF" w:rsidRPr="00712FEF">
              <w:rPr>
                <w:rFonts w:ascii="Arial" w:hAnsi="Arial"/>
              </w:rPr>
              <w:t>sided card.</w:t>
            </w:r>
          </w:p>
        </w:tc>
      </w:tr>
      <w:tr w:rsidR="00712FEF" w:rsidRPr="00712FEF" w14:paraId="029CBFD2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4A3F1173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proofErr w:type="spellStart"/>
            <w:r w:rsidRPr="00712FEF">
              <w:rPr>
                <w:rFonts w:ascii="Arial" w:hAnsi="Arial" w:cs="Arial"/>
                <w:sz w:val="72"/>
                <w:szCs w:val="72"/>
              </w:rPr>
              <w:t>Mabati</w:t>
            </w:r>
            <w:proofErr w:type="spellEnd"/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4B443E0" w14:textId="3E2C6CB5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Corrugated iron sheets often used </w:t>
            </w:r>
            <w:r w:rsidR="00AD08A2">
              <w:rPr>
                <w:rFonts w:ascii="Arial" w:hAnsi="Arial" w:cs="Arial"/>
                <w:sz w:val="24"/>
                <w:szCs w:val="24"/>
              </w:rPr>
              <w:br/>
            </w:r>
            <w:r w:rsidRPr="00712FEF">
              <w:rPr>
                <w:rFonts w:ascii="Arial" w:hAnsi="Arial" w:cs="Arial"/>
                <w:sz w:val="24"/>
                <w:szCs w:val="24"/>
              </w:rPr>
              <w:t>for roofing in Kenyan slums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66FFB1E2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4F87688F" w14:textId="77777777" w:rsidR="00712FEF" w:rsidRPr="00712FEF" w:rsidRDefault="00712FEF" w:rsidP="00AD08A2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slum conditions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8C30F31" w14:textId="7F02E3ED" w:rsidR="00712FEF" w:rsidRPr="00712FEF" w:rsidRDefault="00712FEF" w:rsidP="00126857">
            <w:pPr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Living in a place </w:t>
            </w:r>
            <w:r w:rsidR="00AD08A2">
              <w:rPr>
                <w:rFonts w:ascii="Arial" w:hAnsi="Arial" w:cs="Arial"/>
                <w:sz w:val="24"/>
                <w:szCs w:val="24"/>
              </w:rPr>
              <w:t>that</w:t>
            </w:r>
            <w:r w:rsidRPr="00712FEF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E2A8B18" w14:textId="2C8A6F5C" w:rsidR="00712FEF" w:rsidRPr="00AD08A2" w:rsidRDefault="00126857" w:rsidP="0012685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AD08A2" w:rsidRPr="00AD08A2">
              <w:rPr>
                <w:rFonts w:ascii="Arial" w:hAnsi="Arial" w:cs="Arial"/>
                <w:sz w:val="24"/>
                <w:szCs w:val="24"/>
              </w:rPr>
              <w:t>s b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 xml:space="preserve">uilt with 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>inadequate construction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08A2" w:rsidRPr="00AD08A2">
              <w:rPr>
                <w:rFonts w:ascii="Arial" w:hAnsi="Arial" w:cs="Arial"/>
                <w:sz w:val="24"/>
                <w:szCs w:val="24"/>
              </w:rPr>
              <w:br/>
              <w:t>and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 xml:space="preserve"> inadequate materials</w:t>
            </w:r>
          </w:p>
          <w:p w14:paraId="1126C55A" w14:textId="61056EC6" w:rsidR="00712FEF" w:rsidRPr="00AD08A2" w:rsidRDefault="00126857" w:rsidP="0012685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AD08A2" w:rsidRPr="00AD08A2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AD08A2" w:rsidRPr="00AD08A2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>vercrowded</w:t>
            </w:r>
            <w:r w:rsidR="00AD08A2" w:rsidRPr="00AD08A2">
              <w:rPr>
                <w:rFonts w:ascii="Arial" w:hAnsi="Arial" w:cs="Arial"/>
                <w:sz w:val="24"/>
                <w:szCs w:val="24"/>
              </w:rPr>
              <w:t xml:space="preserve"> – more than three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 xml:space="preserve"> people sharing </w:t>
            </w:r>
            <w:r w:rsidR="00AD08A2" w:rsidRPr="00AD08A2">
              <w:rPr>
                <w:rFonts w:ascii="Arial" w:hAnsi="Arial" w:cs="Arial"/>
                <w:sz w:val="24"/>
                <w:szCs w:val="24"/>
              </w:rPr>
              <w:t>one room</w:t>
            </w:r>
          </w:p>
          <w:p w14:paraId="176DD8ED" w14:textId="56ADEB73" w:rsidR="00712FEF" w:rsidRPr="00AD08A2" w:rsidRDefault="00AD08A2" w:rsidP="0012685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D08A2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>ack</w:t>
            </w:r>
            <w:r w:rsidRPr="00AD08A2">
              <w:rPr>
                <w:rFonts w:ascii="Arial" w:hAnsi="Arial" w:cs="Arial"/>
                <w:b/>
                <w:sz w:val="24"/>
                <w:szCs w:val="24"/>
              </w:rPr>
              <w:t xml:space="preserve">s 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>safe water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 xml:space="preserve"> in sufficient</w:t>
            </w:r>
            <w:r w:rsidRPr="00AD08A2">
              <w:rPr>
                <w:rFonts w:ascii="Arial" w:hAnsi="Arial" w:cs="Arial"/>
                <w:sz w:val="24"/>
                <w:szCs w:val="24"/>
              </w:rPr>
              <w:t xml:space="preserve"> amounts at an affordable price</w:t>
            </w:r>
          </w:p>
          <w:p w14:paraId="6C27BDA8" w14:textId="001C9FAD" w:rsidR="00712FEF" w:rsidRPr="00AD08A2" w:rsidRDefault="00AD08A2" w:rsidP="0012685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D08A2">
              <w:rPr>
                <w:rFonts w:ascii="Arial" w:hAnsi="Arial" w:cs="Arial"/>
                <w:sz w:val="24"/>
                <w:szCs w:val="24"/>
              </w:rPr>
              <w:t xml:space="preserve">has </w:t>
            </w:r>
            <w:r w:rsidRPr="00AD08A2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>oor sanitation</w:t>
            </w:r>
            <w:r w:rsidRPr="00AD08A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too many people sharing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toilet access</w:t>
            </w:r>
          </w:p>
          <w:p w14:paraId="4BA3D3C3" w14:textId="6444CAFE" w:rsidR="00712FEF" w:rsidRPr="00AD08A2" w:rsidRDefault="00AD08A2" w:rsidP="0012685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8A2">
              <w:rPr>
                <w:rFonts w:ascii="Arial" w:hAnsi="Arial" w:cs="Arial"/>
                <w:sz w:val="24"/>
                <w:szCs w:val="24"/>
              </w:rPr>
              <w:t>is</w:t>
            </w:r>
            <w:proofErr w:type="gramEnd"/>
            <w:r w:rsidRPr="00AD08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08A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 xml:space="preserve">nsecure </w:t>
            </w:r>
            <w:r w:rsidRPr="00AD08A2">
              <w:rPr>
                <w:rFonts w:ascii="Arial" w:hAnsi="Arial" w:cs="Arial"/>
                <w:sz w:val="24"/>
                <w:szCs w:val="24"/>
              </w:rPr>
              <w:t xml:space="preserve">in terms of 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 xml:space="preserve">property </w:t>
            </w:r>
            <w:r w:rsidRPr="00AD08A2">
              <w:rPr>
                <w:rFonts w:ascii="Arial" w:hAnsi="Arial" w:cs="Arial"/>
                <w:b/>
                <w:sz w:val="24"/>
                <w:szCs w:val="24"/>
              </w:rPr>
              <w:t xml:space="preserve">and </w:t>
            </w:r>
            <w:r w:rsidR="00712FEF" w:rsidRPr="00AD08A2">
              <w:rPr>
                <w:rFonts w:ascii="Arial" w:hAnsi="Arial" w:cs="Arial"/>
                <w:b/>
                <w:sz w:val="24"/>
                <w:szCs w:val="24"/>
              </w:rPr>
              <w:t>land tenure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08A2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threat of eviction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7479B231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22E9C7DD" w14:textId="77777777" w:rsidR="00712FEF" w:rsidRPr="00712FEF" w:rsidRDefault="00712FEF" w:rsidP="00AD08A2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NGO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3EDCA61" w14:textId="1BCCDA02" w:rsidR="00712FEF" w:rsidRPr="00712FEF" w:rsidRDefault="00AD08A2" w:rsidP="00606A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Non-g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overnmental organisation. </w:t>
            </w:r>
            <w:r>
              <w:rPr>
                <w:rFonts w:ascii="Arial" w:hAnsi="Arial" w:cs="Arial"/>
                <w:sz w:val="24"/>
                <w:szCs w:val="24"/>
              </w:rPr>
              <w:t>Funds and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 organise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 projects, </w:t>
            </w:r>
            <w:r w:rsidR="00342449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>research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 and raise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 awareness o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 development issues such as housing conditions.</w:t>
            </w:r>
            <w:r w:rsidR="00606A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Raises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 xml:space="preserve"> funds from public donations, government grants, donations from institutions and businesses</w:t>
            </w:r>
            <w:r>
              <w:rPr>
                <w:rFonts w:ascii="Arial" w:hAnsi="Arial" w:cs="Arial"/>
                <w:sz w:val="24"/>
                <w:szCs w:val="24"/>
              </w:rPr>
              <w:t>, e.g. Oxfam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1FFA242B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108BD148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proofErr w:type="spellStart"/>
            <w:r w:rsidRPr="00712FEF">
              <w:rPr>
                <w:rFonts w:ascii="Arial" w:hAnsi="Arial" w:cs="Arial"/>
                <w:sz w:val="72"/>
                <w:szCs w:val="72"/>
              </w:rPr>
              <w:t>Ngong</w:t>
            </w:r>
            <w:proofErr w:type="spellEnd"/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DBDA89B" w14:textId="22CD0AAE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Name of the river running through Nairobi. The swamp and flood plain of the river is where the </w:t>
            </w:r>
            <w:proofErr w:type="spellStart"/>
            <w:r w:rsidRPr="00712FEF">
              <w:rPr>
                <w:rFonts w:ascii="Arial" w:hAnsi="Arial" w:cs="Arial"/>
                <w:sz w:val="24"/>
                <w:szCs w:val="24"/>
              </w:rPr>
              <w:t>Kibera</w:t>
            </w:r>
            <w:proofErr w:type="spellEnd"/>
            <w:r w:rsidRPr="00712FEF">
              <w:rPr>
                <w:rFonts w:ascii="Arial" w:hAnsi="Arial" w:cs="Arial"/>
                <w:sz w:val="24"/>
                <w:szCs w:val="24"/>
              </w:rPr>
              <w:t xml:space="preserve"> slums are found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2D7372BA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6DCAB6C0" w14:textId="77777777" w:rsidR="00712FEF" w:rsidRPr="00712FEF" w:rsidRDefault="00712FEF" w:rsidP="00AD08A2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lastRenderedPageBreak/>
              <w:t>land tenure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A9BE830" w14:textId="766D0C1A" w:rsidR="00712FEF" w:rsidRPr="00712FEF" w:rsidRDefault="00712FEF" w:rsidP="00126857">
            <w:pPr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Who owns the land and also who has rights over </w:t>
            </w:r>
            <w:proofErr w:type="gramStart"/>
            <w:r w:rsidRPr="00712FEF">
              <w:rPr>
                <w:rFonts w:ascii="Arial" w:hAnsi="Arial" w:cs="Arial"/>
                <w:sz w:val="24"/>
                <w:szCs w:val="24"/>
              </w:rPr>
              <w:t>it.</w:t>
            </w:r>
            <w:proofErr w:type="gramEnd"/>
            <w:r w:rsidRPr="00712FEF">
              <w:rPr>
                <w:rFonts w:ascii="Arial" w:hAnsi="Arial" w:cs="Arial"/>
                <w:sz w:val="24"/>
                <w:szCs w:val="24"/>
              </w:rPr>
              <w:t xml:space="preserve"> Land can be</w:t>
            </w:r>
            <w:r w:rsidR="00AD08A2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A274DCF" w14:textId="1405DB46" w:rsidR="00712FEF" w:rsidRPr="00AD08A2" w:rsidRDefault="00AD08A2" w:rsidP="0012685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rivate</w:t>
            </w:r>
          </w:p>
          <w:p w14:paraId="40E0C5E8" w14:textId="569BFB14" w:rsidR="00712FEF" w:rsidRPr="00AD08A2" w:rsidRDefault="00AD08A2" w:rsidP="0012685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ommunal</w:t>
            </w:r>
          </w:p>
          <w:p w14:paraId="0A15289B" w14:textId="38CF99F9" w:rsidR="00712FEF" w:rsidRPr="00AD08A2" w:rsidRDefault="00AD08A2" w:rsidP="0012685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pen access</w:t>
            </w:r>
          </w:p>
          <w:p w14:paraId="68C3752F" w14:textId="71375E2C" w:rsidR="00712FEF" w:rsidRPr="00AD08A2" w:rsidRDefault="00AD08A2" w:rsidP="0012685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712FEF" w:rsidRPr="00AD08A2">
              <w:rPr>
                <w:rFonts w:ascii="Arial" w:hAnsi="Arial" w:cs="Arial"/>
                <w:sz w:val="24"/>
                <w:szCs w:val="24"/>
              </w:rPr>
              <w:t>tate</w:t>
            </w:r>
          </w:p>
        </w:tc>
      </w:tr>
      <w:tr w:rsidR="00712FEF" w:rsidRPr="00712FEF" w14:paraId="6E9AE066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41051D91" w14:textId="77777777" w:rsidR="00712FEF" w:rsidRPr="00712FEF" w:rsidRDefault="00712FEF" w:rsidP="00AD08A2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site and services loan scheme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B66B783" w14:textId="1CD44250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Financed by the World Bank and popular in the 1980s</w:t>
            </w:r>
            <w:r w:rsidR="00342449">
              <w:rPr>
                <w:rFonts w:ascii="Arial" w:hAnsi="Arial" w:cs="Arial"/>
                <w:sz w:val="24"/>
                <w:szCs w:val="24"/>
              </w:rPr>
              <w:t>,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this was a way people in slums could borrow money at low rates of interest to build their own home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66501F2F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72A3A362" w14:textId="77777777" w:rsidR="00712FEF" w:rsidRPr="00712FEF" w:rsidRDefault="00712FEF" w:rsidP="00AD08A2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savings groups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30C9F83" w14:textId="42029127" w:rsidR="00712FEF" w:rsidRPr="00712FEF" w:rsidRDefault="00712FEF" w:rsidP="008E5E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Local people group together to poo</w:t>
            </w:r>
            <w:r w:rsidR="005604D1">
              <w:rPr>
                <w:rFonts w:ascii="Arial" w:hAnsi="Arial" w:cs="Arial"/>
                <w:sz w:val="24"/>
                <w:szCs w:val="24"/>
              </w:rPr>
              <w:t xml:space="preserve">l resources to improve housing and </w:t>
            </w:r>
            <w:r w:rsidRPr="00712FEF">
              <w:rPr>
                <w:rFonts w:ascii="Arial" w:hAnsi="Arial" w:cs="Arial"/>
                <w:sz w:val="24"/>
                <w:szCs w:val="24"/>
              </w:rPr>
              <w:t>invest in bu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12FEF">
              <w:rPr>
                <w:rFonts w:ascii="Arial" w:hAnsi="Arial" w:cs="Arial"/>
                <w:sz w:val="24"/>
                <w:szCs w:val="24"/>
              </w:rPr>
              <w:t>i</w:t>
            </w:r>
            <w:r w:rsidR="005604D1">
              <w:rPr>
                <w:rFonts w:ascii="Arial" w:hAnsi="Arial" w:cs="Arial"/>
                <w:sz w:val="24"/>
                <w:szCs w:val="24"/>
              </w:rPr>
              <w:t>nesses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. Like an informal bank. It is estimated this investment equals 35 </w:t>
            </w:r>
            <w:r>
              <w:rPr>
                <w:rFonts w:ascii="Arial" w:hAnsi="Arial" w:cs="Arial"/>
                <w:sz w:val="24"/>
                <w:szCs w:val="24"/>
              </w:rPr>
              <w:t>billion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Ken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yan shillings, equivalent to </w:t>
            </w:r>
            <w:r w:rsidRPr="00712FEF">
              <w:rPr>
                <w:rFonts w:ascii="Arial" w:hAnsi="Arial" w:cs="Arial"/>
                <w:sz w:val="24"/>
                <w:szCs w:val="24"/>
              </w:rPr>
              <w:t>469 mill</w:t>
            </w:r>
            <w:r w:rsidR="002E626B">
              <w:rPr>
                <w:rFonts w:ascii="Arial" w:hAnsi="Arial" w:cs="Arial"/>
                <w:sz w:val="24"/>
                <w:szCs w:val="24"/>
              </w:rPr>
              <w:t>ion US dollars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or more than twice all the foreign grants Kenya receives in a year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50B18E01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024C4AD7" w14:textId="77777777" w:rsidR="00712FEF" w:rsidRPr="00712FEF" w:rsidRDefault="00712FEF" w:rsidP="00AD08A2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enumeration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A2DF8DF" w14:textId="1C946116" w:rsidR="00712FEF" w:rsidRPr="00712FEF" w:rsidRDefault="00712FEF" w:rsidP="005604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Taking a census of </w:t>
            </w:r>
            <w:r w:rsidR="005604D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local population to include how many people per household, age, gender and occupation of residents as well as whether </w:t>
            </w:r>
            <w:r w:rsidR="002E626B">
              <w:rPr>
                <w:rFonts w:ascii="Arial" w:hAnsi="Arial" w:cs="Arial"/>
                <w:sz w:val="24"/>
                <w:szCs w:val="24"/>
              </w:rPr>
              <w:t>they have access to clean water</w:t>
            </w:r>
            <w:r w:rsidRPr="00712FEF">
              <w:rPr>
                <w:rFonts w:ascii="Arial" w:hAnsi="Arial" w:cs="Arial"/>
                <w:sz w:val="24"/>
                <w:szCs w:val="24"/>
              </w:rPr>
              <w:t>, sanitation and electricity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0A50F8CB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3FBB9E2F" w14:textId="0AC36095" w:rsidR="00712FEF" w:rsidRPr="00712FEF" w:rsidRDefault="002E626B" w:rsidP="00CD28CB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UN-</w:t>
            </w:r>
            <w:r w:rsidR="00CD28CB">
              <w:rPr>
                <w:rFonts w:ascii="Arial" w:hAnsi="Arial" w:cs="Arial"/>
                <w:sz w:val="72"/>
                <w:szCs w:val="72"/>
              </w:rPr>
              <w:t>HABITAT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E63EEFF" w14:textId="074390B5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This is a branch of the United Nations</w:t>
            </w:r>
            <w:r w:rsidR="00233D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D4A1D3" w14:textId="1C3152BA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It has</w:t>
            </w:r>
            <w:r w:rsidR="00AA3E3E">
              <w:rPr>
                <w:rFonts w:ascii="Arial" w:hAnsi="Arial" w:cs="Arial"/>
                <w:sz w:val="24"/>
                <w:szCs w:val="24"/>
              </w:rPr>
              <w:t xml:space="preserve"> its headquarters in Nairobi. I</w:t>
            </w:r>
            <w:r w:rsidRPr="00712FEF">
              <w:rPr>
                <w:rFonts w:ascii="Arial" w:hAnsi="Arial" w:cs="Arial"/>
                <w:sz w:val="24"/>
                <w:szCs w:val="24"/>
              </w:rPr>
              <w:t>t promotes sustainable towns and cities with the goal of providing adequate shelter for all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0F38685A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47BF85FE" w14:textId="77777777" w:rsidR="00712FEF" w:rsidRPr="00712FEF" w:rsidRDefault="00712FEF" w:rsidP="00233D8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push factors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9CF428A" w14:textId="260508BC" w:rsidR="00712FEF" w:rsidRPr="00712FEF" w:rsidRDefault="00712FEF" w:rsidP="002E6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These are the aspects of your life </w:t>
            </w:r>
            <w:r w:rsidR="002E626B">
              <w:rPr>
                <w:rFonts w:ascii="Arial" w:hAnsi="Arial" w:cs="Arial"/>
                <w:sz w:val="24"/>
                <w:szCs w:val="24"/>
              </w:rPr>
              <w:t>that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are negative and encourage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you or force you to move away, </w:t>
            </w:r>
            <w:r w:rsidRPr="00712FEF">
              <w:rPr>
                <w:rFonts w:ascii="Arial" w:hAnsi="Arial" w:cs="Arial"/>
                <w:sz w:val="24"/>
                <w:szCs w:val="24"/>
              </w:rPr>
              <w:t>e.g. civil wars, food shortages, disease and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health epidemics, political or religious oppression, climate changes, lack of jobs, lack of skilled jobs, poverty, lack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of educational opportunities, </w:t>
            </w:r>
            <w:r w:rsidRPr="00712FEF">
              <w:rPr>
                <w:rFonts w:ascii="Arial" w:hAnsi="Arial" w:cs="Arial"/>
                <w:sz w:val="24"/>
                <w:szCs w:val="24"/>
              </w:rPr>
              <w:t>lack of affordable h</w:t>
            </w:r>
            <w:r w:rsidR="002E626B">
              <w:rPr>
                <w:rFonts w:ascii="Arial" w:hAnsi="Arial" w:cs="Arial"/>
                <w:sz w:val="24"/>
                <w:szCs w:val="24"/>
              </w:rPr>
              <w:t>ousing</w:t>
            </w:r>
            <w:r w:rsidRPr="00712FEF">
              <w:rPr>
                <w:rFonts w:ascii="Arial" w:hAnsi="Arial" w:cs="Arial"/>
                <w:sz w:val="24"/>
                <w:szCs w:val="24"/>
              </w:rPr>
              <w:t>,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threat of eviction from land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69CED178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069633EC" w14:textId="77777777" w:rsidR="00712FEF" w:rsidRPr="00712FEF" w:rsidRDefault="00712FEF" w:rsidP="00233D8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townships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D128040" w14:textId="5814837C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Informal settlements or shanty towns are called this in South Africa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55AC622E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3C644513" w14:textId="77777777" w:rsidR="00712FEF" w:rsidRPr="00712FEF" w:rsidRDefault="00712FEF" w:rsidP="00233D8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pull factors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70DC0DB" w14:textId="524B2770" w:rsidR="00712FEF" w:rsidRPr="00712FEF" w:rsidRDefault="00712FEF" w:rsidP="002E62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These are things in the target place </w:t>
            </w:r>
            <w:r w:rsidR="002E626B">
              <w:rPr>
                <w:rFonts w:ascii="Arial" w:hAnsi="Arial" w:cs="Arial"/>
                <w:sz w:val="24"/>
                <w:szCs w:val="24"/>
              </w:rPr>
              <w:t>that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encourage people to move there</w:t>
            </w:r>
            <w:r w:rsidR="00606AAE">
              <w:rPr>
                <w:rFonts w:ascii="Arial" w:hAnsi="Arial" w:cs="Arial"/>
                <w:sz w:val="24"/>
                <w:szCs w:val="24"/>
              </w:rPr>
              <w:t xml:space="preserve">. They </w:t>
            </w:r>
            <w:r w:rsidRPr="00712FEF">
              <w:rPr>
                <w:rFonts w:ascii="Arial" w:hAnsi="Arial" w:cs="Arial"/>
                <w:sz w:val="24"/>
                <w:szCs w:val="24"/>
              </w:rPr>
              <w:t>include peace and safety, a chance of a bette</w:t>
            </w:r>
            <w:r w:rsidR="00606AAE">
              <w:rPr>
                <w:rFonts w:ascii="Arial" w:hAnsi="Arial" w:cs="Arial"/>
                <w:sz w:val="24"/>
                <w:szCs w:val="24"/>
              </w:rPr>
              <w:t>r job, better education, health</w:t>
            </w:r>
            <w:r w:rsidRPr="00712FEF">
              <w:rPr>
                <w:rFonts w:ascii="Arial" w:hAnsi="Arial" w:cs="Arial"/>
                <w:sz w:val="24"/>
                <w:szCs w:val="24"/>
              </w:rPr>
              <w:t>care,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3E4B" w:rsidRPr="00712FEF">
              <w:rPr>
                <w:rFonts w:ascii="Arial" w:hAnsi="Arial" w:cs="Arial"/>
                <w:sz w:val="24"/>
                <w:szCs w:val="24"/>
              </w:rPr>
              <w:t>and a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better standard of living in general as well as </w:t>
            </w:r>
            <w:r w:rsidR="008E5EA4">
              <w:rPr>
                <w:rFonts w:ascii="Arial" w:hAnsi="Arial" w:cs="Arial"/>
                <w:sz w:val="24"/>
                <w:szCs w:val="24"/>
              </w:rPr>
              <w:t>political and religious freedom.</w:t>
            </w:r>
          </w:p>
        </w:tc>
      </w:tr>
      <w:tr w:rsidR="00712FEF" w:rsidRPr="00712FEF" w14:paraId="34326055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08C44D69" w14:textId="77777777" w:rsidR="00712FEF" w:rsidRPr="00712FEF" w:rsidRDefault="00712FEF" w:rsidP="00233D8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formal economy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EB4411B" w14:textId="3A7905E0" w:rsidR="00712FEF" w:rsidRPr="00712FEF" w:rsidRDefault="00606AAE" w:rsidP="00AD67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AD6798">
              <w:rPr>
                <w:rFonts w:ascii="Arial" w:hAnsi="Arial" w:cs="Arial"/>
                <w:sz w:val="24"/>
                <w:szCs w:val="24"/>
              </w:rPr>
              <w:t>this type of economy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>businesses are regulated and keep records, they follow laws on employment rights and health and safety at work. Businesses pay tax on their profits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4F8DDF6B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</w:tcPr>
          <w:p w14:paraId="0BA66736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</w:p>
          <w:p w14:paraId="09D23D4A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informal economy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75AC03E" w14:textId="3DD89FD8" w:rsidR="00712FEF" w:rsidRPr="00712FEF" w:rsidRDefault="00AD6798" w:rsidP="00AD67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this type of economy</w:t>
            </w:r>
            <w:r w:rsidR="00606AAE">
              <w:rPr>
                <w:rFonts w:ascii="Arial" w:hAnsi="Arial" w:cs="Arial"/>
                <w:sz w:val="24"/>
                <w:szCs w:val="24"/>
              </w:rPr>
              <w:t xml:space="preserve"> businesses are not regulated. T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>hey do not pay tax. They use casual and family labour. Many of the businesses are small with low overheads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11A3EC76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5211361C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barrio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1C87100" w14:textId="4D0E897E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Informal settlements or shanty towns are called this i</w:t>
            </w:r>
            <w:r w:rsidR="00606AAE">
              <w:rPr>
                <w:rFonts w:ascii="Arial" w:hAnsi="Arial" w:cs="Arial"/>
                <w:sz w:val="24"/>
                <w:szCs w:val="24"/>
              </w:rPr>
              <w:t>n Spanish-</w:t>
            </w:r>
            <w:r w:rsidRPr="00712FEF">
              <w:rPr>
                <w:rFonts w:ascii="Arial" w:hAnsi="Arial" w:cs="Arial"/>
                <w:sz w:val="24"/>
                <w:szCs w:val="24"/>
              </w:rPr>
              <w:t>speaking Latin American countries such as Mexico and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Venezuela</w:t>
            </w:r>
          </w:p>
        </w:tc>
      </w:tr>
      <w:tr w:rsidR="00712FEF" w:rsidRPr="00712FEF" w14:paraId="3C026F7B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6CFB8C7B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12FEF">
              <w:rPr>
                <w:rFonts w:ascii="Arial" w:hAnsi="Arial" w:cs="Arial"/>
                <w:sz w:val="72"/>
                <w:szCs w:val="72"/>
              </w:rPr>
              <w:t>Kibera</w:t>
            </w:r>
            <w:proofErr w:type="spellEnd"/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F70F8B7" w14:textId="018A9215" w:rsidR="00712FEF" w:rsidRPr="00712FEF" w:rsidRDefault="00712FEF" w:rsidP="00F76A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A slum settlement five km </w:t>
            </w:r>
            <w:r w:rsidR="00606AAE">
              <w:rPr>
                <w:rFonts w:ascii="Arial" w:hAnsi="Arial" w:cs="Arial"/>
                <w:sz w:val="24"/>
                <w:szCs w:val="24"/>
              </w:rPr>
              <w:t>south east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of Nairobi housing approx</w:t>
            </w:r>
            <w:r>
              <w:rPr>
                <w:rFonts w:ascii="Arial" w:hAnsi="Arial" w:cs="Arial"/>
                <w:sz w:val="24"/>
                <w:szCs w:val="24"/>
              </w:rPr>
              <w:t>imately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one million people. It has built up along the </w:t>
            </w:r>
            <w:proofErr w:type="spellStart"/>
            <w:r w:rsidRPr="00712FEF">
              <w:rPr>
                <w:rFonts w:ascii="Arial" w:hAnsi="Arial" w:cs="Arial"/>
                <w:sz w:val="24"/>
                <w:szCs w:val="24"/>
              </w:rPr>
              <w:t>Ngong</w:t>
            </w:r>
            <w:proofErr w:type="spellEnd"/>
            <w:r w:rsidR="00F76AD9">
              <w:rPr>
                <w:rFonts w:ascii="Arial" w:hAnsi="Arial" w:cs="Arial"/>
                <w:sz w:val="24"/>
                <w:szCs w:val="24"/>
              </w:rPr>
              <w:t xml:space="preserve"> river. It </w:t>
            </w:r>
            <w:proofErr w:type="spellStart"/>
            <w:r w:rsidR="00F76AD9"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 w:rsidRPr="00712FEF">
              <w:rPr>
                <w:rFonts w:ascii="Arial" w:hAnsi="Arial" w:cs="Arial"/>
                <w:sz w:val="24"/>
                <w:szCs w:val="24"/>
              </w:rPr>
              <w:t xml:space="preserve"> the setting for the Comic Relief documentary ‘</w:t>
            </w:r>
            <w:r w:rsidR="00342449">
              <w:rPr>
                <w:rFonts w:ascii="Arial" w:hAnsi="Arial" w:cs="Arial"/>
                <w:sz w:val="24"/>
                <w:szCs w:val="24"/>
              </w:rPr>
              <w:t>Famous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76AD9">
              <w:rPr>
                <w:rFonts w:ascii="Arial" w:hAnsi="Arial" w:cs="Arial"/>
                <w:sz w:val="24"/>
                <w:szCs w:val="24"/>
              </w:rPr>
              <w:t>Ri</w:t>
            </w:r>
            <w:r w:rsidR="00342449">
              <w:rPr>
                <w:rFonts w:ascii="Arial" w:hAnsi="Arial" w:cs="Arial"/>
                <w:sz w:val="24"/>
                <w:szCs w:val="24"/>
              </w:rPr>
              <w:t>ch</w:t>
            </w:r>
            <w:r w:rsidR="00F76AD9">
              <w:rPr>
                <w:rFonts w:ascii="Arial" w:hAnsi="Arial" w:cs="Arial"/>
                <w:sz w:val="24"/>
                <w:szCs w:val="24"/>
              </w:rPr>
              <w:t xml:space="preserve"> and in the Sl</w:t>
            </w:r>
            <w:r w:rsidRPr="00712FEF">
              <w:rPr>
                <w:rFonts w:ascii="Arial" w:hAnsi="Arial" w:cs="Arial"/>
                <w:sz w:val="24"/>
                <w:szCs w:val="24"/>
              </w:rPr>
              <w:t>ums’ (2011)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7142E785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517DDE38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infrastructure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6DAC19F" w14:textId="53B527EE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The network of services and utilities that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people and businesses need</w:t>
            </w:r>
            <w:r w:rsidR="00606AAE">
              <w:rPr>
                <w:rFonts w:ascii="Arial" w:hAnsi="Arial" w:cs="Arial"/>
                <w:sz w:val="24"/>
                <w:szCs w:val="24"/>
              </w:rPr>
              <w:t>,</w:t>
            </w:r>
            <w:r w:rsidRPr="00712FEF">
              <w:rPr>
                <w:rFonts w:ascii="Arial" w:hAnsi="Arial" w:cs="Arial"/>
                <w:sz w:val="24"/>
                <w:szCs w:val="24"/>
              </w:rPr>
              <w:t xml:space="preserve"> e.g.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electricity, water, sanitation, roads, railways, ICT and mobile networks</w:t>
            </w:r>
            <w:r w:rsidR="00606AAE">
              <w:rPr>
                <w:rFonts w:ascii="Arial" w:hAnsi="Arial" w:cs="Arial"/>
                <w:sz w:val="24"/>
                <w:szCs w:val="24"/>
              </w:rPr>
              <w:t>,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and social services such as hospitals and sc</w:t>
            </w:r>
            <w:bookmarkStart w:id="0" w:name="_GoBack"/>
            <w:bookmarkEnd w:id="0"/>
            <w:r w:rsidRPr="00712FEF">
              <w:rPr>
                <w:rFonts w:ascii="Arial" w:hAnsi="Arial" w:cs="Arial"/>
                <w:sz w:val="24"/>
                <w:szCs w:val="24"/>
              </w:rPr>
              <w:t>hools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3434C65F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03EAFB96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proofErr w:type="spellStart"/>
            <w:r w:rsidRPr="00712FEF">
              <w:rPr>
                <w:rFonts w:ascii="Arial" w:hAnsi="Arial" w:cs="Arial"/>
                <w:sz w:val="72"/>
                <w:szCs w:val="72"/>
              </w:rPr>
              <w:t>Mukuru</w:t>
            </w:r>
            <w:proofErr w:type="spellEnd"/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59A9D3D" w14:textId="7CD80735" w:rsidR="00712FEF" w:rsidRPr="00712FEF" w:rsidRDefault="00606AAE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large slum settlement in the e</w:t>
            </w:r>
            <w:r w:rsidR="00712FEF" w:rsidRPr="00712FEF">
              <w:rPr>
                <w:rFonts w:ascii="Arial" w:hAnsi="Arial" w:cs="Arial"/>
                <w:sz w:val="24"/>
                <w:szCs w:val="24"/>
              </w:rPr>
              <w:t>ast of Nairobi. The population of the slum</w:t>
            </w:r>
          </w:p>
          <w:p w14:paraId="278F0162" w14:textId="4FC5009B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12FEF">
              <w:rPr>
                <w:rFonts w:ascii="Arial" w:hAnsi="Arial" w:cs="Arial"/>
                <w:sz w:val="24"/>
                <w:szCs w:val="24"/>
              </w:rPr>
              <w:t>exceeds</w:t>
            </w:r>
            <w:proofErr w:type="gramEnd"/>
            <w:r w:rsidRPr="00712FEF">
              <w:rPr>
                <w:rFonts w:ascii="Arial" w:hAnsi="Arial" w:cs="Arial"/>
                <w:sz w:val="24"/>
                <w:szCs w:val="24"/>
              </w:rPr>
              <w:t xml:space="preserve"> 100,000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05E71661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2714DF65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favela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6B7D804" w14:textId="481459C7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Informal settlements or shanty towns </w:t>
            </w:r>
            <w:r w:rsidR="00606AAE">
              <w:rPr>
                <w:rFonts w:ascii="Arial" w:hAnsi="Arial" w:cs="Arial"/>
                <w:sz w:val="24"/>
                <w:szCs w:val="24"/>
              </w:rPr>
              <w:br/>
            </w:r>
            <w:r w:rsidRPr="00712FEF">
              <w:rPr>
                <w:rFonts w:ascii="Arial" w:hAnsi="Arial" w:cs="Arial"/>
                <w:sz w:val="24"/>
                <w:szCs w:val="24"/>
              </w:rPr>
              <w:t>are called this in Brazil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2E76D141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27FC40A3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proofErr w:type="spellStart"/>
            <w:r w:rsidRPr="00712FEF">
              <w:rPr>
                <w:rFonts w:ascii="Arial" w:hAnsi="Arial" w:cs="Arial"/>
                <w:sz w:val="72"/>
                <w:szCs w:val="72"/>
                <w:shd w:val="clear" w:color="auto" w:fill="DBE5F1" w:themeFill="accent1" w:themeFillTint="33"/>
              </w:rPr>
              <w:t>bustee</w:t>
            </w:r>
            <w:proofErr w:type="spellEnd"/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F5C86A7" w14:textId="56459FE8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Informal settlements or shanty towns </w:t>
            </w:r>
            <w:r w:rsidR="00606AAE">
              <w:rPr>
                <w:rFonts w:ascii="Arial" w:hAnsi="Arial" w:cs="Arial"/>
                <w:sz w:val="24"/>
                <w:szCs w:val="24"/>
              </w:rPr>
              <w:br/>
            </w:r>
            <w:r w:rsidRPr="00712FEF">
              <w:rPr>
                <w:rFonts w:ascii="Arial" w:hAnsi="Arial" w:cs="Arial"/>
                <w:sz w:val="24"/>
                <w:szCs w:val="24"/>
              </w:rPr>
              <w:t>are called this in India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A68631" w14:textId="77777777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2FEF" w:rsidRPr="00712FEF" w14:paraId="69258C79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6ED2CDA1" w14:textId="77777777" w:rsidR="00712FEF" w:rsidRPr="00712FEF" w:rsidRDefault="00712FEF" w:rsidP="00C6686E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slum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9D77162" w14:textId="4B10958A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Informal settlements or shanty towns </w:t>
            </w:r>
            <w:r w:rsidR="00606AAE">
              <w:rPr>
                <w:rFonts w:ascii="Arial" w:hAnsi="Arial" w:cs="Arial"/>
                <w:sz w:val="24"/>
                <w:szCs w:val="24"/>
              </w:rPr>
              <w:br/>
            </w:r>
            <w:r w:rsidRPr="00712FEF">
              <w:rPr>
                <w:rFonts w:ascii="Arial" w:hAnsi="Arial" w:cs="Arial"/>
                <w:sz w:val="24"/>
                <w:szCs w:val="24"/>
              </w:rPr>
              <w:t>are called this in Nairobi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2A35A6A0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4D231523" w14:textId="77777777" w:rsidR="00712FEF" w:rsidRPr="00712FEF" w:rsidRDefault="00712FEF" w:rsidP="00126857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712FEF">
              <w:rPr>
                <w:rFonts w:ascii="Arial" w:hAnsi="Arial" w:cs="Arial"/>
                <w:sz w:val="72"/>
                <w:szCs w:val="72"/>
              </w:rPr>
              <w:t>rural to urban migration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9A35662" w14:textId="07F7DE1C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 xml:space="preserve">People moving from villages and </w:t>
            </w:r>
            <w:r w:rsidR="00606AAE">
              <w:rPr>
                <w:rFonts w:ascii="Arial" w:hAnsi="Arial" w:cs="Arial"/>
                <w:sz w:val="24"/>
                <w:szCs w:val="24"/>
              </w:rPr>
              <w:br/>
              <w:t xml:space="preserve">the </w:t>
            </w:r>
            <w:r w:rsidRPr="00712FEF">
              <w:rPr>
                <w:rFonts w:ascii="Arial" w:hAnsi="Arial" w:cs="Arial"/>
                <w:sz w:val="24"/>
                <w:szCs w:val="24"/>
              </w:rPr>
              <w:t>countryside to the cities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11538EA2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0422657D" w14:textId="3C3707D4" w:rsidR="00712FEF" w:rsidRPr="00712FEF" w:rsidRDefault="00712FEF" w:rsidP="00126857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proofErr w:type="spellStart"/>
            <w:r w:rsidRPr="00712FEF">
              <w:rPr>
                <w:rFonts w:ascii="Arial" w:hAnsi="Arial" w:cs="Arial"/>
                <w:sz w:val="72"/>
                <w:szCs w:val="72"/>
              </w:rPr>
              <w:t>Jua</w:t>
            </w:r>
            <w:proofErr w:type="spellEnd"/>
            <w:r w:rsidRPr="00712FEF">
              <w:rPr>
                <w:rFonts w:ascii="Arial" w:hAnsi="Arial" w:cs="Arial"/>
                <w:sz w:val="72"/>
                <w:szCs w:val="72"/>
              </w:rPr>
              <w:t xml:space="preserve"> Kali</w:t>
            </w:r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0741B99" w14:textId="05D99A0F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A Kenyan term for the informal economy</w:t>
            </w:r>
            <w:r w:rsidR="00606AAE">
              <w:rPr>
                <w:rFonts w:ascii="Arial" w:hAnsi="Arial" w:cs="Arial"/>
                <w:sz w:val="24"/>
                <w:szCs w:val="24"/>
              </w:rPr>
              <w:t>. A</w:t>
            </w:r>
            <w:r w:rsidRPr="00712FEF">
              <w:rPr>
                <w:rFonts w:ascii="Arial" w:hAnsi="Arial" w:cs="Arial"/>
                <w:sz w:val="24"/>
                <w:szCs w:val="24"/>
              </w:rPr>
              <w:t>bout half a million people in Nairobi are employed in this sector</w:t>
            </w:r>
            <w:r w:rsidR="00606AAE">
              <w:rPr>
                <w:rFonts w:ascii="Arial" w:hAnsi="Arial" w:cs="Arial"/>
                <w:sz w:val="24"/>
                <w:szCs w:val="24"/>
              </w:rPr>
              <w:t xml:space="preserve">. It </w:t>
            </w:r>
            <w:r w:rsidRPr="00712FEF">
              <w:rPr>
                <w:rFonts w:ascii="Arial" w:hAnsi="Arial" w:cs="Arial"/>
                <w:sz w:val="24"/>
                <w:szCs w:val="24"/>
              </w:rPr>
              <w:t>includes all artisans and business people who are in micro and small</w:t>
            </w:r>
            <w:r w:rsidR="002E6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enterprises (MSEs) in Kenya</w:t>
            </w:r>
            <w:r w:rsidR="008E5EA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EF" w:rsidRPr="00712FEF" w14:paraId="7CE268BA" w14:textId="77777777" w:rsidTr="00126857">
        <w:trPr>
          <w:trHeight w:hRule="exact" w:val="3402"/>
        </w:trPr>
        <w:tc>
          <w:tcPr>
            <w:tcW w:w="535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DBE5F1" w:themeFill="accent1" w:themeFillTint="33"/>
            <w:vAlign w:val="center"/>
          </w:tcPr>
          <w:p w14:paraId="307C5F0B" w14:textId="3798C65D" w:rsidR="00712FEF" w:rsidRPr="00712FEF" w:rsidRDefault="00712FEF" w:rsidP="00126857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>M-</w:t>
            </w:r>
            <w:proofErr w:type="spellStart"/>
            <w:r w:rsidR="00126857">
              <w:rPr>
                <w:rFonts w:ascii="Arial" w:hAnsi="Arial" w:cs="Arial"/>
                <w:sz w:val="72"/>
                <w:szCs w:val="72"/>
              </w:rPr>
              <w:t>Pesa</w:t>
            </w:r>
            <w:proofErr w:type="spellEnd"/>
          </w:p>
        </w:tc>
        <w:tc>
          <w:tcPr>
            <w:tcW w:w="55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940127E" w14:textId="77777777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A way of paying for things and transferring money to another person using a mobile phone.</w:t>
            </w:r>
          </w:p>
          <w:p w14:paraId="0A1258B9" w14:textId="362D6071" w:rsidR="00712FEF" w:rsidRPr="00712FEF" w:rsidRDefault="00712FEF" w:rsidP="0012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2FEF">
              <w:rPr>
                <w:rFonts w:ascii="Arial" w:hAnsi="Arial" w:cs="Arial"/>
                <w:sz w:val="24"/>
                <w:szCs w:val="24"/>
              </w:rPr>
              <w:t>Customers come to registered retailers and pay them cash in exchange for loading virtual credit onto their phone, known as e-float. E-float can be swapped and transferred between mobile users with a simple text message and a system of codes.</w:t>
            </w:r>
            <w:r w:rsidRPr="00712FEF">
              <w:rPr>
                <w:rFonts w:ascii="Arial" w:hAnsi="Arial"/>
              </w:rPr>
              <w:t xml:space="preserve"> </w:t>
            </w:r>
            <w:r w:rsidRPr="00712FEF">
              <w:rPr>
                <w:rFonts w:ascii="Arial" w:hAnsi="Arial" w:cs="Arial"/>
                <w:sz w:val="24"/>
                <w:szCs w:val="24"/>
              </w:rPr>
              <w:t>The recipient of e-float takes their mobile phone into the nearest retailer and swaps the text messa</w:t>
            </w:r>
            <w:r w:rsidR="008E5EA4">
              <w:rPr>
                <w:rFonts w:ascii="Arial" w:hAnsi="Arial" w:cs="Arial"/>
                <w:sz w:val="24"/>
                <w:szCs w:val="24"/>
              </w:rPr>
              <w:t>ge code back for physical money.</w:t>
            </w:r>
          </w:p>
        </w:tc>
      </w:tr>
    </w:tbl>
    <w:p w14:paraId="14D89844" w14:textId="77777777" w:rsidR="00712FEF" w:rsidRPr="00712FEF" w:rsidRDefault="00712FEF" w:rsidP="00712FEF">
      <w:pPr>
        <w:jc w:val="center"/>
        <w:rPr>
          <w:rFonts w:ascii="Arial" w:hAnsi="Arial" w:cs="Arial"/>
          <w:sz w:val="24"/>
          <w:szCs w:val="24"/>
        </w:rPr>
      </w:pPr>
    </w:p>
    <w:p w14:paraId="2A3E7D56" w14:textId="77777777" w:rsidR="007B4FA2" w:rsidRPr="00712FEF" w:rsidRDefault="007B4FA2" w:rsidP="00712FEF">
      <w:pPr>
        <w:rPr>
          <w:rFonts w:ascii="Arial" w:hAnsi="Arial"/>
        </w:rPr>
      </w:pPr>
    </w:p>
    <w:sectPr w:rsidR="007B4FA2" w:rsidRPr="00712FEF" w:rsidSect="00712FEF">
      <w:headerReference w:type="default" r:id="rId9"/>
      <w:pgSz w:w="11906" w:h="16838"/>
      <w:pgMar w:top="238" w:right="567" w:bottom="24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4EA1B" w14:textId="77777777" w:rsidR="004F1F8E" w:rsidRDefault="004F1F8E" w:rsidP="007F1349">
      <w:pPr>
        <w:spacing w:after="0" w:line="240" w:lineRule="auto"/>
      </w:pPr>
      <w:r>
        <w:separator/>
      </w:r>
    </w:p>
  </w:endnote>
  <w:endnote w:type="continuationSeparator" w:id="0">
    <w:p w14:paraId="7F7CA540" w14:textId="77777777" w:rsidR="004F1F8E" w:rsidRDefault="004F1F8E" w:rsidP="007F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EEF98" w14:textId="77777777" w:rsidR="004F1F8E" w:rsidRDefault="004F1F8E" w:rsidP="007F1349">
      <w:pPr>
        <w:spacing w:after="0" w:line="240" w:lineRule="auto"/>
      </w:pPr>
      <w:r>
        <w:separator/>
      </w:r>
    </w:p>
  </w:footnote>
  <w:footnote w:type="continuationSeparator" w:id="0">
    <w:p w14:paraId="497FBDEA" w14:textId="77777777" w:rsidR="004F1F8E" w:rsidRDefault="004F1F8E" w:rsidP="007F1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6477A" w14:textId="5910B4E4" w:rsidR="00606AAE" w:rsidRDefault="00606AAE" w:rsidP="007F1349">
    <w:pPr>
      <w:pStyle w:val="Head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550571F" wp14:editId="062B2771">
          <wp:simplePos x="0" y="0"/>
          <wp:positionH relativeFrom="column">
            <wp:posOffset>5553710</wp:posOffset>
          </wp:positionH>
          <wp:positionV relativeFrom="paragraph">
            <wp:posOffset>-449580</wp:posOffset>
          </wp:positionV>
          <wp:extent cx="968375" cy="942975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PUPIL SHEET: KEY TERMS DEFINITIONS</w:t>
    </w:r>
  </w:p>
  <w:p w14:paraId="0300FDF3" w14:textId="77777777" w:rsidR="00606AAE" w:rsidRDefault="00606AAE">
    <w:pPr>
      <w:pStyle w:val="Header"/>
    </w:pPr>
  </w:p>
  <w:p w14:paraId="581AF299" w14:textId="77777777" w:rsidR="00606AAE" w:rsidRDefault="00606A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EDF"/>
    <w:multiLevelType w:val="hybridMultilevel"/>
    <w:tmpl w:val="710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80BC7"/>
    <w:multiLevelType w:val="hybridMultilevel"/>
    <w:tmpl w:val="FDA4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0B49"/>
    <w:multiLevelType w:val="hybridMultilevel"/>
    <w:tmpl w:val="9DC640D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8470E"/>
    <w:multiLevelType w:val="hybridMultilevel"/>
    <w:tmpl w:val="72A6E186"/>
    <w:lvl w:ilvl="0" w:tplc="B0449C3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C8D02E">
      <w:start w:val="1"/>
      <w:numFmt w:val="bullet"/>
      <w:pStyle w:val="Sub-bullet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A67203"/>
    <w:multiLevelType w:val="hybridMultilevel"/>
    <w:tmpl w:val="7548E14E"/>
    <w:lvl w:ilvl="0" w:tplc="AAA6183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4B13FB"/>
    <w:multiLevelType w:val="hybridMultilevel"/>
    <w:tmpl w:val="4C6C4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C5E0B"/>
    <w:multiLevelType w:val="hybridMultilevel"/>
    <w:tmpl w:val="43C8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72E36"/>
    <w:multiLevelType w:val="hybridMultilevel"/>
    <w:tmpl w:val="838066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991A9F"/>
    <w:multiLevelType w:val="hybridMultilevel"/>
    <w:tmpl w:val="1BE68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1"/>
    <w:rsid w:val="00126857"/>
    <w:rsid w:val="001F3AEF"/>
    <w:rsid w:val="002069BF"/>
    <w:rsid w:val="00233D8A"/>
    <w:rsid w:val="00274B45"/>
    <w:rsid w:val="002B0D14"/>
    <w:rsid w:val="002E626B"/>
    <w:rsid w:val="00327038"/>
    <w:rsid w:val="00342449"/>
    <w:rsid w:val="00357590"/>
    <w:rsid w:val="004F1F8E"/>
    <w:rsid w:val="005604D1"/>
    <w:rsid w:val="00566190"/>
    <w:rsid w:val="005805AC"/>
    <w:rsid w:val="0059412C"/>
    <w:rsid w:val="005973EF"/>
    <w:rsid w:val="005D0252"/>
    <w:rsid w:val="005D72D0"/>
    <w:rsid w:val="00600018"/>
    <w:rsid w:val="00606AAE"/>
    <w:rsid w:val="00625CD5"/>
    <w:rsid w:val="00627DE1"/>
    <w:rsid w:val="006952B5"/>
    <w:rsid w:val="006B4824"/>
    <w:rsid w:val="006E436F"/>
    <w:rsid w:val="00712FEF"/>
    <w:rsid w:val="00732D77"/>
    <w:rsid w:val="00751FC3"/>
    <w:rsid w:val="00770F85"/>
    <w:rsid w:val="007A3E4B"/>
    <w:rsid w:val="007B4FA2"/>
    <w:rsid w:val="007F1349"/>
    <w:rsid w:val="008518D8"/>
    <w:rsid w:val="008864BA"/>
    <w:rsid w:val="008E5EA4"/>
    <w:rsid w:val="00950396"/>
    <w:rsid w:val="009F2352"/>
    <w:rsid w:val="00A256F4"/>
    <w:rsid w:val="00A35F10"/>
    <w:rsid w:val="00A54632"/>
    <w:rsid w:val="00AA3E3E"/>
    <w:rsid w:val="00AD08A2"/>
    <w:rsid w:val="00AD6798"/>
    <w:rsid w:val="00B108CA"/>
    <w:rsid w:val="00B1220E"/>
    <w:rsid w:val="00B1606B"/>
    <w:rsid w:val="00BC63B5"/>
    <w:rsid w:val="00BD4FB4"/>
    <w:rsid w:val="00C37B0D"/>
    <w:rsid w:val="00C6686E"/>
    <w:rsid w:val="00C92888"/>
    <w:rsid w:val="00CD28CB"/>
    <w:rsid w:val="00CE7A5E"/>
    <w:rsid w:val="00D70371"/>
    <w:rsid w:val="00D828A6"/>
    <w:rsid w:val="00D90BAF"/>
    <w:rsid w:val="00DA40A7"/>
    <w:rsid w:val="00DB61A2"/>
    <w:rsid w:val="00DC3901"/>
    <w:rsid w:val="00E03DC0"/>
    <w:rsid w:val="00E66ECC"/>
    <w:rsid w:val="00E67437"/>
    <w:rsid w:val="00E716DA"/>
    <w:rsid w:val="00E86ECD"/>
    <w:rsid w:val="00F4035A"/>
    <w:rsid w:val="00F76AD9"/>
    <w:rsid w:val="00FA5B8D"/>
    <w:rsid w:val="00FC0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D9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lauraw</cp:lastModifiedBy>
  <cp:revision>19</cp:revision>
  <cp:lastPrinted>2012-12-10T13:21:00Z</cp:lastPrinted>
  <dcterms:created xsi:type="dcterms:W3CDTF">2012-12-06T10:39:00Z</dcterms:created>
  <dcterms:modified xsi:type="dcterms:W3CDTF">2013-01-11T17:27:00Z</dcterms:modified>
</cp:coreProperties>
</file>