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BAC6C" w14:textId="77777777" w:rsidR="003D4674" w:rsidRPr="00A55C8D" w:rsidRDefault="003D4674" w:rsidP="003D4674">
      <w:pPr>
        <w:pStyle w:val="Heading3"/>
      </w:pPr>
      <w:r w:rsidRPr="00A55C8D">
        <w:t>3.3</w:t>
      </w:r>
      <w:r>
        <w:t xml:space="preserve"> - r</w:t>
      </w:r>
      <w:r w:rsidRPr="00A55C8D">
        <w:t>ights and responsibilities of consumers and consumer redress</w:t>
      </w:r>
    </w:p>
    <w:p w14:paraId="58029DE0" w14:textId="77777777" w:rsidR="003D4674" w:rsidRPr="00A55C8D" w:rsidRDefault="003D4674" w:rsidP="003D4674">
      <w:pPr>
        <w:pStyle w:val="FeatureBox2"/>
      </w:pPr>
      <w:r w:rsidRPr="00E23972">
        <w:rPr>
          <w:rStyle w:val="Strong"/>
        </w:rPr>
        <w:t>Teachers’ note</w:t>
      </w:r>
      <w:r>
        <w:t xml:space="preserve"> - s</w:t>
      </w:r>
      <w:r w:rsidRPr="00A55C8D">
        <w:t>yllabus dot points have been combined for lesson fluidity.</w:t>
      </w:r>
    </w:p>
    <w:p w14:paraId="776F70C4" w14:textId="77777777" w:rsidR="003D4674" w:rsidRPr="00A55C8D" w:rsidRDefault="003D4674" w:rsidP="003D4674">
      <w:pPr>
        <w:pStyle w:val="ListBullet"/>
      </w:pPr>
      <w:r w:rsidRPr="00A55C8D">
        <w:t>Investigate the legal rights and responsibilities of consumers, including protection through legislation, for example the purpose of the Competition and Consumer Act 2010 ACHEK029)</w:t>
      </w:r>
    </w:p>
    <w:p w14:paraId="0945F99B" w14:textId="77777777" w:rsidR="003D4674" w:rsidRPr="00A55C8D" w:rsidRDefault="003D4674" w:rsidP="003D4674">
      <w:pPr>
        <w:pStyle w:val="ListBullet"/>
      </w:pPr>
      <w:r w:rsidRPr="00A55C8D">
        <w:t>Examine the processes of consumer redress, for example proposing options for a consumer who has purchased a product that is not fit for purpose or of acceptable quality.</w:t>
      </w:r>
    </w:p>
    <w:p w14:paraId="5C856016" w14:textId="77777777" w:rsidR="003D4674" w:rsidRDefault="003D4674" w:rsidP="003D4674">
      <w:pPr>
        <w:rPr>
          <w:rStyle w:val="Strong"/>
        </w:rPr>
      </w:pPr>
      <w:r w:rsidRPr="00E23972">
        <w:rPr>
          <w:rStyle w:val="Strong"/>
        </w:rPr>
        <w:t>Terminology that students will need to understand to complete the lesson sequence.</w:t>
      </w:r>
    </w:p>
    <w:tbl>
      <w:tblPr>
        <w:tblStyle w:val="Tableheader"/>
        <w:tblW w:w="0" w:type="auto"/>
        <w:tblLook w:val="04A0" w:firstRow="1" w:lastRow="0" w:firstColumn="1" w:lastColumn="0" w:noHBand="0" w:noVBand="1"/>
        <w:tblCaption w:val="Terminology table"/>
        <w:tblDescription w:val="A table with terminology and its definitions relevant to this topic."/>
      </w:tblPr>
      <w:tblGrid>
        <w:gridCol w:w="2077"/>
        <w:gridCol w:w="6889"/>
      </w:tblGrid>
      <w:tr w:rsidR="003D4674" w:rsidRPr="007113F6" w14:paraId="3AE4EA3A" w14:textId="77777777" w:rsidTr="00905B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03C40F5A" w14:textId="77777777" w:rsidR="003D4674" w:rsidRPr="007113F6" w:rsidRDefault="003D4674" w:rsidP="00905BC8">
            <w:pPr>
              <w:pStyle w:val="Tableheading"/>
              <w:spacing w:before="192" w:after="192"/>
            </w:pPr>
            <w:r w:rsidRPr="007113F6">
              <w:t>Terminology</w:t>
            </w:r>
          </w:p>
        </w:tc>
        <w:tc>
          <w:tcPr>
            <w:tcW w:w="8267" w:type="dxa"/>
          </w:tcPr>
          <w:p w14:paraId="138D9DA1" w14:textId="77777777" w:rsidR="003D4674" w:rsidRPr="007113F6" w:rsidRDefault="003D4674" w:rsidP="00905BC8">
            <w:pPr>
              <w:pStyle w:val="Tableheading"/>
              <w:cnfStyle w:val="100000000000" w:firstRow="1" w:lastRow="0" w:firstColumn="0" w:lastColumn="0" w:oddVBand="0" w:evenVBand="0" w:oddHBand="0" w:evenHBand="0" w:firstRowFirstColumn="0" w:firstRowLastColumn="0" w:lastRowFirstColumn="0" w:lastRowLastColumn="0"/>
            </w:pPr>
            <w:r w:rsidRPr="007113F6">
              <w:t>Definition</w:t>
            </w:r>
          </w:p>
        </w:tc>
      </w:tr>
      <w:tr w:rsidR="003D4674" w14:paraId="449EF877" w14:textId="77777777" w:rsidTr="00905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AFA8A82" w14:textId="77777777" w:rsidR="003D4674" w:rsidRPr="007113F6" w:rsidRDefault="003D4674" w:rsidP="00905BC8">
            <w:pPr>
              <w:pStyle w:val="Tabletext"/>
              <w:rPr>
                <w:b w:val="0"/>
              </w:rPr>
            </w:pPr>
            <w:r w:rsidRPr="007113F6">
              <w:rPr>
                <w:b w:val="0"/>
              </w:rPr>
              <w:t>Acceptable quality</w:t>
            </w:r>
          </w:p>
        </w:tc>
        <w:tc>
          <w:tcPr>
            <w:tcW w:w="8267" w:type="dxa"/>
          </w:tcPr>
          <w:p w14:paraId="78A09C74" w14:textId="77777777" w:rsidR="003D4674" w:rsidRPr="00EC46C2" w:rsidRDefault="003D4674" w:rsidP="00905BC8">
            <w:pPr>
              <w:pStyle w:val="Tabletext"/>
              <w:cnfStyle w:val="000000100000" w:firstRow="0" w:lastRow="0" w:firstColumn="0" w:lastColumn="0" w:oddVBand="0" w:evenVBand="0" w:oddHBand="1" w:evenHBand="0" w:firstRowFirstColumn="0" w:firstRowLastColumn="0" w:lastRowFirstColumn="0" w:lastRowLastColumn="0"/>
            </w:pPr>
            <w:r w:rsidRPr="00EC46C2">
              <w:t>A product or service fit for purpose. Products free of defects, safe and durable.</w:t>
            </w:r>
          </w:p>
        </w:tc>
      </w:tr>
      <w:tr w:rsidR="003D4674" w14:paraId="0E403201" w14:textId="77777777" w:rsidTr="00905B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1AEBD7B" w14:textId="77777777" w:rsidR="003D4674" w:rsidRPr="007113F6" w:rsidRDefault="003D4674" w:rsidP="00905BC8">
            <w:pPr>
              <w:pStyle w:val="Tabletext"/>
              <w:rPr>
                <w:b w:val="0"/>
              </w:rPr>
            </w:pPr>
            <w:r w:rsidRPr="007113F6">
              <w:rPr>
                <w:b w:val="0"/>
              </w:rPr>
              <w:t>Caveat emptor</w:t>
            </w:r>
          </w:p>
        </w:tc>
        <w:tc>
          <w:tcPr>
            <w:tcW w:w="8267" w:type="dxa"/>
          </w:tcPr>
          <w:p w14:paraId="47A7DFC4" w14:textId="77777777" w:rsidR="003D4674" w:rsidRPr="00EC46C2" w:rsidRDefault="003D4674" w:rsidP="00905BC8">
            <w:pPr>
              <w:pStyle w:val="Tabletext"/>
              <w:cnfStyle w:val="000000010000" w:firstRow="0" w:lastRow="0" w:firstColumn="0" w:lastColumn="0" w:oddVBand="0" w:evenVBand="0" w:oddHBand="0" w:evenHBand="1" w:firstRowFirstColumn="0" w:firstRowLastColumn="0" w:lastRowFirstColumn="0" w:lastRowLastColumn="0"/>
            </w:pPr>
            <w:r w:rsidRPr="00EC46C2">
              <w:t>A term meaning ‘let the buyer beware’. Meaning that the seller does not have to tell the consumer everything about the product or service.</w:t>
            </w:r>
          </w:p>
        </w:tc>
      </w:tr>
      <w:tr w:rsidR="003D4674" w14:paraId="137604A6" w14:textId="77777777" w:rsidTr="00905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FCB14FF" w14:textId="77777777" w:rsidR="003D4674" w:rsidRPr="007113F6" w:rsidRDefault="003D4674" w:rsidP="00905BC8">
            <w:pPr>
              <w:pStyle w:val="Tabletext"/>
              <w:rPr>
                <w:b w:val="0"/>
              </w:rPr>
            </w:pPr>
            <w:r w:rsidRPr="007113F6">
              <w:rPr>
                <w:b w:val="0"/>
              </w:rPr>
              <w:t>Consumer rights</w:t>
            </w:r>
          </w:p>
        </w:tc>
        <w:tc>
          <w:tcPr>
            <w:tcW w:w="8267" w:type="dxa"/>
          </w:tcPr>
          <w:p w14:paraId="3CF1632A" w14:textId="77777777" w:rsidR="003D4674" w:rsidRPr="00EC46C2" w:rsidRDefault="003D4674" w:rsidP="00905BC8">
            <w:pPr>
              <w:pStyle w:val="Tabletext"/>
              <w:cnfStyle w:val="000000100000" w:firstRow="0" w:lastRow="0" w:firstColumn="0" w:lastColumn="0" w:oddVBand="0" w:evenVBand="0" w:oddHBand="1" w:evenHBand="0" w:firstRowFirstColumn="0" w:firstRowLastColumn="0" w:lastRowFirstColumn="0" w:lastRowLastColumn="0"/>
            </w:pPr>
            <w:r w:rsidRPr="00EC46C2">
              <w:t xml:space="preserve">A set of </w:t>
            </w:r>
            <w:proofErr w:type="gramStart"/>
            <w:r w:rsidRPr="00EC46C2">
              <w:t>consumer</w:t>
            </w:r>
            <w:proofErr w:type="gramEnd"/>
            <w:r w:rsidRPr="00EC46C2">
              <w:t xml:space="preserve"> ‘guarantees’ and remedies for defective goods and services.</w:t>
            </w:r>
          </w:p>
        </w:tc>
      </w:tr>
      <w:tr w:rsidR="003D4674" w14:paraId="49BC409F" w14:textId="77777777" w:rsidTr="00905B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19D053C" w14:textId="77777777" w:rsidR="003D4674" w:rsidRPr="007113F6" w:rsidRDefault="003D4674" w:rsidP="00905BC8">
            <w:pPr>
              <w:pStyle w:val="Tabletext"/>
              <w:rPr>
                <w:b w:val="0"/>
              </w:rPr>
            </w:pPr>
            <w:r w:rsidRPr="007113F6">
              <w:rPr>
                <w:b w:val="0"/>
              </w:rPr>
              <w:t>Consumer protection</w:t>
            </w:r>
          </w:p>
        </w:tc>
        <w:tc>
          <w:tcPr>
            <w:tcW w:w="8267" w:type="dxa"/>
          </w:tcPr>
          <w:p w14:paraId="6FDE99B9" w14:textId="77777777" w:rsidR="003D4674" w:rsidRPr="00EC46C2" w:rsidRDefault="003D4674" w:rsidP="00905BC8">
            <w:pPr>
              <w:pStyle w:val="Tabletext"/>
              <w:cnfStyle w:val="000000010000" w:firstRow="0" w:lastRow="0" w:firstColumn="0" w:lastColumn="0" w:oddVBand="0" w:evenVBand="0" w:oddHBand="0" w:evenHBand="1" w:firstRowFirstColumn="0" w:firstRowLastColumn="0" w:lastRowFirstColumn="0" w:lastRowLastColumn="0"/>
            </w:pPr>
            <w:r w:rsidRPr="00EC46C2">
              <w:t xml:space="preserve">Consumers are protected by a series of laws that protect consumers under Australian Consumer Law (ACL). The protections in the ACL are generally reflected in similar provisions in the Australian Securities and Investments Commission </w:t>
            </w:r>
            <w:r>
              <w:t xml:space="preserve">Act 2011 (ASIC Act) </w:t>
            </w:r>
            <w:r w:rsidRPr="00EC46C2">
              <w:t>so that financial products and services are treated the same way as consumer products.</w:t>
            </w:r>
          </w:p>
        </w:tc>
      </w:tr>
      <w:tr w:rsidR="003D4674" w14:paraId="0014903D" w14:textId="77777777" w:rsidTr="00905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607FBB0" w14:textId="77777777" w:rsidR="003D4674" w:rsidRPr="007113F6" w:rsidRDefault="003D4674" w:rsidP="00905BC8">
            <w:pPr>
              <w:pStyle w:val="Tabletext"/>
              <w:rPr>
                <w:b w:val="0"/>
              </w:rPr>
            </w:pPr>
            <w:r w:rsidRPr="007113F6">
              <w:rPr>
                <w:b w:val="0"/>
              </w:rPr>
              <w:t>Contract</w:t>
            </w:r>
          </w:p>
        </w:tc>
        <w:tc>
          <w:tcPr>
            <w:tcW w:w="8267" w:type="dxa"/>
          </w:tcPr>
          <w:p w14:paraId="0B4F664F" w14:textId="77777777" w:rsidR="003D4674" w:rsidRPr="00EC46C2" w:rsidRDefault="003D4674" w:rsidP="00905BC8">
            <w:pPr>
              <w:pStyle w:val="Tabletext"/>
              <w:cnfStyle w:val="000000100000" w:firstRow="0" w:lastRow="0" w:firstColumn="0" w:lastColumn="0" w:oddVBand="0" w:evenVBand="0" w:oddHBand="1" w:evenHBand="0" w:firstRowFirstColumn="0" w:firstRowLastColumn="0" w:lastRowFirstColumn="0" w:lastRowLastColumn="0"/>
            </w:pPr>
            <w:r w:rsidRPr="00EC46C2">
              <w:t>A contract is a legally binding agreement</w:t>
            </w:r>
            <w:r>
              <w:t xml:space="preserve"> between</w:t>
            </w:r>
            <w:r w:rsidRPr="00EC46C2">
              <w:t xml:space="preserve"> two or more people. A contract can be written or verbal however a written contract will reduce misunderstandings and disputes.</w:t>
            </w:r>
          </w:p>
        </w:tc>
      </w:tr>
      <w:tr w:rsidR="003D4674" w14:paraId="18F534A0" w14:textId="77777777" w:rsidTr="00905B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FEE15BB" w14:textId="77777777" w:rsidR="003D4674" w:rsidRPr="007113F6" w:rsidRDefault="003D4674" w:rsidP="00905BC8">
            <w:pPr>
              <w:pStyle w:val="Tabletext"/>
              <w:rPr>
                <w:b w:val="0"/>
              </w:rPr>
            </w:pPr>
            <w:r w:rsidRPr="007113F6">
              <w:rPr>
                <w:b w:val="0"/>
              </w:rPr>
              <w:t>Consumer redress</w:t>
            </w:r>
          </w:p>
        </w:tc>
        <w:tc>
          <w:tcPr>
            <w:tcW w:w="8267" w:type="dxa"/>
          </w:tcPr>
          <w:p w14:paraId="5BC468CC" w14:textId="77777777" w:rsidR="003D4674" w:rsidRPr="00EC46C2" w:rsidRDefault="003D4674" w:rsidP="00905BC8">
            <w:pPr>
              <w:pStyle w:val="Tabletext"/>
              <w:cnfStyle w:val="000000010000" w:firstRow="0" w:lastRow="0" w:firstColumn="0" w:lastColumn="0" w:oddVBand="0" w:evenVBand="0" w:oddHBand="0" w:evenHBand="1" w:firstRowFirstColumn="0" w:firstRowLastColumn="0" w:lastRowFirstColumn="0" w:lastRowLastColumn="0"/>
            </w:pPr>
            <w:r>
              <w:t>When consumers seek to rectify a problem with a product or service.</w:t>
            </w:r>
          </w:p>
        </w:tc>
      </w:tr>
    </w:tbl>
    <w:p w14:paraId="11F0A1CA" w14:textId="77777777" w:rsidR="003D4674" w:rsidRPr="00A55C8D" w:rsidRDefault="003D4674" w:rsidP="003D4674">
      <w:r w:rsidRPr="00A55C8D">
        <w:t xml:space="preserve">The Australian Consumer Law (contained in a schedule to the Competition and Consumer Act 2010) creates a basic set of guarantees for consumers who acquire goods and services from Australian suppliers, importers or manufacturers. These are intended to ensure that consumers receive the goods or services that they have paid for. When there is a problem and one of the guarantees has not been met, consumers are entitled to a redress (to have the situation ‘put right’). If the problem is </w:t>
      </w:r>
      <w:r w:rsidRPr="00A55C8D">
        <w:lastRenderedPageBreak/>
        <w:t>with goods, consumers have the legal right to a refund, a replacement or to have the product repaired. The choice is up to the consumer. If the service is at fault, the consumer has the right to have the service performed again.</w:t>
      </w:r>
    </w:p>
    <w:p w14:paraId="577B76AF" w14:textId="77777777" w:rsidR="003D4674" w:rsidRPr="00A55C8D" w:rsidRDefault="003D4674" w:rsidP="003D4674">
      <w:pPr>
        <w:pStyle w:val="Heading3"/>
      </w:pPr>
      <w:r w:rsidRPr="00A55C8D">
        <w:t>Activities:</w:t>
      </w:r>
    </w:p>
    <w:p w14:paraId="3684E92C" w14:textId="77777777" w:rsidR="003D4674" w:rsidRPr="00A55C8D" w:rsidRDefault="003D4674" w:rsidP="003D4674">
      <w:pPr>
        <w:pStyle w:val="ListBullet"/>
      </w:pPr>
      <w:r w:rsidRPr="00A55C8D">
        <w:t xml:space="preserve">Use </w:t>
      </w:r>
      <w:hyperlink r:id="rId5" w:history="1">
        <w:r w:rsidRPr="00E23972">
          <w:rPr>
            <w:rStyle w:val="Hyperlink"/>
          </w:rPr>
          <w:t>ACCC Consumer rights and guarantees</w:t>
        </w:r>
      </w:hyperlink>
      <w:r w:rsidRPr="00A55C8D">
        <w:t xml:space="preserve"> and the video </w:t>
      </w:r>
      <w:hyperlink r:id="rId6" w:history="1">
        <w:r w:rsidRPr="00E23972">
          <w:rPr>
            <w:rStyle w:val="Hyperlink"/>
          </w:rPr>
          <w:t>Consumer guarantees – in detail</w:t>
        </w:r>
      </w:hyperlink>
      <w:r w:rsidRPr="00A55C8D">
        <w:t xml:space="preserve"> (duration 6:28) to gain an understanding of the legal rights and responsibilities of consumers and consumer redress.</w:t>
      </w:r>
    </w:p>
    <w:p w14:paraId="23F20F68" w14:textId="77777777" w:rsidR="003D4674" w:rsidRPr="00A55C8D" w:rsidRDefault="003D4674" w:rsidP="003D4674">
      <w:pPr>
        <w:pStyle w:val="ListBullet"/>
      </w:pPr>
      <w:r w:rsidRPr="00A55C8D">
        <w:t>Using the ACCC information and video, develop a plan of action for when a product purchased is not fit for purpose or of acceptable quality. This can be illustrated as a series of steps to ‘make things right’ when a product or service is faulty. Present this work as a video, role play, presentation or information poster.</w:t>
      </w:r>
    </w:p>
    <w:p w14:paraId="1845DB21" w14:textId="77777777" w:rsidR="003D4674" w:rsidRPr="00A55C8D" w:rsidRDefault="003D4674" w:rsidP="003D4674">
      <w:pPr>
        <w:pStyle w:val="ListBullet"/>
      </w:pPr>
      <w:r w:rsidRPr="00A55C8D">
        <w:t xml:space="preserve">Using this knowledge of consumer rights, students access </w:t>
      </w:r>
      <w:hyperlink r:id="rId7" w:history="1">
        <w:proofErr w:type="spellStart"/>
        <w:r w:rsidRPr="00EC17C4">
          <w:rPr>
            <w:rStyle w:val="Hyperlink"/>
          </w:rPr>
          <w:t>Moneysmart’s</w:t>
        </w:r>
        <w:proofErr w:type="spellEnd"/>
        <w:r w:rsidRPr="00EC17C4">
          <w:rPr>
            <w:rStyle w:val="Hyperlink"/>
          </w:rPr>
          <w:t xml:space="preserve"> consumer rights</w:t>
        </w:r>
      </w:hyperlink>
      <w:r w:rsidRPr="00A55C8D">
        <w:t xml:space="preserve"> to understand their rights when purchasing a mobile phone.</w:t>
      </w:r>
    </w:p>
    <w:p w14:paraId="0BBF6BA2" w14:textId="77777777" w:rsidR="003D4674" w:rsidRDefault="003D4674">
      <w:bookmarkStart w:id="0" w:name="_GoBack"/>
      <w:bookmarkEnd w:id="0"/>
    </w:p>
    <w:sectPr w:rsidR="003D4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166F8"/>
    <w:multiLevelType w:val="multilevel"/>
    <w:tmpl w:val="04AEE1DE"/>
    <w:lvl w:ilvl="0">
      <w:numFmt w:val="decimal"/>
      <w:lvlText w:val="%1."/>
      <w:lvlJc w:val="left"/>
      <w:pPr>
        <w:tabs>
          <w:tab w:val="num" w:pos="652"/>
        </w:tabs>
        <w:ind w:left="652" w:hanging="36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284" w:firstLine="0"/>
      </w:pPr>
      <w:rPr>
        <w:rFonts w:hint="default"/>
      </w:rPr>
    </w:lvl>
    <w:lvl w:ilvl="2">
      <w:start w:val="1"/>
      <w:numFmt w:val="none"/>
      <w:pStyle w:val="Heading3"/>
      <w:suff w:val="nothing"/>
      <w:lvlText w:val=""/>
      <w:lvlJc w:val="left"/>
      <w:pPr>
        <w:ind w:left="284" w:firstLine="0"/>
      </w:pPr>
      <w:rPr>
        <w:rFonts w:hint="default"/>
      </w:rPr>
    </w:lvl>
    <w:lvl w:ilvl="3">
      <w:start w:val="1"/>
      <w:numFmt w:val="none"/>
      <w:pStyle w:val="Heading4"/>
      <w:suff w:val="nothing"/>
      <w:lvlText w:val=""/>
      <w:lvlJc w:val="left"/>
      <w:pPr>
        <w:ind w:left="284" w:firstLine="0"/>
      </w:pPr>
      <w:rPr>
        <w:rFonts w:hint="default"/>
      </w:rPr>
    </w:lvl>
    <w:lvl w:ilvl="4">
      <w:start w:val="1"/>
      <w:numFmt w:val="none"/>
      <w:pStyle w:val="Heading5"/>
      <w:suff w:val="nothing"/>
      <w:lvlText w:val=""/>
      <w:lvlJc w:val="left"/>
      <w:pPr>
        <w:ind w:left="284" w:firstLine="0"/>
      </w:pPr>
      <w:rPr>
        <w:rFonts w:hint="default"/>
      </w:rPr>
    </w:lvl>
    <w:lvl w:ilvl="5">
      <w:start w:val="1"/>
      <w:numFmt w:val="none"/>
      <w:pStyle w:val="Heading6"/>
      <w:suff w:val="nothing"/>
      <w:lvlText w:val=""/>
      <w:lvlJc w:val="left"/>
      <w:pPr>
        <w:ind w:left="284" w:firstLine="0"/>
      </w:pPr>
      <w:rPr>
        <w:rFonts w:hint="default"/>
      </w:rPr>
    </w:lvl>
    <w:lvl w:ilvl="6">
      <w:start w:val="1"/>
      <w:numFmt w:val="none"/>
      <w:pStyle w:val="Heading7"/>
      <w:suff w:val="nothing"/>
      <w:lvlText w:val=""/>
      <w:lvlJc w:val="left"/>
      <w:pPr>
        <w:ind w:left="284" w:firstLine="0"/>
      </w:pPr>
      <w:rPr>
        <w:rFonts w:hint="default"/>
      </w:rPr>
    </w:lvl>
    <w:lvl w:ilvl="7">
      <w:start w:val="1"/>
      <w:numFmt w:val="none"/>
      <w:pStyle w:val="Heading8"/>
      <w:suff w:val="nothing"/>
      <w:lvlText w:val=""/>
      <w:lvlJc w:val="left"/>
      <w:pPr>
        <w:ind w:left="284" w:firstLine="0"/>
      </w:pPr>
      <w:rPr>
        <w:rFonts w:hint="default"/>
      </w:rPr>
    </w:lvl>
    <w:lvl w:ilvl="8">
      <w:start w:val="1"/>
      <w:numFmt w:val="none"/>
      <w:pStyle w:val="Heading9"/>
      <w:suff w:val="nothing"/>
      <w:lvlText w:val=""/>
      <w:lvlJc w:val="left"/>
      <w:pPr>
        <w:ind w:left="284" w:firstLine="0"/>
      </w:pPr>
      <w:rPr>
        <w:rFonts w:hint="default"/>
      </w:rPr>
    </w:lvl>
  </w:abstractNum>
  <w:abstractNum w:abstractNumId="1" w15:restartNumberingAfterBreak="0">
    <w:nsid w:val="5BE53912"/>
    <w:multiLevelType w:val="multilevel"/>
    <w:tmpl w:val="27FC7202"/>
    <w:lvl w:ilvl="0">
      <w:start w:val="1"/>
      <w:numFmt w:val="bullet"/>
      <w:pStyle w:val="ListBullet"/>
      <w:lvlText w:val=""/>
      <w:lvlJc w:val="left"/>
      <w:pPr>
        <w:tabs>
          <w:tab w:val="num" w:pos="652"/>
        </w:tabs>
        <w:ind w:left="652" w:hanging="368"/>
      </w:pPr>
      <w:rPr>
        <w:rFonts w:ascii="Symbol" w:hAnsi="Symbol" w:hint="default"/>
      </w:rPr>
    </w:lvl>
    <w:lvl w:ilvl="1">
      <w:start w:val="1"/>
      <w:numFmt w:val="lowerLetter"/>
      <w:lvlText w:val="%2)"/>
      <w:lvlJc w:val="left"/>
      <w:pPr>
        <w:ind w:left="100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674"/>
    <w:rsid w:val="003D46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CB27"/>
  <w15:chartTrackingRefBased/>
  <w15:docId w15:val="{58E3DE25-A7DF-4BB4-8A9D-AB44096C6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1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ŠNormal"/>
    <w:qFormat/>
    <w:rsid w:val="003D4674"/>
    <w:pPr>
      <w:spacing w:before="240" w:after="0" w:line="276" w:lineRule="auto"/>
    </w:pPr>
    <w:rPr>
      <w:rFonts w:ascii="Arial" w:hAnsi="Arial"/>
      <w:sz w:val="24"/>
      <w:szCs w:val="24"/>
    </w:rPr>
  </w:style>
  <w:style w:type="paragraph" w:styleId="Heading2">
    <w:name w:val="heading 2"/>
    <w:aliases w:val="ŠHeading 2"/>
    <w:basedOn w:val="Normal"/>
    <w:next w:val="Normal"/>
    <w:link w:val="Heading2Char"/>
    <w:uiPriority w:val="7"/>
    <w:qFormat/>
    <w:rsid w:val="003D4674"/>
    <w:pPr>
      <w:keepNext/>
      <w:keepLines/>
      <w:numPr>
        <w:ilvl w:val="1"/>
        <w:numId w:val="1"/>
      </w:numPr>
      <w:tabs>
        <w:tab w:val="left" w:pos="567"/>
        <w:tab w:val="left" w:pos="1134"/>
        <w:tab w:val="left" w:pos="1701"/>
        <w:tab w:val="left" w:pos="2268"/>
        <w:tab w:val="left" w:pos="2835"/>
        <w:tab w:val="left" w:pos="3402"/>
      </w:tabs>
      <w:spacing w:after="280"/>
      <w:ind w:left="0"/>
      <w:outlineLvl w:val="1"/>
    </w:pPr>
    <w:rPr>
      <w:rFonts w:eastAsia="SimSun" w:cs="Arial"/>
      <w:b/>
      <w:color w:val="1C438B"/>
      <w:sz w:val="48"/>
      <w:szCs w:val="36"/>
      <w:lang w:eastAsia="zh-CN"/>
    </w:rPr>
  </w:style>
  <w:style w:type="paragraph" w:styleId="Heading3">
    <w:name w:val="heading 3"/>
    <w:aliases w:val="ŠHeading 3"/>
    <w:basedOn w:val="Normal"/>
    <w:next w:val="Normal"/>
    <w:link w:val="Heading3Char"/>
    <w:uiPriority w:val="8"/>
    <w:qFormat/>
    <w:rsid w:val="003D4674"/>
    <w:pPr>
      <w:keepNext/>
      <w:keepLines/>
      <w:numPr>
        <w:ilvl w:val="2"/>
        <w:numId w:val="1"/>
      </w:numPr>
      <w:tabs>
        <w:tab w:val="left" w:pos="567"/>
        <w:tab w:val="left" w:pos="1134"/>
        <w:tab w:val="left" w:pos="1701"/>
        <w:tab w:val="left" w:pos="2268"/>
        <w:tab w:val="left" w:pos="2835"/>
        <w:tab w:val="left" w:pos="3402"/>
      </w:tabs>
      <w:spacing w:after="200"/>
      <w:ind w:left="0"/>
      <w:outlineLvl w:val="2"/>
    </w:pPr>
    <w:rPr>
      <w:rFonts w:eastAsia="SimSun" w:cs="Arial"/>
      <w:color w:val="1C438B"/>
      <w:sz w:val="40"/>
      <w:szCs w:val="40"/>
      <w:lang w:eastAsia="zh-CN"/>
    </w:rPr>
  </w:style>
  <w:style w:type="paragraph" w:styleId="Heading4">
    <w:name w:val="heading 4"/>
    <w:aliases w:val="ŠHeading 4"/>
    <w:basedOn w:val="Normal"/>
    <w:next w:val="Normal"/>
    <w:link w:val="Heading4Char"/>
    <w:uiPriority w:val="9"/>
    <w:qFormat/>
    <w:rsid w:val="003D4674"/>
    <w:pPr>
      <w:keepNext/>
      <w:keepLines/>
      <w:numPr>
        <w:ilvl w:val="3"/>
        <w:numId w:val="1"/>
      </w:numPr>
      <w:tabs>
        <w:tab w:val="left" w:pos="567"/>
        <w:tab w:val="left" w:pos="1134"/>
        <w:tab w:val="left" w:pos="1701"/>
        <w:tab w:val="left" w:pos="2268"/>
        <w:tab w:val="left" w:pos="2835"/>
        <w:tab w:val="left" w:pos="3402"/>
      </w:tabs>
      <w:ind w:left="0"/>
      <w:outlineLvl w:val="3"/>
    </w:pPr>
    <w:rPr>
      <w:rFonts w:eastAsia="SimSun" w:cs="Times New Roman"/>
      <w:color w:val="041F42"/>
      <w:sz w:val="36"/>
      <w:szCs w:val="32"/>
    </w:rPr>
  </w:style>
  <w:style w:type="paragraph" w:styleId="Heading5">
    <w:name w:val="heading 5"/>
    <w:aliases w:val="ŠHeading 5"/>
    <w:basedOn w:val="Normal"/>
    <w:next w:val="Normal"/>
    <w:link w:val="Heading5Char"/>
    <w:uiPriority w:val="10"/>
    <w:unhideWhenUsed/>
    <w:qFormat/>
    <w:rsid w:val="003D4674"/>
    <w:pPr>
      <w:keepNext/>
      <w:keepLines/>
      <w:numPr>
        <w:ilvl w:val="4"/>
        <w:numId w:val="1"/>
      </w:numPr>
      <w:tabs>
        <w:tab w:val="left" w:pos="567"/>
        <w:tab w:val="left" w:pos="1134"/>
        <w:tab w:val="left" w:pos="1701"/>
        <w:tab w:val="left" w:pos="2268"/>
        <w:tab w:val="left" w:pos="2835"/>
        <w:tab w:val="left" w:pos="3402"/>
      </w:tabs>
      <w:ind w:left="0"/>
      <w:outlineLvl w:val="4"/>
    </w:pPr>
    <w:rPr>
      <w:rFonts w:eastAsia="SimSun" w:cs="Arial"/>
      <w:color w:val="041F42"/>
      <w:sz w:val="32"/>
      <w:lang w:eastAsia="zh-CN"/>
    </w:rPr>
  </w:style>
  <w:style w:type="paragraph" w:styleId="Heading6">
    <w:name w:val="heading 6"/>
    <w:aliases w:val="ŠHeading 6"/>
    <w:basedOn w:val="Normal"/>
    <w:next w:val="Normal"/>
    <w:link w:val="Heading6Char"/>
    <w:uiPriority w:val="99"/>
    <w:semiHidden/>
    <w:qFormat/>
    <w:rsid w:val="003D4674"/>
    <w:pPr>
      <w:keepNext/>
      <w:keepLines/>
      <w:numPr>
        <w:ilvl w:val="5"/>
        <w:numId w:val="1"/>
      </w:numPr>
      <w:ind w:left="0"/>
      <w:outlineLvl w:val="5"/>
    </w:pPr>
    <w:rPr>
      <w:rFonts w:eastAsiaTheme="majorEastAsia" w:cstheme="majorBidi"/>
      <w:sz w:val="28"/>
    </w:rPr>
  </w:style>
  <w:style w:type="paragraph" w:styleId="Heading7">
    <w:name w:val="heading 7"/>
    <w:basedOn w:val="Normal"/>
    <w:next w:val="Normal"/>
    <w:link w:val="Heading7Char"/>
    <w:uiPriority w:val="99"/>
    <w:semiHidden/>
    <w:qFormat/>
    <w:rsid w:val="003D467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9"/>
    <w:semiHidden/>
    <w:qFormat/>
    <w:rsid w:val="003D467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semiHidden/>
    <w:qFormat/>
    <w:rsid w:val="003D467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7"/>
    <w:rsid w:val="003D4674"/>
    <w:rPr>
      <w:rFonts w:ascii="Arial" w:eastAsia="SimSun" w:hAnsi="Arial" w:cs="Arial"/>
      <w:b/>
      <w:color w:val="1C438B"/>
      <w:sz w:val="48"/>
      <w:szCs w:val="36"/>
      <w:lang w:eastAsia="zh-CN"/>
    </w:rPr>
  </w:style>
  <w:style w:type="character" w:customStyle="1" w:styleId="Heading3Char">
    <w:name w:val="Heading 3 Char"/>
    <w:aliases w:val="ŠHeading 3 Char"/>
    <w:basedOn w:val="DefaultParagraphFont"/>
    <w:link w:val="Heading3"/>
    <w:uiPriority w:val="8"/>
    <w:rsid w:val="003D4674"/>
    <w:rPr>
      <w:rFonts w:ascii="Arial" w:eastAsia="SimSun" w:hAnsi="Arial" w:cs="Arial"/>
      <w:color w:val="1C438B"/>
      <w:sz w:val="40"/>
      <w:szCs w:val="40"/>
      <w:lang w:eastAsia="zh-CN"/>
    </w:rPr>
  </w:style>
  <w:style w:type="character" w:customStyle="1" w:styleId="Heading4Char">
    <w:name w:val="Heading 4 Char"/>
    <w:basedOn w:val="DefaultParagraphFont"/>
    <w:link w:val="Heading4"/>
    <w:uiPriority w:val="9"/>
    <w:rsid w:val="003D4674"/>
    <w:rPr>
      <w:rFonts w:ascii="Arial" w:eastAsia="SimSun" w:hAnsi="Arial" w:cs="Times New Roman"/>
      <w:color w:val="041F42"/>
      <w:sz w:val="36"/>
      <w:szCs w:val="32"/>
    </w:rPr>
  </w:style>
  <w:style w:type="character" w:customStyle="1" w:styleId="Heading5Char">
    <w:name w:val="Heading 5 Char"/>
    <w:basedOn w:val="DefaultParagraphFont"/>
    <w:link w:val="Heading5"/>
    <w:uiPriority w:val="10"/>
    <w:rsid w:val="003D4674"/>
    <w:rPr>
      <w:rFonts w:ascii="Arial" w:eastAsia="SimSun" w:hAnsi="Arial" w:cs="Arial"/>
      <w:color w:val="041F42"/>
      <w:sz w:val="32"/>
      <w:szCs w:val="24"/>
      <w:lang w:eastAsia="zh-CN"/>
    </w:rPr>
  </w:style>
  <w:style w:type="character" w:customStyle="1" w:styleId="Heading6Char">
    <w:name w:val="Heading 6 Char"/>
    <w:basedOn w:val="DefaultParagraphFont"/>
    <w:link w:val="Heading6"/>
    <w:uiPriority w:val="99"/>
    <w:semiHidden/>
    <w:rsid w:val="003D4674"/>
    <w:rPr>
      <w:rFonts w:ascii="Arial" w:eastAsiaTheme="majorEastAsia" w:hAnsi="Arial" w:cstheme="majorBidi"/>
      <w:sz w:val="28"/>
      <w:szCs w:val="24"/>
    </w:rPr>
  </w:style>
  <w:style w:type="character" w:customStyle="1" w:styleId="Heading7Char">
    <w:name w:val="Heading 7 Char"/>
    <w:basedOn w:val="DefaultParagraphFont"/>
    <w:link w:val="Heading7"/>
    <w:uiPriority w:val="99"/>
    <w:semiHidden/>
    <w:rsid w:val="003D4674"/>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9"/>
    <w:semiHidden/>
    <w:rsid w:val="003D46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semiHidden/>
    <w:rsid w:val="003D4674"/>
    <w:rPr>
      <w:rFonts w:asciiTheme="majorHAnsi" w:eastAsiaTheme="majorEastAsia" w:hAnsiTheme="majorHAnsi" w:cstheme="majorBidi"/>
      <w:i/>
      <w:iCs/>
      <w:color w:val="272727" w:themeColor="text1" w:themeTint="D8"/>
      <w:sz w:val="21"/>
      <w:szCs w:val="21"/>
    </w:rPr>
  </w:style>
  <w:style w:type="character" w:styleId="Hyperlink">
    <w:name w:val="Hyperlink"/>
    <w:aliases w:val="ŠHyperlink"/>
    <w:basedOn w:val="DefaultParagraphFont"/>
    <w:uiPriority w:val="99"/>
    <w:rsid w:val="003D4674"/>
    <w:rPr>
      <w:rFonts w:ascii="Arial" w:hAnsi="Arial"/>
      <w:color w:val="2F5496" w:themeColor="accent1" w:themeShade="BF"/>
      <w:sz w:val="24"/>
      <w:u w:val="single"/>
    </w:rPr>
  </w:style>
  <w:style w:type="table" w:customStyle="1" w:styleId="Tableheader">
    <w:name w:val="ŠTable header"/>
    <w:basedOn w:val="TableNormal"/>
    <w:uiPriority w:val="99"/>
    <w:rsid w:val="003D4674"/>
    <w:pPr>
      <w:widowControl w:val="0"/>
      <w:snapToGrid w:val="0"/>
      <w:spacing w:before="80" w:after="80" w:line="240" w:lineRule="auto"/>
      <w:mirrorIndents/>
    </w:pPr>
    <w:rPr>
      <w:rFonts w:ascii="Arial" w:hAnsi="Arial"/>
      <w:szCs w:val="24"/>
      <w:lang w:val="en-US"/>
    </w:rPr>
    <w:tblPr>
      <w:tblStyleRowBandSize w:val="1"/>
      <w:tblStyleColBandSize w:val="1"/>
    </w:tblPr>
    <w:tcPr>
      <w:shd w:val="clear" w:color="auto" w:fill="auto"/>
      <w:vAlign w:val="center"/>
    </w:tcPr>
    <w:tblStylePr w:type="firstRow">
      <w:pPr>
        <w:keepNext w:val="0"/>
        <w:keepLines w:val="0"/>
        <w:pageBreakBefore w:val="0"/>
        <w:widowControl w:val="0"/>
        <w:suppressLineNumbers w:val="0"/>
        <w:suppressAutoHyphens w:val="0"/>
        <w:wordWrap/>
        <w:adjustRightInd/>
        <w:snapToGrid w:val="0"/>
        <w:spacing w:beforeLines="0" w:before="80" w:beforeAutospacing="0" w:afterLines="0" w:after="80" w:afterAutospacing="0" w:line="240" w:lineRule="auto"/>
        <w:contextualSpacing w:val="0"/>
        <w:mirrorIndents/>
        <w:jc w:val="left"/>
        <w:textboxTightWrap w:val="allLines"/>
        <w:outlineLvl w:val="9"/>
      </w:pPr>
      <w:rPr>
        <w:rFonts w:ascii="Arial" w:hAnsi="Arial"/>
        <w:b/>
        <w:color w:val="FFFFFF" w:themeColor="background1"/>
        <w:sz w:val="22"/>
      </w:rPr>
      <w:tblPr/>
      <w:trPr>
        <w:cantSplit/>
        <w:tblHeader/>
      </w:trPr>
      <w:tcPr>
        <w:tcBorders>
          <w:top w:val="single" w:sz="24" w:space="0" w:color="1F3864" w:themeColor="accent1" w:themeShade="80"/>
          <w:left w:val="single" w:sz="24" w:space="0" w:color="1F3864" w:themeColor="accent1" w:themeShade="80"/>
          <w:bottom w:val="single" w:sz="24" w:space="0" w:color="C00000"/>
          <w:right w:val="single" w:sz="24" w:space="0" w:color="1F3864" w:themeColor="accent1" w:themeShade="80"/>
          <w:insideH w:val="single" w:sz="24" w:space="0" w:color="1F3864" w:themeColor="accent1" w:themeShade="80"/>
          <w:insideV w:val="single" w:sz="24" w:space="0" w:color="1F3864" w:themeColor="accent1" w:themeShade="80"/>
          <w:tl2br w:val="nil"/>
          <w:tr2bl w:val="nil"/>
        </w:tcBorders>
        <w:shd w:val="clear" w:color="auto" w:fill="1F3864" w:themeFill="accent1" w:themeFillShade="80"/>
      </w:tcPr>
    </w:tblStylePr>
    <w:tblStylePr w:type="lastRow">
      <w:pPr>
        <w:keepNext w:val="0"/>
        <w:keepLines w:val="0"/>
        <w:pageBreakBefore w:val="0"/>
        <w:widowControl w:val="0"/>
        <w:suppressLineNumbers w:val="0"/>
        <w:suppressAutoHyphens w:val="0"/>
        <w:wordWrap/>
        <w:adjustRightInd/>
        <w:snapToGrid w:val="0"/>
        <w:spacing w:line="240" w:lineRule="auto"/>
        <w:contextualSpacing w:val="0"/>
        <w:mirrorIndents/>
      </w:pPr>
    </w:tblStylePr>
    <w:tblStylePr w:type="firstCol">
      <w:pPr>
        <w:keepNext w:val="0"/>
        <w:keepLines w:val="0"/>
        <w:pageBreakBefore w:val="0"/>
        <w:widowControl w:val="0"/>
        <w:suppressLineNumbers w:val="0"/>
        <w:suppressAutoHyphens w:val="0"/>
        <w:wordWrap/>
        <w:adjustRightInd/>
        <w:snapToGrid w:val="0"/>
        <w:spacing w:beforeLines="0" w:before="80" w:beforeAutospacing="0" w:afterLines="0" w:after="80" w:afterAutospacing="0" w:line="240" w:lineRule="auto"/>
        <w:contextualSpacing w:val="0"/>
        <w:mirrorIndents/>
      </w:pPr>
      <w:rPr>
        <w:rFonts w:ascii="Arial" w:hAnsi="Arial"/>
        <w:b/>
        <w:sz w:val="22"/>
      </w:rPr>
    </w:tblStylePr>
    <w:tblStylePr w:type="lastCol">
      <w:pPr>
        <w:keepNext w:val="0"/>
        <w:keepLines w:val="0"/>
        <w:pageBreakBefore w:val="0"/>
        <w:widowControl w:val="0"/>
        <w:suppressLineNumbers w:val="0"/>
        <w:suppressAutoHyphens w:val="0"/>
        <w:wordWrap/>
        <w:adjustRightInd/>
        <w:snapToGrid w:val="0"/>
        <w:spacing w:line="240" w:lineRule="auto"/>
        <w:contextualSpacing w:val="0"/>
        <w:mirrorIndents/>
      </w:pPr>
    </w:tblStylePr>
    <w:tblStylePr w:type="band1Vert">
      <w:pPr>
        <w:keepNext w:val="0"/>
        <w:keepLines w:val="0"/>
        <w:pageBreakBefore w:val="0"/>
        <w:widowControl w:val="0"/>
        <w:suppressLineNumbers w:val="0"/>
        <w:suppressAutoHyphens w:val="0"/>
        <w:wordWrap/>
        <w:adjustRightInd/>
        <w:snapToGrid w:val="0"/>
        <w:spacing w:beforeLines="80" w:before="80" w:beforeAutospacing="0" w:afterLines="80" w:after="80" w:afterAutospacing="0" w:line="240" w:lineRule="auto"/>
        <w:contextualSpacing w:val="0"/>
        <w:mirrorIndents/>
      </w:pPr>
      <w:rPr>
        <w:rFonts w:ascii="Arial" w:hAnsi="Arial"/>
        <w:sz w:val="22"/>
      </w:rPr>
    </w:tblStylePr>
    <w:tblStylePr w:type="band2Vert">
      <w:pPr>
        <w:keepNext w:val="0"/>
        <w:keepLines w:val="0"/>
        <w:pageBreakBefore w:val="0"/>
        <w:widowControl w:val="0"/>
        <w:suppressLineNumbers w:val="0"/>
        <w:suppressAutoHyphens w:val="0"/>
        <w:wordWrap/>
        <w:adjustRightInd/>
        <w:snapToGrid w:val="0"/>
        <w:spacing w:beforeLines="80" w:before="80" w:beforeAutospacing="0" w:afterLines="80" w:after="80" w:afterAutospacing="0" w:line="240" w:lineRule="auto"/>
        <w:contextualSpacing w:val="0"/>
        <w:mirrorIndents/>
      </w:pPr>
    </w:tblStylePr>
    <w:tblStylePr w:type="band1Horz">
      <w:pPr>
        <w:keepNext w:val="0"/>
        <w:keepLines w:val="0"/>
        <w:pageBreakBefore w:val="0"/>
        <w:widowControl w:val="0"/>
        <w:suppressLineNumbers w:val="0"/>
        <w:suppressAutoHyphens w:val="0"/>
        <w:wordWrap/>
        <w:adjustRightInd/>
        <w:snapToGrid w:val="0"/>
        <w:spacing w:beforeLines="0" w:before="80" w:beforeAutospacing="0" w:afterLines="0" w:after="80" w:afterAutospacing="0" w:line="240" w:lineRule="auto"/>
        <w:contextualSpacing w:val="0"/>
        <w:mirrorIndents/>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pPr>
        <w:keepNext w:val="0"/>
        <w:keepLines w:val="0"/>
        <w:pageBreakBefore w:val="0"/>
        <w:widowControl w:val="0"/>
        <w:suppressLineNumbers w:val="0"/>
        <w:suppressAutoHyphens w:val="0"/>
        <w:wordWrap/>
        <w:adjustRightInd/>
        <w:snapToGrid w:val="0"/>
        <w:spacing w:beforeLines="0" w:before="80" w:beforeAutospacing="0" w:afterLines="0" w:after="80" w:afterAutospacing="0" w:line="240" w:lineRule="auto"/>
        <w:contextualSpacing w:val="0"/>
        <w:mirrorIndents/>
      </w:pPr>
      <w:rPr>
        <w:rFonts w:ascii="Arial" w:hAnsi="Arial"/>
        <w:color w:val="000000" w:themeColor="text1"/>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E7E6E6" w:themeFill="background2"/>
      </w:tcPr>
    </w:tblStylePr>
    <w:tblStylePr w:type="neCell">
      <w:pPr>
        <w:keepNext w:val="0"/>
        <w:keepLines w:val="0"/>
        <w:pageBreakBefore w:val="0"/>
        <w:widowControl w:val="0"/>
        <w:suppressLineNumbers w:val="0"/>
        <w:suppressAutoHyphens w:val="0"/>
        <w:wordWrap/>
        <w:adjustRightInd/>
        <w:snapToGrid w:val="0"/>
        <w:spacing w:beforeLines="80" w:before="80" w:beforeAutospacing="0" w:afterLines="80" w:after="80" w:afterAutospacing="0" w:line="240" w:lineRule="auto"/>
        <w:contextualSpacing w:val="0"/>
        <w:mirrorIndents/>
      </w:pPr>
    </w:tblStylePr>
    <w:tblStylePr w:type="nwCell">
      <w:pPr>
        <w:keepNext w:val="0"/>
        <w:keepLines w:val="0"/>
        <w:pageBreakBefore w:val="0"/>
        <w:widowControl w:val="0"/>
        <w:suppressLineNumbers w:val="0"/>
        <w:suppressAutoHyphens w:val="0"/>
        <w:wordWrap/>
        <w:adjustRightInd/>
        <w:snapToGrid w:val="0"/>
        <w:spacing w:beforeLines="80" w:before="80" w:beforeAutospacing="0" w:afterLines="80" w:after="80" w:afterAutospacing="0" w:line="240" w:lineRule="auto"/>
        <w:contextualSpacing w:val="0"/>
        <w:mirrorIndents/>
      </w:pPr>
    </w:tblStylePr>
    <w:tblStylePr w:type="seCell">
      <w:pPr>
        <w:keepNext w:val="0"/>
        <w:keepLines w:val="0"/>
        <w:pageBreakBefore w:val="0"/>
        <w:widowControl w:val="0"/>
        <w:suppressLineNumbers w:val="0"/>
        <w:suppressAutoHyphens w:val="0"/>
        <w:wordWrap/>
        <w:snapToGrid w:val="0"/>
        <w:spacing w:beforeLines="80" w:before="80" w:beforeAutospacing="0" w:afterLines="80" w:after="80" w:afterAutospacing="0" w:line="240" w:lineRule="auto"/>
        <w:contextualSpacing w:val="0"/>
      </w:pPr>
    </w:tblStylePr>
    <w:tblStylePr w:type="swCell">
      <w:pPr>
        <w:keepNext w:val="0"/>
        <w:keepLines w:val="0"/>
        <w:pageBreakBefore w:val="0"/>
        <w:widowControl w:val="0"/>
        <w:suppressLineNumbers w:val="0"/>
        <w:suppressAutoHyphens w:val="0"/>
        <w:wordWrap/>
        <w:adjustRightInd/>
        <w:snapToGrid w:val="0"/>
        <w:spacing w:beforeLines="80" w:before="80" w:beforeAutospacing="0" w:afterLines="80" w:after="80" w:afterAutospacing="0" w:line="240" w:lineRule="auto"/>
        <w:contextualSpacing w:val="0"/>
        <w:mirrorIndents/>
      </w:pPr>
    </w:tblStylePr>
  </w:style>
  <w:style w:type="character" w:styleId="Strong">
    <w:name w:val="Strong"/>
    <w:aliases w:val="ŠStrong bold,ŠStrong emphasis"/>
    <w:basedOn w:val="DefaultParagraphFont"/>
    <w:uiPriority w:val="22"/>
    <w:qFormat/>
    <w:rsid w:val="003D4674"/>
    <w:rPr>
      <w:rFonts w:ascii="Arial" w:hAnsi="Arial"/>
      <w:b/>
      <w:bCs/>
      <w:sz w:val="24"/>
    </w:rPr>
  </w:style>
  <w:style w:type="paragraph" w:styleId="ListBullet">
    <w:name w:val="List Bullet"/>
    <w:aliases w:val="ŠList 1 bullet"/>
    <w:basedOn w:val="ListNumber"/>
    <w:uiPriority w:val="12"/>
    <w:qFormat/>
    <w:rsid w:val="003D4674"/>
    <w:pPr>
      <w:adjustRightInd w:val="0"/>
      <w:snapToGrid w:val="0"/>
      <w:spacing w:before="80"/>
      <w:contextualSpacing w:val="0"/>
    </w:pPr>
  </w:style>
  <w:style w:type="paragraph" w:customStyle="1" w:styleId="FeatureBox2">
    <w:name w:val="Feature Box 2"/>
    <w:aliases w:val="ŠFeature Box 2"/>
    <w:basedOn w:val="Normal"/>
    <w:next w:val="Normal"/>
    <w:qFormat/>
    <w:rsid w:val="003D4674"/>
    <w:pPr>
      <w:pBdr>
        <w:top w:val="single" w:sz="24" w:space="10" w:color="FFFFFF" w:themeColor="background1"/>
        <w:left w:val="single" w:sz="24" w:space="10" w:color="FFFFFF" w:themeColor="background1"/>
        <w:bottom w:val="single" w:sz="24" w:space="10" w:color="FFFFFF" w:themeColor="background1"/>
        <w:right w:val="single" w:sz="24" w:space="10" w:color="FFFFFF" w:themeColor="background1"/>
      </w:pBdr>
      <w:shd w:val="clear" w:color="auto" w:fill="C8DBF0"/>
    </w:pPr>
    <w:rPr>
      <w:rFonts w:cs="Arial"/>
      <w:lang w:eastAsia="zh-CN"/>
    </w:rPr>
  </w:style>
  <w:style w:type="paragraph" w:customStyle="1" w:styleId="Tabletext">
    <w:name w:val="ŠTable text"/>
    <w:basedOn w:val="Normal"/>
    <w:uiPriority w:val="23"/>
    <w:qFormat/>
    <w:rsid w:val="003D4674"/>
    <w:pPr>
      <w:tabs>
        <w:tab w:val="left" w:pos="567"/>
        <w:tab w:val="left" w:pos="1134"/>
        <w:tab w:val="left" w:pos="1701"/>
        <w:tab w:val="left" w:pos="2268"/>
        <w:tab w:val="left" w:pos="2835"/>
        <w:tab w:val="left" w:pos="3402"/>
      </w:tabs>
      <w:spacing w:before="80" w:after="80" w:line="260" w:lineRule="atLeast"/>
    </w:pPr>
    <w:rPr>
      <w:rFonts w:eastAsia="SimSun" w:cs="Times New Roman"/>
      <w:sz w:val="22"/>
      <w:szCs w:val="20"/>
      <w:lang w:eastAsia="zh-CN"/>
    </w:rPr>
  </w:style>
  <w:style w:type="paragraph" w:customStyle="1" w:styleId="Tableheading">
    <w:name w:val="ŠTable heading"/>
    <w:basedOn w:val="Normal"/>
    <w:uiPriority w:val="20"/>
    <w:qFormat/>
    <w:rsid w:val="003D4674"/>
    <w:pPr>
      <w:keepNext/>
      <w:keepLines/>
      <w:tabs>
        <w:tab w:val="left" w:pos="567"/>
        <w:tab w:val="left" w:pos="1134"/>
        <w:tab w:val="left" w:pos="1701"/>
        <w:tab w:val="left" w:pos="2268"/>
        <w:tab w:val="left" w:pos="2835"/>
        <w:tab w:val="left" w:pos="3402"/>
      </w:tabs>
      <w:spacing w:before="80" w:after="80" w:line="260" w:lineRule="atLeast"/>
    </w:pPr>
    <w:rPr>
      <w:rFonts w:eastAsia="SimSun" w:cs="Times New Roman"/>
      <w:b/>
      <w:sz w:val="22"/>
      <w:szCs w:val="20"/>
      <w:lang w:eastAsia="zh-CN"/>
    </w:rPr>
  </w:style>
  <w:style w:type="paragraph" w:styleId="ListNumber">
    <w:name w:val="List Number"/>
    <w:basedOn w:val="Normal"/>
    <w:uiPriority w:val="99"/>
    <w:semiHidden/>
    <w:unhideWhenUsed/>
    <w:rsid w:val="003D4674"/>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neysmart.gov.au/teaching-resources/consumer-righ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iRakzWL_9k&amp;feature=youtu.be" TargetMode="External"/><Relationship Id="rId5" Type="http://schemas.openxmlformats.org/officeDocument/2006/relationships/hyperlink" Target="https://www.accc.gov.au/consumers/consumer-rights-guarante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2739</Characters>
  <Application>Microsoft Office Word</Application>
  <DocSecurity>0</DocSecurity>
  <Lines>22</Lines>
  <Paragraphs>6</Paragraphs>
  <ScaleCrop>false</ScaleCrop>
  <Company>Department of Education</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SHERIDAN Ellie [Narrogin Senior High School]</dc:creator>
  <cp:keywords/>
  <dc:description/>
  <cp:lastModifiedBy>SHERIDAN Ellie [Narrogin Senior High School]</cp:lastModifiedBy>
  <cp:revision>1</cp:revision>
  <dcterms:created xsi:type="dcterms:W3CDTF">2022-05-07T13:03:00Z</dcterms:created>
  <dcterms:modified xsi:type="dcterms:W3CDTF">2022-05-07T13:03:00Z</dcterms:modified>
</cp:coreProperties>
</file>