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2CC" w:rsidRDefault="007D12CC" w:rsidP="007D12CC">
      <w:pPr>
        <w:tabs>
          <w:tab w:val="left" w:pos="1020"/>
        </w:tabs>
        <w:jc w:val="center"/>
        <w:rPr>
          <w:rFonts w:ascii="Arial" w:hAnsi="Arial" w:cs="Arial"/>
          <w:b/>
          <w:u w:val="single"/>
        </w:rPr>
      </w:pPr>
      <w:r w:rsidRPr="003B2C49">
        <w:rPr>
          <w:rFonts w:ascii="Arial" w:hAnsi="Arial" w:cs="Arial"/>
          <w:b/>
          <w:noProof/>
          <w:u w:val="single"/>
          <w:lang w:eastAsia="en-AU"/>
        </w:rPr>
        <mc:AlternateContent>
          <mc:Choice Requires="wps">
            <w:drawing>
              <wp:anchor distT="0" distB="0" distL="114300" distR="114300" simplePos="0" relativeHeight="251660288" behindDoc="0" locked="0" layoutInCell="1" allowOverlap="1" wp14:anchorId="1AD26887" wp14:editId="1500C967">
                <wp:simplePos x="0" y="0"/>
                <wp:positionH relativeFrom="column">
                  <wp:posOffset>1047750</wp:posOffset>
                </wp:positionH>
                <wp:positionV relativeFrom="paragraph">
                  <wp:posOffset>-619125</wp:posOffset>
                </wp:positionV>
                <wp:extent cx="3314700" cy="397510"/>
                <wp:effectExtent l="0" t="0" r="1905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97510"/>
                        </a:xfrm>
                        <a:prstGeom prst="rect">
                          <a:avLst/>
                        </a:prstGeom>
                        <a:solidFill>
                          <a:srgbClr val="FFFFFF"/>
                        </a:solidFill>
                        <a:ln w="9525">
                          <a:solidFill>
                            <a:srgbClr val="000000"/>
                          </a:solidFill>
                          <a:miter lim="800000"/>
                          <a:headEnd/>
                          <a:tailEnd/>
                        </a:ln>
                      </wps:spPr>
                      <wps:txbx>
                        <w:txbxContent>
                          <w:p w:rsidR="007D12CC" w:rsidRPr="003B2C49" w:rsidRDefault="007D12CC" w:rsidP="007D12CC">
                            <w:pPr>
                              <w:rPr>
                                <w:rFonts w:ascii="Arial" w:hAnsi="Arial" w:cs="Arial"/>
                                <w:b/>
                              </w:rPr>
                            </w:pPr>
                            <w:r w:rsidRPr="003B2C49">
                              <w:rPr>
                                <w:rFonts w:ascii="Arial" w:hAnsi="Arial" w:cs="Arial"/>
                                <w:b/>
                              </w:rPr>
                              <w:t xml:space="preserve">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2.5pt;margin-top:-48.75pt;width:261pt;height:3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">
                <v:textbox>
                  <w:txbxContent>
                    <w:p w:rsidR="007D12CC" w:rsidRPr="003B2C49" w:rsidRDefault="007D12CC" w:rsidP="007D12CC">
                      <w:pPr>
                        <w:rPr>
                          <w:rFonts w:ascii="Arial" w:hAnsi="Arial" w:cs="Arial"/>
                          <w:b/>
                        </w:rPr>
                      </w:pPr>
                      <w:r w:rsidRPr="003B2C49">
                        <w:rPr>
                          <w:rFonts w:ascii="Arial" w:hAnsi="Arial" w:cs="Arial"/>
                          <w:b/>
                        </w:rPr>
                        <w:t xml:space="preserve">Name: </w:t>
                      </w:r>
                    </w:p>
                  </w:txbxContent>
                </v:textbox>
              </v:shape>
            </w:pict>
          </mc:Fallback>
        </mc:AlternateContent>
      </w:r>
      <w:r>
        <w:rPr>
          <w:rFonts w:ascii="Arial" w:hAnsi="Arial" w:cs="Arial"/>
          <w:b/>
          <w:noProof/>
          <w:sz w:val="40"/>
          <w:szCs w:val="40"/>
          <w:lang w:eastAsia="en-AU"/>
        </w:rPr>
        <mc:AlternateContent>
          <mc:Choice Requires="wps">
            <w:drawing>
              <wp:anchor distT="0" distB="0" distL="114300" distR="114300" simplePos="0" relativeHeight="251659264" behindDoc="0" locked="0" layoutInCell="1" allowOverlap="1" wp14:anchorId="5A3B3D66" wp14:editId="2DAF48C0">
                <wp:simplePos x="0" y="0"/>
                <wp:positionH relativeFrom="column">
                  <wp:posOffset>971550</wp:posOffset>
                </wp:positionH>
                <wp:positionV relativeFrom="paragraph">
                  <wp:posOffset>6800850</wp:posOffset>
                </wp:positionV>
                <wp:extent cx="1019175" cy="18954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019175" cy="189547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26" style="position:absolute;margin-left:76.5pt;margin-top:535.5pt;width:80.25pt;height:14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" fillcolor="window" strokecolor="window" strokeweight="2pt"/>
            </w:pict>
          </mc:Fallback>
        </mc:AlternateContent>
      </w:r>
      <w:r>
        <w:rPr>
          <w:rFonts w:ascii="Arial" w:hAnsi="Arial" w:cs="Arial"/>
          <w:b/>
          <w:noProof/>
          <w:sz w:val="40"/>
          <w:szCs w:val="40"/>
          <w:lang w:eastAsia="en-AU"/>
        </w:rPr>
        <w:drawing>
          <wp:inline distT="0" distB="0" distL="0" distR="0" wp14:anchorId="3886A74C" wp14:editId="20CCD545">
            <wp:extent cx="6181725" cy="885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8858250"/>
                    </a:xfrm>
                    <a:prstGeom prst="rect">
                      <a:avLst/>
                    </a:prstGeom>
                    <a:noFill/>
                  </pic:spPr>
                </pic:pic>
              </a:graphicData>
            </a:graphic>
          </wp:inline>
        </w:drawing>
      </w:r>
    </w:p>
    <w:p w:rsidR="007D12CC" w:rsidRPr="003B2C49" w:rsidRDefault="007D12CC" w:rsidP="007D12CC">
      <w:pPr>
        <w:pStyle w:val="ListParagraph"/>
        <w:numPr>
          <w:ilvl w:val="0"/>
          <w:numId w:val="1"/>
        </w:numPr>
        <w:tabs>
          <w:tab w:val="left" w:pos="1020"/>
        </w:tabs>
        <w:rPr>
          <w:rFonts w:ascii="Arial" w:hAnsi="Arial" w:cs="Arial"/>
        </w:rPr>
      </w:pPr>
      <w:r w:rsidRPr="003B2C49">
        <w:rPr>
          <w:rFonts w:ascii="Arial" w:hAnsi="Arial" w:cs="Arial"/>
          <w:b/>
        </w:rPr>
        <w:lastRenderedPageBreak/>
        <w:t>Complete</w:t>
      </w:r>
      <w:r>
        <w:rPr>
          <w:rFonts w:ascii="Arial" w:hAnsi="Arial" w:cs="Arial"/>
        </w:rPr>
        <w:t xml:space="preserve"> the graphic organiser on the reverse of this page using the information provided below. Label each level of the hierarchy and choose a key feature and one role of each level to put in the space next to the correct level on the hierarchy. Be sure to label the arrows.              </w:t>
      </w:r>
      <w:r>
        <w:rPr>
          <w:rFonts w:ascii="Arial" w:hAnsi="Arial" w:cs="Arial"/>
        </w:rPr>
        <w:tab/>
        <w:t xml:space="preserve">(13 marks) </w:t>
      </w:r>
    </w:p>
    <w:p w:rsidR="007D12CC" w:rsidRDefault="007D12CC" w:rsidP="007D12CC">
      <w:pPr>
        <w:tabs>
          <w:tab w:val="left" w:pos="1020"/>
        </w:tabs>
        <w:jc w:val="center"/>
        <w:rPr>
          <w:rFonts w:ascii="Arial" w:hAnsi="Arial" w:cs="Arial"/>
          <w:b/>
          <w:u w:val="single"/>
        </w:rPr>
      </w:pPr>
    </w:p>
    <w:p w:rsidR="007D12CC" w:rsidRDefault="007D12CC" w:rsidP="007D12CC">
      <w:pPr>
        <w:tabs>
          <w:tab w:val="left" w:pos="1020"/>
        </w:tabs>
        <w:jc w:val="center"/>
        <w:rPr>
          <w:rFonts w:ascii="Arial" w:hAnsi="Arial" w:cs="Arial"/>
          <w:b/>
          <w:u w:val="single"/>
        </w:rPr>
      </w:pPr>
    </w:p>
    <w:p w:rsidR="007D12CC" w:rsidRPr="00A651C7" w:rsidRDefault="007D12CC" w:rsidP="007D12CC">
      <w:pPr>
        <w:tabs>
          <w:tab w:val="left" w:pos="1020"/>
        </w:tabs>
        <w:rPr>
          <w:rFonts w:ascii="Arial" w:hAnsi="Arial" w:cs="Arial"/>
          <w:b/>
          <w:u w:val="single"/>
        </w:rPr>
      </w:pPr>
      <w:r>
        <w:rPr>
          <w:rFonts w:ascii="Arial" w:hAnsi="Arial" w:cs="Arial"/>
          <w:b/>
          <w:u w:val="single"/>
        </w:rPr>
        <w:t xml:space="preserve">Australian Court System </w:t>
      </w:r>
    </w:p>
    <w:p w:rsidR="007D12CC" w:rsidRPr="00A651C7" w:rsidRDefault="007D12CC" w:rsidP="007D12CC">
      <w:pPr>
        <w:tabs>
          <w:tab w:val="left" w:pos="1020"/>
        </w:tabs>
        <w:jc w:val="center"/>
        <w:rPr>
          <w:rFonts w:ascii="Arial" w:hAnsi="Arial" w:cs="Arial"/>
          <w:b/>
        </w:rPr>
      </w:pPr>
    </w:p>
    <w:p w:rsidR="007D12CC" w:rsidRPr="00A651C7" w:rsidRDefault="007D12CC" w:rsidP="007D12CC">
      <w:pPr>
        <w:tabs>
          <w:tab w:val="left" w:pos="1020"/>
        </w:tabs>
        <w:rPr>
          <w:rFonts w:ascii="Arial" w:hAnsi="Arial" w:cs="Arial"/>
          <w:b/>
        </w:rPr>
      </w:pPr>
    </w:p>
    <w:p w:rsidR="007D12CC" w:rsidRPr="00A651C7" w:rsidRDefault="007D12CC" w:rsidP="007D12CC">
      <w:pPr>
        <w:tabs>
          <w:tab w:val="left" w:pos="1020"/>
        </w:tabs>
        <w:rPr>
          <w:rFonts w:ascii="Arial" w:hAnsi="Arial" w:cs="Arial"/>
          <w:b/>
          <w:u w:val="single"/>
        </w:rPr>
      </w:pPr>
      <w:r w:rsidRPr="00A651C7">
        <w:rPr>
          <w:rFonts w:ascii="Arial" w:hAnsi="Arial" w:cs="Arial"/>
          <w:b/>
          <w:u w:val="single"/>
        </w:rPr>
        <w:t xml:space="preserve">The Magistrates Court </w:t>
      </w:r>
    </w:p>
    <w:p w:rsidR="007D12CC" w:rsidRPr="00A651C7" w:rsidRDefault="007D12CC" w:rsidP="007D12CC">
      <w:pPr>
        <w:tabs>
          <w:tab w:val="left" w:pos="1020"/>
        </w:tabs>
        <w:rPr>
          <w:rFonts w:ascii="Arial" w:hAnsi="Arial" w:cs="Arial"/>
        </w:rPr>
      </w:pPr>
      <w:r>
        <w:rPr>
          <w:rFonts w:ascii="Arial" w:hAnsi="Arial" w:cs="Arial"/>
        </w:rPr>
        <w:t>This C</w:t>
      </w:r>
      <w:r w:rsidRPr="00A651C7">
        <w:rPr>
          <w:rFonts w:ascii="Arial" w:hAnsi="Arial" w:cs="Arial"/>
        </w:rPr>
        <w:t>ourt makes rulings on minor criminal cases, especially those without a need for a jury such as traffic infringements</w:t>
      </w:r>
      <w:r>
        <w:rPr>
          <w:rFonts w:ascii="Arial" w:hAnsi="Arial" w:cs="Arial"/>
        </w:rPr>
        <w:t xml:space="preserve"> and theft from someone’s property</w:t>
      </w:r>
      <w:r w:rsidRPr="00A651C7">
        <w:rPr>
          <w:rFonts w:ascii="Arial" w:hAnsi="Arial" w:cs="Arial"/>
        </w:rPr>
        <w:t xml:space="preserve">. These minor criminal cases are also known as ‘summary offences’ or ‘simple offences’. The Magistrates Court can also hear civil </w:t>
      </w:r>
      <w:r>
        <w:rPr>
          <w:rFonts w:ascii="Arial" w:hAnsi="Arial" w:cs="Arial"/>
        </w:rPr>
        <w:t>cases involving amounts</w:t>
      </w:r>
      <w:r w:rsidRPr="00A651C7">
        <w:rPr>
          <w:rFonts w:ascii="Arial" w:hAnsi="Arial" w:cs="Arial"/>
        </w:rPr>
        <w:t xml:space="preserve"> under $75,000. </w:t>
      </w:r>
    </w:p>
    <w:p w:rsidR="007D12CC" w:rsidRPr="00A651C7" w:rsidRDefault="007D12CC" w:rsidP="007D12CC">
      <w:pPr>
        <w:tabs>
          <w:tab w:val="left" w:pos="1020"/>
        </w:tabs>
        <w:rPr>
          <w:rFonts w:ascii="Arial" w:hAnsi="Arial" w:cs="Arial"/>
          <w:b/>
          <w:u w:val="single"/>
        </w:rPr>
      </w:pPr>
    </w:p>
    <w:p w:rsidR="007D12CC" w:rsidRPr="00A651C7" w:rsidRDefault="007D12CC" w:rsidP="007D12CC">
      <w:pPr>
        <w:tabs>
          <w:tab w:val="left" w:pos="1020"/>
        </w:tabs>
        <w:rPr>
          <w:rFonts w:ascii="Arial" w:hAnsi="Arial" w:cs="Arial"/>
          <w:b/>
          <w:u w:val="single"/>
        </w:rPr>
      </w:pPr>
    </w:p>
    <w:p w:rsidR="007D12CC" w:rsidRPr="00A651C7" w:rsidRDefault="007D12CC" w:rsidP="007D12CC">
      <w:pPr>
        <w:tabs>
          <w:tab w:val="left" w:pos="1020"/>
        </w:tabs>
        <w:rPr>
          <w:rFonts w:ascii="Arial" w:hAnsi="Arial" w:cs="Arial"/>
          <w:b/>
          <w:u w:val="single"/>
        </w:rPr>
      </w:pPr>
    </w:p>
    <w:p w:rsidR="007D12CC" w:rsidRPr="00A651C7" w:rsidRDefault="007D12CC" w:rsidP="007D12CC">
      <w:pPr>
        <w:tabs>
          <w:tab w:val="left" w:pos="1020"/>
        </w:tabs>
        <w:rPr>
          <w:rFonts w:ascii="Arial" w:hAnsi="Arial" w:cs="Arial"/>
          <w:b/>
          <w:u w:val="single"/>
        </w:rPr>
      </w:pPr>
      <w:r w:rsidRPr="00A651C7">
        <w:rPr>
          <w:rFonts w:ascii="Arial" w:hAnsi="Arial" w:cs="Arial"/>
          <w:b/>
          <w:u w:val="single"/>
        </w:rPr>
        <w:t xml:space="preserve">The High Court </w:t>
      </w:r>
    </w:p>
    <w:p w:rsidR="007D12CC" w:rsidRPr="00A651C7" w:rsidRDefault="007D12CC" w:rsidP="007D12CC">
      <w:pPr>
        <w:tabs>
          <w:tab w:val="left" w:pos="1020"/>
        </w:tabs>
        <w:rPr>
          <w:rFonts w:ascii="Arial" w:hAnsi="Arial" w:cs="Arial"/>
        </w:rPr>
      </w:pPr>
      <w:r w:rsidRPr="00A651C7">
        <w:rPr>
          <w:rFonts w:ascii="Arial" w:hAnsi="Arial" w:cs="Arial"/>
        </w:rPr>
        <w:t xml:space="preserve">The High Court is the last court of Appeal in Australia. It can hear cases on appeal from other courts as well as original cases. This is known as Original jurisdiction. The High Court’s most important role is in interpreting the Constitution and decides whether laws passed act in agreement with the Constitution. It also has a role in resolving disputes between the states. It can hear cases on both Civil and Criminal law. A panel of 7 judges sits on the High Court and they are selected by the federal government. </w:t>
      </w:r>
    </w:p>
    <w:p w:rsidR="007D12CC" w:rsidRPr="00A651C7" w:rsidRDefault="007D12CC" w:rsidP="007D12CC">
      <w:pPr>
        <w:tabs>
          <w:tab w:val="left" w:pos="1020"/>
        </w:tabs>
        <w:rPr>
          <w:rFonts w:ascii="Arial" w:hAnsi="Arial" w:cs="Arial"/>
          <w:b/>
          <w:u w:val="single"/>
        </w:rPr>
      </w:pPr>
    </w:p>
    <w:p w:rsidR="007D12CC" w:rsidRPr="00A651C7" w:rsidRDefault="007D12CC" w:rsidP="007D12CC">
      <w:pPr>
        <w:tabs>
          <w:tab w:val="left" w:pos="1020"/>
        </w:tabs>
        <w:rPr>
          <w:rFonts w:ascii="Arial" w:hAnsi="Arial" w:cs="Arial"/>
          <w:b/>
          <w:u w:val="single"/>
        </w:rPr>
      </w:pPr>
    </w:p>
    <w:p w:rsidR="007D12CC" w:rsidRPr="00A651C7" w:rsidRDefault="007D12CC" w:rsidP="007D12CC">
      <w:pPr>
        <w:tabs>
          <w:tab w:val="left" w:pos="1020"/>
        </w:tabs>
        <w:rPr>
          <w:rFonts w:ascii="Arial" w:hAnsi="Arial" w:cs="Arial"/>
          <w:b/>
          <w:u w:val="single"/>
        </w:rPr>
      </w:pPr>
    </w:p>
    <w:p w:rsidR="007D12CC" w:rsidRPr="00A651C7" w:rsidRDefault="007D12CC" w:rsidP="007D12CC">
      <w:pPr>
        <w:tabs>
          <w:tab w:val="left" w:pos="1020"/>
        </w:tabs>
        <w:rPr>
          <w:rFonts w:ascii="Arial" w:hAnsi="Arial" w:cs="Arial"/>
          <w:b/>
          <w:u w:val="single"/>
        </w:rPr>
      </w:pPr>
      <w:r w:rsidRPr="00A651C7">
        <w:rPr>
          <w:rFonts w:ascii="Arial" w:hAnsi="Arial" w:cs="Arial"/>
          <w:b/>
          <w:u w:val="single"/>
        </w:rPr>
        <w:t xml:space="preserve">The Supreme Court </w:t>
      </w:r>
    </w:p>
    <w:p w:rsidR="007D12CC" w:rsidRPr="00A651C7" w:rsidRDefault="007D12CC" w:rsidP="007D12CC">
      <w:pPr>
        <w:tabs>
          <w:tab w:val="left" w:pos="1020"/>
        </w:tabs>
        <w:rPr>
          <w:rFonts w:ascii="Arial" w:hAnsi="Arial" w:cs="Arial"/>
        </w:rPr>
      </w:pPr>
      <w:r w:rsidRPr="00A651C7">
        <w:rPr>
          <w:rFonts w:ascii="Arial" w:hAnsi="Arial" w:cs="Arial"/>
        </w:rPr>
        <w:t xml:space="preserve">This Court deals with the most serious criminal cases such as murder or any offence that carries a life sentence in prison. It also deals with the more serious civil cases involving claims above $750,000. It can hear cases from all the courts below it in the hierarchy, and has a separate court within it called the Appeals division. </w:t>
      </w:r>
    </w:p>
    <w:p w:rsidR="007D12CC" w:rsidRPr="00A651C7" w:rsidRDefault="007D12CC" w:rsidP="007D12CC">
      <w:pPr>
        <w:tabs>
          <w:tab w:val="left" w:pos="1020"/>
        </w:tabs>
        <w:rPr>
          <w:rFonts w:ascii="Arial" w:hAnsi="Arial" w:cs="Arial"/>
          <w:b/>
          <w:u w:val="single"/>
        </w:rPr>
      </w:pPr>
    </w:p>
    <w:p w:rsidR="007D12CC" w:rsidRPr="00A651C7" w:rsidRDefault="007D12CC" w:rsidP="007D12CC">
      <w:pPr>
        <w:tabs>
          <w:tab w:val="left" w:pos="1020"/>
        </w:tabs>
        <w:rPr>
          <w:rFonts w:ascii="Arial" w:hAnsi="Arial" w:cs="Arial"/>
          <w:b/>
          <w:u w:val="single"/>
        </w:rPr>
      </w:pPr>
    </w:p>
    <w:p w:rsidR="007D12CC" w:rsidRPr="00A651C7" w:rsidRDefault="007D12CC" w:rsidP="007D12CC">
      <w:pPr>
        <w:tabs>
          <w:tab w:val="left" w:pos="1020"/>
        </w:tabs>
        <w:rPr>
          <w:rFonts w:ascii="Arial" w:hAnsi="Arial" w:cs="Arial"/>
          <w:b/>
          <w:u w:val="single"/>
        </w:rPr>
      </w:pPr>
      <w:r w:rsidRPr="00A651C7">
        <w:rPr>
          <w:rFonts w:ascii="Arial" w:hAnsi="Arial" w:cs="Arial"/>
          <w:b/>
          <w:u w:val="single"/>
        </w:rPr>
        <w:t xml:space="preserve">The District Court </w:t>
      </w:r>
      <w:r>
        <w:rPr>
          <w:rFonts w:ascii="Arial" w:hAnsi="Arial" w:cs="Arial"/>
          <w:b/>
          <w:u w:val="single"/>
        </w:rPr>
        <w:t xml:space="preserve">or County Court </w:t>
      </w:r>
    </w:p>
    <w:p w:rsidR="007D12CC" w:rsidRPr="00A651C7" w:rsidRDefault="007D12CC" w:rsidP="007D12CC">
      <w:pPr>
        <w:tabs>
          <w:tab w:val="left" w:pos="1020"/>
        </w:tabs>
        <w:rPr>
          <w:rFonts w:ascii="Arial" w:hAnsi="Arial" w:cs="Arial"/>
        </w:rPr>
      </w:pPr>
      <w:r w:rsidRPr="00A651C7">
        <w:rPr>
          <w:rFonts w:ascii="Arial" w:hAnsi="Arial" w:cs="Arial"/>
        </w:rPr>
        <w:t xml:space="preserve">This Court is also able to deal with serious and complex criminal cases such as armed robbery but not cases such as murder. This is because the court cannot hear matters that impose a life sentence. It can also hear civil cases that medium level and are claims between $75,000 and $750,000. </w:t>
      </w:r>
    </w:p>
    <w:p w:rsidR="007D12CC" w:rsidRDefault="007D12CC" w:rsidP="007D12CC">
      <w:pPr>
        <w:tabs>
          <w:tab w:val="left" w:pos="1020"/>
        </w:tabs>
        <w:rPr>
          <w:rFonts w:ascii="Arial" w:hAnsi="Arial" w:cs="Arial"/>
          <w:b/>
          <w:sz w:val="40"/>
          <w:szCs w:val="40"/>
        </w:rPr>
      </w:pPr>
    </w:p>
    <w:p w:rsidR="007D12CC" w:rsidRDefault="007D12CC" w:rsidP="007D12CC">
      <w:pPr>
        <w:tabs>
          <w:tab w:val="left" w:pos="1020"/>
        </w:tabs>
        <w:rPr>
          <w:rFonts w:ascii="Arial" w:hAnsi="Arial" w:cs="Arial"/>
          <w:b/>
          <w:sz w:val="40"/>
          <w:szCs w:val="40"/>
        </w:rPr>
      </w:pPr>
    </w:p>
    <w:p w:rsidR="007D12CC" w:rsidRDefault="007D12CC" w:rsidP="007D12CC">
      <w:pPr>
        <w:tabs>
          <w:tab w:val="left" w:pos="1020"/>
        </w:tabs>
        <w:rPr>
          <w:rFonts w:ascii="Arial" w:hAnsi="Arial" w:cs="Arial"/>
          <w:b/>
          <w:sz w:val="40"/>
          <w:szCs w:val="40"/>
        </w:rPr>
      </w:pPr>
    </w:p>
    <w:p w:rsidR="007D12CC" w:rsidRDefault="007D12CC" w:rsidP="007D12CC">
      <w:pPr>
        <w:rPr>
          <w:rFonts w:ascii="Arial" w:hAnsi="Arial" w:cs="Arial"/>
          <w:sz w:val="36"/>
          <w:szCs w:val="36"/>
        </w:rPr>
      </w:pPr>
    </w:p>
    <w:p w:rsidR="007D12CC" w:rsidRDefault="007D12CC" w:rsidP="007D12CC">
      <w:pPr>
        <w:rPr>
          <w:rFonts w:ascii="Arial" w:hAnsi="Arial" w:cs="Arial"/>
          <w:sz w:val="36"/>
          <w:szCs w:val="36"/>
        </w:rPr>
      </w:pPr>
    </w:p>
    <w:p w:rsidR="007D12CC" w:rsidRDefault="007D12CC" w:rsidP="007D12CC">
      <w:pPr>
        <w:rPr>
          <w:rFonts w:ascii="Arial" w:hAnsi="Arial" w:cs="Arial"/>
          <w:sz w:val="36"/>
          <w:szCs w:val="36"/>
        </w:rPr>
      </w:pPr>
    </w:p>
    <w:p w:rsidR="00597911" w:rsidRDefault="007D12CC">
      <w:bookmarkStart w:id="0" w:name="_GoBack"/>
      <w:bookmarkEnd w:id="0"/>
    </w:p>
    <w:sectPr w:rsidR="00597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86A61"/>
    <w:multiLevelType w:val="hybridMultilevel"/>
    <w:tmpl w:val="FC86649C"/>
    <w:lvl w:ilvl="0" w:tplc="A36252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2CC"/>
    <w:rsid w:val="00086CC1"/>
    <w:rsid w:val="00131914"/>
    <w:rsid w:val="0014321F"/>
    <w:rsid w:val="0016372F"/>
    <w:rsid w:val="001D0EE1"/>
    <w:rsid w:val="001E46FB"/>
    <w:rsid w:val="001F0541"/>
    <w:rsid w:val="002A5D67"/>
    <w:rsid w:val="002C19EB"/>
    <w:rsid w:val="00352BC7"/>
    <w:rsid w:val="00353C5A"/>
    <w:rsid w:val="00450B00"/>
    <w:rsid w:val="004C15FF"/>
    <w:rsid w:val="004D0AF5"/>
    <w:rsid w:val="004D506E"/>
    <w:rsid w:val="005B3FF2"/>
    <w:rsid w:val="00633373"/>
    <w:rsid w:val="006971FF"/>
    <w:rsid w:val="007079A9"/>
    <w:rsid w:val="007418F4"/>
    <w:rsid w:val="007D12CC"/>
    <w:rsid w:val="00872F8E"/>
    <w:rsid w:val="008C5824"/>
    <w:rsid w:val="009314E9"/>
    <w:rsid w:val="00946E4D"/>
    <w:rsid w:val="0098464D"/>
    <w:rsid w:val="00B03EEF"/>
    <w:rsid w:val="00B41FA6"/>
    <w:rsid w:val="00BF30FF"/>
    <w:rsid w:val="00CA1F62"/>
    <w:rsid w:val="00CF0A12"/>
    <w:rsid w:val="00DF55D5"/>
    <w:rsid w:val="00E256FB"/>
    <w:rsid w:val="00F01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2CC"/>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2CC"/>
    <w:pPr>
      <w:ind w:left="720"/>
      <w:contextualSpacing/>
    </w:pPr>
  </w:style>
  <w:style w:type="paragraph" w:styleId="BalloonText">
    <w:name w:val="Balloon Text"/>
    <w:basedOn w:val="Normal"/>
    <w:link w:val="BalloonTextChar"/>
    <w:uiPriority w:val="99"/>
    <w:semiHidden/>
    <w:unhideWhenUsed/>
    <w:rsid w:val="007D12CC"/>
    <w:rPr>
      <w:rFonts w:ascii="Tahoma" w:hAnsi="Tahoma" w:cs="Tahoma"/>
      <w:sz w:val="16"/>
      <w:szCs w:val="16"/>
    </w:rPr>
  </w:style>
  <w:style w:type="character" w:customStyle="1" w:styleId="BalloonTextChar">
    <w:name w:val="Balloon Text Char"/>
    <w:basedOn w:val="DefaultParagraphFont"/>
    <w:link w:val="BalloonText"/>
    <w:uiPriority w:val="99"/>
    <w:semiHidden/>
    <w:rsid w:val="007D12CC"/>
    <w:rPr>
      <w:rFonts w:ascii="Tahoma" w:eastAsia="MS Minch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2CC"/>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2CC"/>
    <w:pPr>
      <w:ind w:left="720"/>
      <w:contextualSpacing/>
    </w:pPr>
  </w:style>
  <w:style w:type="paragraph" w:styleId="BalloonText">
    <w:name w:val="Balloon Text"/>
    <w:basedOn w:val="Normal"/>
    <w:link w:val="BalloonTextChar"/>
    <w:uiPriority w:val="99"/>
    <w:semiHidden/>
    <w:unhideWhenUsed/>
    <w:rsid w:val="007D12CC"/>
    <w:rPr>
      <w:rFonts w:ascii="Tahoma" w:hAnsi="Tahoma" w:cs="Tahoma"/>
      <w:sz w:val="16"/>
      <w:szCs w:val="16"/>
    </w:rPr>
  </w:style>
  <w:style w:type="character" w:customStyle="1" w:styleId="BalloonTextChar">
    <w:name w:val="Balloon Text Char"/>
    <w:basedOn w:val="DefaultParagraphFont"/>
    <w:link w:val="BalloonText"/>
    <w:uiPriority w:val="99"/>
    <w:semiHidden/>
    <w:rsid w:val="007D12CC"/>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5A5D1212</Template>
  <TotalTime>1</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GOODWIN Nina</dc:creator>
  <cp:lastModifiedBy>GOODWIN Nina</cp:lastModifiedBy>
  <cp:revision>1</cp:revision>
  <dcterms:created xsi:type="dcterms:W3CDTF">2017-05-19T03:20:00Z</dcterms:created>
  <dcterms:modified xsi:type="dcterms:W3CDTF">2017-05-19T03:21:00Z</dcterms:modified>
</cp:coreProperties>
</file>