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6920A6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F4BED" w:rsidRDefault="00AE1D07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Bivariate </w:t>
            </w:r>
            <w:r w:rsidR="009F4BED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89492C">
              <w:rPr>
                <w:rFonts w:ascii="Times New Roman" w:hAnsi="Times New Roman" w:cs="Times New Roman"/>
                <w:sz w:val="36"/>
                <w:szCs w:val="36"/>
              </w:rPr>
              <w:t xml:space="preserve">ata </w:t>
            </w:r>
            <w:r w:rsidR="00D81BB7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9F4BED" w:rsidRPr="004E1905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6920A6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6920A6">
        <w:trPr>
          <w:cantSplit/>
        </w:trPr>
        <w:tc>
          <w:tcPr>
            <w:tcW w:w="534" w:type="dxa"/>
            <w:tcBorders>
              <w:bottom w:val="nil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D81BB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1C2" w:rsidRPr="004E1905" w:rsidTr="006920A6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Pr="00922B88" w:rsidRDefault="00922DA6" w:rsidP="00032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Questions 1 to 4</w:t>
            </w:r>
            <w:r w:rsidR="000706AC"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table below.</w:t>
            </w:r>
          </w:p>
          <w:tbl>
            <w:tblPr>
              <w:tblpPr w:leftFromText="181" w:rightFromText="181" w:vertAnchor="text" w:horzAnchor="margin" w:tblpXSpec="right" w:tblpY="-3"/>
              <w:tblOverlap w:val="never"/>
              <w:tblW w:w="5172" w:type="dxa"/>
              <w:tblLayout w:type="fixed"/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724"/>
              <w:gridCol w:w="1724"/>
              <w:gridCol w:w="1724"/>
            </w:tblGrid>
            <w:tr w:rsidR="000706AC" w:rsidRPr="008051C2" w:rsidTr="000706AC">
              <w:trPr>
                <w:cantSplit/>
                <w:trHeight w:val="340"/>
              </w:trPr>
              <w:tc>
                <w:tcPr>
                  <w:tcW w:w="5172" w:type="dxa"/>
                  <w:gridSpan w:val="3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Default="00096C9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 I</w:t>
                  </w:r>
                  <w:r w:rsidR="000706AC">
                    <w:rPr>
                      <w:rFonts w:ascii="Arial" w:hAnsi="Arial" w:cs="Arial"/>
                      <w:sz w:val="16"/>
                      <w:szCs w:val="16"/>
                    </w:rPr>
                    <w:t>ncomes for 15 – 19 year olds.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Income Range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Males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0706AC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Females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6C5B7F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No</w:t>
                  </w:r>
                  <w:r w:rsidR="000706AC"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 xml:space="preserve"> income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6C5B7F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18</w:t>
                  </w:r>
                  <w:r w:rsidR="00E67878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0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0706AC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6C5B7F"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$1-$149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6C5B7F" w:rsidP="006C5B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175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6C5B7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184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$150-$249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6C5B7F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80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6C5B7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$250-$399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8</w:t>
                  </w:r>
                  <w:r w:rsidR="00096C9F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7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0706AC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6C5B7F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$400-$599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E67878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48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EC6294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6C5B7F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$600-$799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16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6C5B7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$800-$999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E67878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6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6C5B7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$1,000</w:t>
                  </w: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 xml:space="preserve"> or more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E67878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eastAsia="en-AU"/>
                    </w:rPr>
                    <w:t>8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5" w:type="dxa"/>
                  </w:tcMar>
                </w:tcPr>
                <w:p w:rsidR="000706AC" w:rsidRDefault="006C5B7F" w:rsidP="000706A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  <w:tr w:rsidR="000706AC" w:rsidRPr="008051C2" w:rsidTr="000706AC">
              <w:trPr>
                <w:cantSplit/>
                <w:trHeight w:val="340"/>
              </w:trPr>
              <w:tc>
                <w:tcPr>
                  <w:tcW w:w="17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0706AC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n-AU"/>
                    </w:rPr>
                  </w:pPr>
                  <w:r w:rsidRPr="008051C2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n-AU"/>
                    </w:rPr>
                    <w:t>Total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85" w:type="dxa"/>
                  </w:tcMar>
                  <w:hideMark/>
                </w:tcPr>
                <w:p w:rsidR="000706AC" w:rsidRPr="008051C2" w:rsidRDefault="00E67878" w:rsidP="000706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n-AU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n-AU"/>
                    </w:rPr>
                    <w:t>600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</w:tcBorders>
                  <w:tcMar>
                    <w:top w:w="85" w:type="dxa"/>
                  </w:tcMar>
                </w:tcPr>
                <w:p w:rsidR="000706AC" w:rsidRDefault="00096C9F" w:rsidP="000706A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</w:t>
                  </w:r>
                  <w:r w:rsidR="00EC629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50</w:t>
                  </w:r>
                </w:p>
              </w:tc>
            </w:tr>
          </w:tbl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Default="000706AC" w:rsidP="000706AC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table shows the incomes for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 xml:space="preserve">19 year olds in a local government area. </w:t>
            </w:r>
          </w:p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1C2" w:rsidRPr="004E1905" w:rsidRDefault="008051C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6AC" w:rsidRPr="004E1905" w:rsidTr="006920A6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706AC" w:rsidRPr="004E1905" w:rsidRDefault="000706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706AC" w:rsidRDefault="000706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</w:t>
            </w:r>
            <w:r w:rsidR="00096C9F">
              <w:rPr>
                <w:rFonts w:ascii="Times New Roman" w:hAnsi="Times New Roman" w:cs="Times New Roman"/>
                <w:sz w:val="24"/>
                <w:szCs w:val="24"/>
              </w:rPr>
              <w:t>males had an income of $600 or more?</w:t>
            </w:r>
          </w:p>
          <w:p w:rsidR="00096C9F" w:rsidRDefault="00096C9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6AC" w:rsidRDefault="000706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706AC" w:rsidRDefault="000706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06AC" w:rsidRPr="004E1905" w:rsidRDefault="000706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5B7F" w:rsidRPr="004E1905" w:rsidTr="006920A6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C5B7F" w:rsidRDefault="006C5B7F" w:rsidP="006C5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females had an income of $600 or more?</w:t>
            </w:r>
          </w:p>
          <w:p w:rsidR="006C5B7F" w:rsidRDefault="006C5B7F" w:rsidP="006C5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5B7F" w:rsidRPr="004E1905" w:rsidTr="006920A6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gender had the greater percentage </w:t>
            </w:r>
            <w:r w:rsidR="00396EB2">
              <w:rPr>
                <w:rFonts w:ascii="Times New Roman" w:hAnsi="Times New Roman" w:cs="Times New Roman"/>
                <w:sz w:val="24"/>
                <w:szCs w:val="24"/>
              </w:rPr>
              <w:t xml:space="preserve">of people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no income, and by how much was it greater?</w:t>
            </w: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5B7F" w:rsidRPr="004E1905" w:rsidTr="006920A6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the difference in the </w:t>
            </w:r>
            <w:r w:rsidR="00922DA6">
              <w:rPr>
                <w:rFonts w:ascii="Times New Roman" w:hAnsi="Times New Roman" w:cs="Times New Roman"/>
                <w:sz w:val="24"/>
                <w:szCs w:val="24"/>
              </w:rPr>
              <w:t>distribution of income for males compared to females.</w:t>
            </w:r>
          </w:p>
          <w:p w:rsidR="00922DA6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5B7F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5B7F" w:rsidRPr="004E1905" w:rsidRDefault="006C5B7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22DA6" w:rsidRPr="004E1905" w:rsidTr="006920A6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22DA6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37166" w:rsidRPr="00922B88" w:rsidRDefault="00736DF7" w:rsidP="00032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Questions 5 – 8 refer to the graph below</w:t>
            </w:r>
            <w:r w:rsidR="00937166"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37166" w:rsidRDefault="0093716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93716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graph</w:t>
            </w:r>
            <w:r w:rsidR="00C97685">
              <w:rPr>
                <w:rFonts w:ascii="Times New Roman" w:hAnsi="Times New Roman" w:cs="Times New Roman"/>
                <w:sz w:val="24"/>
                <w:szCs w:val="24"/>
              </w:rPr>
              <w:t xml:space="preserve"> shows the population of two species of marsupial in a bushland 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a period of 200 years</w:t>
            </w:r>
            <w:r w:rsidR="00736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6DF7" w:rsidRDefault="00736DF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F7" w:rsidRDefault="00736DF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F7" w:rsidRDefault="00736DF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F7" w:rsidRDefault="00D81BB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6" type="#_x0000_t202" style="position:absolute;margin-left:74.15pt;margin-top:218.45pt;width:246.7pt;height:59.3pt;z-index:251765760;mso-width-relative:margin;mso-height-relative:margin" stroked="f">
                  <v:textbox>
                    <w:txbxContent>
                      <w:p w:rsidR="00C97685" w:rsidRDefault="00C97685">
                        <w:r>
                          <w:t>1800             1850           1900           1950            2000</w:t>
                        </w:r>
                      </w:p>
                      <w:p w:rsidR="00C97685" w:rsidRPr="00C97685" w:rsidRDefault="00C9768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9768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        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Pr="00C9768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         Years</w:t>
                        </w:r>
                      </w:p>
                    </w:txbxContent>
                  </v:textbox>
                </v:shape>
              </w:pict>
            </w:r>
            <w:r w:rsidR="00AE1D07" w:rsidRPr="000B1C92">
              <w:rPr>
                <w:rFonts w:ascii="Times New Roman" w:hAnsi="Times New Roman" w:cs="Times New Roman"/>
                <w:sz w:val="24"/>
                <w:szCs w:val="24"/>
              </w:rPr>
              <w:object w:dxaOrig="6723" w:dyaOrig="51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55.75pt" o:ole="">
                  <v:imagedata r:id="rId9" o:title=""/>
                </v:shape>
                <o:OLEObject Type="Embed" ProgID="FXStat.V1" ShapeID="_x0000_i1025" DrawAspect="Content" ObjectID="_1392577180" r:id="rId10"/>
              </w:object>
            </w:r>
          </w:p>
          <w:p w:rsidR="00736DF7" w:rsidRDefault="00736DF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6DF7" w:rsidRDefault="00736DF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DA6" w:rsidRPr="004E1905" w:rsidTr="006920A6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22DA6" w:rsidRPr="004E1905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22DA6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less </w:t>
            </w:r>
            <w:r w:rsidR="00AE1D07">
              <w:rPr>
                <w:rFonts w:ascii="Times New Roman" w:hAnsi="Times New Roman" w:cs="Times New Roman"/>
                <w:sz w:val="24"/>
                <w:szCs w:val="24"/>
              </w:rPr>
              <w:t>Potoroos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there in 1900, compared to 1800?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DA6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22DA6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2DA6" w:rsidRPr="004E1905" w:rsidRDefault="00922D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F39CA" w:rsidRPr="004E1905" w:rsidTr="006920A6">
        <w:trPr>
          <w:cantSplit/>
          <w:trHeight w:val="166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F39CA" w:rsidRDefault="00AE1D0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clearing began in 1825</w:t>
            </w:r>
            <w:r w:rsidR="00DF39CA">
              <w:rPr>
                <w:rFonts w:ascii="Times New Roman" w:hAnsi="Times New Roman" w:cs="Times New Roman"/>
                <w:sz w:val="24"/>
                <w:szCs w:val="24"/>
              </w:rPr>
              <w:t>, what effect did it have on the population of the two species?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F39CA" w:rsidRPr="004E1905" w:rsidTr="006920A6">
        <w:trPr>
          <w:cantSplit/>
          <w:trHeight w:val="194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National Park was established on part of the bushland. Which year do you think it was? Explain your answer.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F39CA" w:rsidRPr="004E1905" w:rsidTr="006920A6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species was more volatile in its responses to changes to its environment. Which species do you think this was? Explain your answer.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F39CA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39CA" w:rsidRPr="004E1905" w:rsidRDefault="00DF39C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6920A6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Pr="00922B88" w:rsidRDefault="00937166" w:rsidP="00032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Questions 9 – 12 refer to the graph below.</w:t>
            </w:r>
          </w:p>
          <w:p w:rsidR="006920A6" w:rsidRDefault="006920A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7166" w:rsidRDefault="0093716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graph compares reaction times on a computer </w:t>
            </w:r>
            <w:r w:rsidR="00D81BB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="00D81BB7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age of the participants.</w:t>
            </w:r>
          </w:p>
          <w:p w:rsidR="00937166" w:rsidRDefault="0093716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920A6" w:rsidRPr="004E1905" w:rsidRDefault="00630C9C" w:rsidP="00937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C92">
              <w:rPr>
                <w:rFonts w:ascii="Times New Roman" w:hAnsi="Times New Roman" w:cs="Times New Roman"/>
                <w:sz w:val="24"/>
                <w:szCs w:val="24"/>
              </w:rPr>
              <w:object w:dxaOrig="9640" w:dyaOrig="4700">
                <v:shape id="_x0000_i1026" type="#_x0000_t75" style="width:465pt;height:226.5pt" o:ole="">
                  <v:imagedata r:id="rId11" o:title=""/>
                </v:shape>
                <o:OLEObject Type="Embed" ProgID="FXStat.V1" ShapeID="_x0000_i1026" DrawAspect="Content" ObjectID="_1392577181" r:id="rId12"/>
              </w:object>
            </w:r>
          </w:p>
        </w:tc>
      </w:tr>
      <w:tr w:rsidR="00630C9C" w:rsidRPr="004E1905" w:rsidTr="00110F7F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a reaction time of less than 2 seconds?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30C9C" w:rsidRPr="004E1905" w:rsidTr="003B7416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were aged over 60 years?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30C9C" w:rsidRPr="004E1905" w:rsidTr="00C449EC">
        <w:trPr>
          <w:cantSplit/>
          <w:trHeight w:val="166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people who were aged between 20 and 50 had a reaction time less than 2 seconds? 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6920A6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4A7FD9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line of best fit on the graph.</w:t>
            </w:r>
          </w:p>
          <w:p w:rsidR="00630C9C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C9C" w:rsidRPr="004E1905" w:rsidRDefault="00630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FD9" w:rsidRDefault="004A7FD9"/>
    <w:p w:rsidR="00AA59F6" w:rsidRDefault="00736DF7">
      <w:pPr>
        <w:sectPr w:rsidR="00AA59F6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8F480F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AE1D07" w:rsidRDefault="00AE1D07" w:rsidP="00AE1D0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Bivariate Data </w:t>
            </w:r>
            <w:r w:rsidR="00D81BB7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8F480F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8F480F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D81BB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D81BB7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  <w:tcBorders>
              <w:top w:val="nil"/>
            </w:tcBorders>
          </w:tcPr>
          <w:p w:rsidR="00396EB2" w:rsidRPr="004E1905" w:rsidRDefault="00D81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 id="_x0000_s1128" type="#_x0000_t202" style="position:absolute;margin-left:6.7pt;margin-top:78.6pt;width:31.55pt;height:127.15pt;z-index:251767808;mso-position-horizontal-relative:text;mso-position-vertical-relative:text;mso-width-relative:margin;mso-height-relative:margin;v-text-anchor:bottom" stroked="f">
                  <v:textbox style="layout-flow:vertical;mso-layout-flow-alt:bottom-to-top" inset="0,0,0,0">
                    <w:txbxContent>
                      <w:p w:rsidR="00922B88" w:rsidRDefault="00922B88">
                        <w:r>
                          <w:t xml:space="preserve">Temperature ( </w:t>
                        </w:r>
                        <w:r w:rsidRPr="00922B88">
                          <w:rPr>
                            <w:vertAlign w:val="superscript"/>
                          </w:rPr>
                          <w:t>o</w:t>
                        </w:r>
                        <w:r>
                          <w:t>C)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396EB2" w:rsidRDefault="00736DF7" w:rsidP="009A5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1</w:t>
            </w:r>
            <w:r w:rsidR="00396EB2" w:rsidRPr="00396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270B"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  <w:r w:rsidR="00396EB2" w:rsidRPr="00396E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graph below.</w:t>
            </w:r>
          </w:p>
          <w:p w:rsidR="00396EB2" w:rsidRDefault="00641135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63712" behindDoc="0" locked="0" layoutInCell="1" allowOverlap="1" wp14:anchorId="563CA956" wp14:editId="70391B69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23495</wp:posOffset>
                  </wp:positionV>
                  <wp:extent cx="5981700" cy="3190875"/>
                  <wp:effectExtent l="0" t="0" r="0" b="0"/>
                  <wp:wrapNone/>
                  <wp:docPr id="1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1962" t="3488" b="3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  <w:tcBorders>
              <w:top w:val="nil"/>
            </w:tcBorders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>What was the maximum temperature during the week?</w:t>
            </w:r>
          </w:p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736DF7" w:rsidRDefault="00396EB2" w:rsidP="00396EB2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12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21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24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26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736DF7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 xml:space="preserve">What was the temperature range for the week? </w:t>
            </w:r>
          </w:p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736DF7" w:rsidRDefault="00396EB2" w:rsidP="00396EB2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12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21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24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6DF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ab/>
              <w:t>16</w:t>
            </w:r>
            <w:r w:rsidRPr="00736D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736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6EB2" w:rsidRPr="00736DF7" w:rsidRDefault="00396EB2" w:rsidP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days recorded the same temperature?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Thursday and Sunday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Monday and Friday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396EB2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Wednesday and Friday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Tuesday and Saturday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396EB2" w:rsidRPr="004E1905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 is an example of: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70B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E3270B">
              <w:rPr>
                <w:rFonts w:ascii="Times New Roman" w:hAnsi="Times New Roman" w:cs="Times New Roman"/>
                <w:sz w:val="24"/>
                <w:szCs w:val="24"/>
              </w:rPr>
              <w:t>Continuous quantitative data.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</w:t>
            </w:r>
            <w:r w:rsidR="00E3270B">
              <w:rPr>
                <w:rFonts w:ascii="Times New Roman" w:hAnsi="Times New Roman" w:cs="Times New Roman"/>
                <w:sz w:val="24"/>
                <w:szCs w:val="24"/>
              </w:rPr>
              <w:t>Discrete quantitative data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3270B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Continuous categorical data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Discrete categorical data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396EB2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70B">
              <w:rPr>
                <w:rFonts w:ascii="Times New Roman" w:hAnsi="Times New Roman" w:cs="Times New Roman"/>
                <w:sz w:val="24"/>
                <w:szCs w:val="24"/>
              </w:rPr>
              <w:t>An election is called and a newspaper rings 1000 randomly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selected people in 20 </w:t>
            </w:r>
            <w:r w:rsidRPr="00E3270B">
              <w:rPr>
                <w:rFonts w:ascii="Times New Roman" w:hAnsi="Times New Roman" w:cs="Times New Roman"/>
                <w:sz w:val="24"/>
                <w:szCs w:val="24"/>
              </w:rPr>
              <w:t>electorates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different parts of the state</w:t>
            </w:r>
            <w:r w:rsidRPr="00E3270B">
              <w:rPr>
                <w:rFonts w:ascii="Times New Roman" w:hAnsi="Times New Roman" w:cs="Times New Roman"/>
                <w:sz w:val="24"/>
                <w:szCs w:val="24"/>
              </w:rPr>
              <w:t xml:space="preserve"> to ask them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 their voting intentions.</w:t>
            </w:r>
          </w:p>
          <w:p w:rsidR="00E3270B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70B" w:rsidRPr="00E3270B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an example of:       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70B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E3270B">
              <w:rPr>
                <w:rFonts w:ascii="Times New Roman" w:hAnsi="Times New Roman" w:cs="Times New Roman"/>
                <w:sz w:val="24"/>
                <w:szCs w:val="24"/>
              </w:rPr>
              <w:t>A biased census.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3270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E3270B">
              <w:rPr>
                <w:rFonts w:ascii="Times New Roman" w:hAnsi="Times New Roman" w:cs="Times New Roman"/>
                <w:sz w:val="24"/>
                <w:szCs w:val="24"/>
              </w:rPr>
              <w:t>A biased sample.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3270B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E3270B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unbiased sample.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6EB2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An unbiased census.      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05C" w:rsidRPr="004E1905" w:rsidTr="008F480F">
        <w:trPr>
          <w:cantSplit/>
        </w:trPr>
        <w:tc>
          <w:tcPr>
            <w:tcW w:w="534" w:type="dxa"/>
          </w:tcPr>
          <w:p w:rsidR="009D405C" w:rsidRPr="004E1905" w:rsidRDefault="009D4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</w:tcPr>
          <w:p w:rsidR="00922B88" w:rsidRPr="00922B88" w:rsidRDefault="00922B88" w:rsidP="001B20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Question 6 –</w:t>
            </w:r>
            <w:r w:rsidR="008F48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graph below.</w:t>
            </w:r>
          </w:p>
          <w:p w:rsidR="00922B88" w:rsidRDefault="00922B8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B88" w:rsidRDefault="00D652D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scatter graph shows the results of a survey which compares</w:t>
            </w:r>
            <w:r w:rsidR="00922B88">
              <w:rPr>
                <w:rFonts w:ascii="Times New Roman" w:hAnsi="Times New Roman" w:cs="Times New Roman"/>
                <w:sz w:val="24"/>
                <w:szCs w:val="24"/>
              </w:rPr>
              <w:t xml:space="preserve"> the time spent standing at a concert to the height of the individuals. </w:t>
            </w:r>
          </w:p>
          <w:p w:rsidR="009D405C" w:rsidRPr="004E1905" w:rsidRDefault="00922B8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9DD7CCF" wp14:editId="210A002C">
                  <wp:extent cx="4572000" cy="2743200"/>
                  <wp:effectExtent l="0" t="0" r="0" b="0"/>
                  <wp:docPr id="2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396EB2" w:rsidRPr="004E1905" w:rsidRDefault="00D652D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were included in the survey?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D652D7">
              <w:rPr>
                <w:rFonts w:ascii="Times New Roman" w:hAnsi="Times New Roman" w:cs="Times New Roman"/>
                <w:sz w:val="24"/>
                <w:szCs w:val="24"/>
              </w:rPr>
              <w:t xml:space="preserve">2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 </w:t>
            </w:r>
            <w:r w:rsidR="00D652D7">
              <w:rPr>
                <w:rFonts w:ascii="Times New Roman" w:hAnsi="Times New Roman" w:cs="Times New Roman"/>
                <w:sz w:val="24"/>
                <w:szCs w:val="24"/>
              </w:rPr>
              <w:t xml:space="preserve">  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 </w:t>
            </w:r>
            <w:r w:rsidR="00D652D7">
              <w:rPr>
                <w:rFonts w:ascii="Times New Roman" w:hAnsi="Times New Roman" w:cs="Times New Roman"/>
                <w:sz w:val="24"/>
                <w:szCs w:val="24"/>
              </w:rPr>
              <w:t xml:space="preserve">13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="00D652D7">
              <w:rPr>
                <w:rFonts w:ascii="Times New Roman" w:hAnsi="Times New Roman" w:cs="Times New Roman"/>
                <w:sz w:val="24"/>
                <w:szCs w:val="24"/>
              </w:rPr>
              <w:t xml:space="preserve">    15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396EB2" w:rsidRPr="004E1905" w:rsidRDefault="00C828CE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peo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>ple were 1.8 metres in height or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31%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15%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23%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     44%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396EB2" w:rsidRPr="004E1905" w:rsidRDefault="00351D4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those who were standing for longer than 4 minutes, what percentage were over 1.4 metres in height? 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 w:rsidR="00351D4A">
              <w:rPr>
                <w:rFonts w:ascii="Times New Roman" w:hAnsi="Times New Roman" w:cs="Times New Roman"/>
                <w:sz w:val="24"/>
                <w:szCs w:val="24"/>
              </w:rPr>
              <w:t xml:space="preserve">      40%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80F" w:rsidRPr="004E1905" w:rsidTr="008F480F">
        <w:trPr>
          <w:cantSplit/>
        </w:trPr>
        <w:tc>
          <w:tcPr>
            <w:tcW w:w="534" w:type="dxa"/>
          </w:tcPr>
          <w:p w:rsidR="008F480F" w:rsidRPr="004E1905" w:rsidRDefault="008F4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</w:tcPr>
          <w:p w:rsidR="00C17706" w:rsidRPr="00922B88" w:rsidRDefault="00C17706" w:rsidP="00C177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9</w:t>
            </w: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10</w:t>
            </w:r>
            <w:r w:rsidRPr="00922B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graph below.</w:t>
            </w:r>
          </w:p>
          <w:p w:rsidR="00C17706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706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students try to draw a line of best fit for the scatter plot.</w:t>
            </w:r>
          </w:p>
          <w:p w:rsidR="00C17706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480F" w:rsidRDefault="00D81BB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5" type="#_x0000_t202" style="position:absolute;margin-left:57pt;margin-top:79.55pt;width:26.25pt;height:32.65pt;z-index:251774976;mso-height-percent:200;mso-height-percent:200;mso-width-relative:margin;mso-height-relative:margin" stroked="f">
                  <v:fill opacity="0"/>
                  <v:textbox style="mso-fit-shape-to-text:t">
                    <w:txbxContent>
                      <w:p w:rsidR="008F480F" w:rsidRDefault="008F480F" w:rsidP="008F480F">
                        <w:r>
                          <w:t>C.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6" type="#_x0000_t202" style="position:absolute;margin-left:58.5pt;margin-top:102.8pt;width:26.25pt;height:32.65pt;z-index:251776000;mso-height-percent:200;mso-height-percent:200;mso-width-relative:margin;mso-height-relative:margin" stroked="f">
                  <v:fill opacity="0"/>
                  <v:textbox style="mso-fit-shape-to-text:t">
                    <w:txbxContent>
                      <w:p w:rsidR="008F480F" w:rsidRDefault="008F480F" w:rsidP="008F480F">
                        <w:r>
                          <w:t>D.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4" type="#_x0000_t32" style="position:absolute;margin-left:71.55pt;margin-top:92.4pt;width:226.5pt;height:.75pt;z-index:2517739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3" type="#_x0000_t202" style="position:absolute;margin-left:56.95pt;margin-top:45.8pt;width:26.25pt;height:32.65pt;z-index:251772928;mso-height-percent:200;mso-height-percent:200;mso-width-relative:margin;mso-height-relative:margin" stroked="f">
                  <v:fill opacity="0"/>
                  <v:textbox style="mso-fit-shape-to-text:t">
                    <w:txbxContent>
                      <w:p w:rsidR="008F480F" w:rsidRDefault="008F480F" w:rsidP="008F480F">
                        <w:r>
                          <w:t>B.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 id="_x0000_s1132" type="#_x0000_t202" style="position:absolute;margin-left:56.2pt;margin-top:21.75pt;width:26.25pt;height:32.65pt;z-index:251771904;mso-height-percent:200;mso-height-percent:200;mso-width-relative:margin;mso-height-relative:margin" stroked="f">
                  <v:fill opacity="0"/>
                  <v:textbox style="mso-fit-shape-to-text:t">
                    <w:txbxContent>
                      <w:p w:rsidR="008F480F" w:rsidRDefault="008F480F">
                        <w:r>
                          <w:t>A.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0" type="#_x0000_t32" style="position:absolute;margin-left:76.05pt;margin-top:69.15pt;width:220.5pt;height:47.25pt;flip:y;z-index:25176985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9" type="#_x0000_t32" style="position:absolute;margin-left:75.3pt;margin-top:57.15pt;width:221.25pt;height:59.25pt;z-index:251768832" o:connectortype="straight"/>
              </w:pict>
            </w:r>
            <w:r w:rsidR="008F480F" w:rsidRPr="008F480F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7B54BD6" wp14:editId="212B1EE5">
                  <wp:extent cx="4572000" cy="2743200"/>
                  <wp:effectExtent l="19050" t="0" r="19050" b="0"/>
                  <wp:docPr id="3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C17706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396EB2" w:rsidRPr="004E1905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lines (A, B, C or D) would be the line of best fit for the scatter plot?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C1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  <w:tr w:rsidR="00396EB2" w:rsidRPr="004E1905" w:rsidTr="008F480F">
        <w:trPr>
          <w:cantSplit/>
        </w:trPr>
        <w:tc>
          <w:tcPr>
            <w:tcW w:w="534" w:type="dxa"/>
          </w:tcPr>
          <w:p w:rsidR="00396EB2" w:rsidRPr="004E1905" w:rsidRDefault="0039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396EB2" w:rsidRPr="004E1905" w:rsidRDefault="00C1770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lines (A, B, C or D) has a positive gradient? </w:t>
            </w:r>
          </w:p>
          <w:p w:rsidR="00396EB2" w:rsidRPr="004E1905" w:rsidRDefault="00396EB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EB2" w:rsidRPr="004E1905" w:rsidRDefault="00396EB2" w:rsidP="00C1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AE1D07" w:rsidRDefault="00AE1D07" w:rsidP="00AE1D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Bivariate Data </w:t>
      </w:r>
      <w:r w:rsidR="00D81BB7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Section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AA59F6">
        <w:t>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81BB7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643E26" w:rsidP="00643E26">
      <w:pPr>
        <w:spacing w:after="120" w:line="240" w:lineRule="auto"/>
      </w:pPr>
      <w:r>
        <w:tab/>
        <w:t xml:space="preserve"> </w:t>
      </w:r>
    </w:p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A05" w:rsidRDefault="00372A05" w:rsidP="00E24335">
      <w:pPr>
        <w:spacing w:after="0" w:line="240" w:lineRule="auto"/>
      </w:pPr>
      <w:r>
        <w:separator/>
      </w:r>
    </w:p>
  </w:endnote>
  <w:endnote w:type="continuationSeparator" w:id="0">
    <w:p w:rsidR="00372A05" w:rsidRDefault="00372A0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D81BB7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D81BB7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A05" w:rsidRDefault="00372A05" w:rsidP="00E24335">
      <w:pPr>
        <w:spacing w:after="0" w:line="240" w:lineRule="auto"/>
      </w:pPr>
      <w:r>
        <w:separator/>
      </w:r>
    </w:p>
  </w:footnote>
  <w:footnote w:type="continuationSeparator" w:id="0">
    <w:p w:rsidR="00372A05" w:rsidRDefault="00372A0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E24335">
    <w:pPr>
      <w:pStyle w:val="Header"/>
    </w:pPr>
    <w:r>
      <w:t xml:space="preserve"> </w:t>
    </w:r>
    <w:r>
      <w:tab/>
    </w:r>
    <w:r w:rsidR="00396EB2">
      <w:t xml:space="preserve">Bivariate Data </w:t>
    </w:r>
    <w:r w:rsidR="00D81BB7">
      <w:t>Practice Test</w:t>
    </w:r>
    <w:r>
      <w:tab/>
      <w:t xml:space="preserve"> 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9F6" w:rsidRPr="00AA59F6" w:rsidRDefault="00AA59F6" w:rsidP="00AA59F6">
    <w:pPr>
      <w:pStyle w:val="Header"/>
      <w:jc w:val="center"/>
      <w:rPr>
        <w:rFonts w:ascii="Lucida Calligraphy" w:hAnsi="Lucida Calligraphy"/>
        <w:sz w:val="32"/>
        <w:szCs w:val="32"/>
      </w:rPr>
    </w:pPr>
    <w:r w:rsidRPr="00AA59F6"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0782D"/>
    <w:rsid w:val="00031826"/>
    <w:rsid w:val="00034138"/>
    <w:rsid w:val="00041527"/>
    <w:rsid w:val="00054524"/>
    <w:rsid w:val="000706AC"/>
    <w:rsid w:val="000770C2"/>
    <w:rsid w:val="00096C9F"/>
    <w:rsid w:val="000B1C92"/>
    <w:rsid w:val="000F41E0"/>
    <w:rsid w:val="0018418B"/>
    <w:rsid w:val="00186FBD"/>
    <w:rsid w:val="0019427A"/>
    <w:rsid w:val="002A3D0B"/>
    <w:rsid w:val="002A661E"/>
    <w:rsid w:val="002F08A0"/>
    <w:rsid w:val="003157FF"/>
    <w:rsid w:val="00351D4A"/>
    <w:rsid w:val="00372A05"/>
    <w:rsid w:val="00396EB2"/>
    <w:rsid w:val="003C1C57"/>
    <w:rsid w:val="003F2545"/>
    <w:rsid w:val="004A7FD9"/>
    <w:rsid w:val="004E0A38"/>
    <w:rsid w:val="004E1905"/>
    <w:rsid w:val="00507E20"/>
    <w:rsid w:val="005100F3"/>
    <w:rsid w:val="00514DF2"/>
    <w:rsid w:val="005D7584"/>
    <w:rsid w:val="005E3D07"/>
    <w:rsid w:val="00605251"/>
    <w:rsid w:val="00620828"/>
    <w:rsid w:val="00630C9C"/>
    <w:rsid w:val="00631AA9"/>
    <w:rsid w:val="00641135"/>
    <w:rsid w:val="00643E26"/>
    <w:rsid w:val="006920A6"/>
    <w:rsid w:val="006C5B7F"/>
    <w:rsid w:val="0070532A"/>
    <w:rsid w:val="007222B1"/>
    <w:rsid w:val="007250F2"/>
    <w:rsid w:val="00736DF7"/>
    <w:rsid w:val="007452A3"/>
    <w:rsid w:val="00753712"/>
    <w:rsid w:val="00761A87"/>
    <w:rsid w:val="007B6B91"/>
    <w:rsid w:val="007C6FAC"/>
    <w:rsid w:val="007E34C7"/>
    <w:rsid w:val="008051C2"/>
    <w:rsid w:val="008839FB"/>
    <w:rsid w:val="0089492C"/>
    <w:rsid w:val="008D3E75"/>
    <w:rsid w:val="008E5AEB"/>
    <w:rsid w:val="008F480F"/>
    <w:rsid w:val="00907507"/>
    <w:rsid w:val="00915C54"/>
    <w:rsid w:val="00922B88"/>
    <w:rsid w:val="00922DA6"/>
    <w:rsid w:val="00937166"/>
    <w:rsid w:val="009D405C"/>
    <w:rsid w:val="009F4BED"/>
    <w:rsid w:val="00A05BB3"/>
    <w:rsid w:val="00A3116E"/>
    <w:rsid w:val="00A42AC6"/>
    <w:rsid w:val="00A66A0F"/>
    <w:rsid w:val="00AA59F6"/>
    <w:rsid w:val="00AE1D07"/>
    <w:rsid w:val="00B56A89"/>
    <w:rsid w:val="00BD6FF3"/>
    <w:rsid w:val="00BE0ED1"/>
    <w:rsid w:val="00C17706"/>
    <w:rsid w:val="00C67F16"/>
    <w:rsid w:val="00C828CE"/>
    <w:rsid w:val="00C97685"/>
    <w:rsid w:val="00D01508"/>
    <w:rsid w:val="00D652D7"/>
    <w:rsid w:val="00D81BB7"/>
    <w:rsid w:val="00DB5487"/>
    <w:rsid w:val="00DB77AB"/>
    <w:rsid w:val="00DF39CA"/>
    <w:rsid w:val="00E24335"/>
    <w:rsid w:val="00E3270B"/>
    <w:rsid w:val="00E417C3"/>
    <w:rsid w:val="00E67878"/>
    <w:rsid w:val="00EC6294"/>
    <w:rsid w:val="00F27D76"/>
    <w:rsid w:val="00F670B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  <o:rules v:ext="edit">
        <o:r id="V:Rule4" type="connector" idref="#_x0000_s1130"/>
        <o:r id="V:Rule5" type="connector" idref="#_x0000_s1134"/>
        <o:r id="V:Rule6" type="connector" idref="#_x0000_s11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rry\Documents\Stand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rry\Documents\Stand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Sheet1!$D$3</c:f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Sheet1!$C$4:$C$18</c:f>
            </c:numRef>
          </c:xVal>
          <c:yVal>
            <c:numRef>
              <c:f>Sheet1!$D$4:$D$18</c:f>
            </c:numRef>
          </c:yVal>
          <c:smooth val="0"/>
        </c:ser>
        <c:ser>
          <c:idx val="0"/>
          <c:order val="0"/>
          <c:tx>
            <c:strRef>
              <c:f>[Standing.xlsx]Sheet1!$D$3</c:f>
              <c:strCache>
                <c:ptCount val="1"/>
                <c:pt idx="0">
                  <c:v>Time Standing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xVal>
            <c:numRef>
              <c:f>[Standing.xlsx]Sheet1!$C$4:$C$18</c:f>
              <c:numCache>
                <c:formatCode>General</c:formatCode>
                <c:ptCount val="15"/>
                <c:pt idx="0">
                  <c:v>1.8</c:v>
                </c:pt>
                <c:pt idx="1">
                  <c:v>1.6</c:v>
                </c:pt>
                <c:pt idx="2">
                  <c:v>1.5</c:v>
                </c:pt>
                <c:pt idx="3">
                  <c:v>1.8</c:v>
                </c:pt>
                <c:pt idx="4">
                  <c:v>1.9000000000000001</c:v>
                </c:pt>
                <c:pt idx="5">
                  <c:v>1.4</c:v>
                </c:pt>
                <c:pt idx="6">
                  <c:v>1.6</c:v>
                </c:pt>
                <c:pt idx="7">
                  <c:v>1.2</c:v>
                </c:pt>
                <c:pt idx="8">
                  <c:v>1.1000000000000001</c:v>
                </c:pt>
                <c:pt idx="9">
                  <c:v>2</c:v>
                </c:pt>
                <c:pt idx="10">
                  <c:v>1.5</c:v>
                </c:pt>
                <c:pt idx="11">
                  <c:v>1.7000000000000004</c:v>
                </c:pt>
                <c:pt idx="12">
                  <c:v>1.6</c:v>
                </c:pt>
                <c:pt idx="13">
                  <c:v>1.8</c:v>
                </c:pt>
                <c:pt idx="14">
                  <c:v>1.4</c:v>
                </c:pt>
              </c:numCache>
            </c:numRef>
          </c:xVal>
          <c:yVal>
            <c:numRef>
              <c:f>[Standing.xlsx]Sheet1!$D$4:$D$18</c:f>
              <c:numCache>
                <c:formatCode>General</c:formatCode>
                <c:ptCount val="15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2</c:v>
                </c:pt>
                <c:pt idx="7">
                  <c:v>8</c:v>
                </c:pt>
                <c:pt idx="8">
                  <c:v>9</c:v>
                </c:pt>
                <c:pt idx="9">
                  <c:v>1</c:v>
                </c:pt>
                <c:pt idx="10">
                  <c:v>4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29664"/>
        <c:axId val="106136320"/>
      </c:scatterChart>
      <c:valAx>
        <c:axId val="106129664"/>
        <c:scaling>
          <c:orientation val="minMax"/>
          <c:min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Height (metres)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136320"/>
        <c:crosses val="autoZero"/>
        <c:crossBetween val="midCat"/>
        <c:minorUnit val="0.1"/>
      </c:valAx>
      <c:valAx>
        <c:axId val="10613632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Time Standing (minutes)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129664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Sheet1!$D$3</c:f>
              <c:strCache>
                <c:ptCount val="1"/>
                <c:pt idx="0">
                  <c:v>Time Standing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Sheet1!$C$4:$C$18</c:f>
              <c:numCache>
                <c:formatCode>General</c:formatCode>
                <c:ptCount val="15"/>
                <c:pt idx="0">
                  <c:v>1.8</c:v>
                </c:pt>
                <c:pt idx="1">
                  <c:v>1.6</c:v>
                </c:pt>
                <c:pt idx="2">
                  <c:v>1.5</c:v>
                </c:pt>
                <c:pt idx="3">
                  <c:v>1.8</c:v>
                </c:pt>
                <c:pt idx="4">
                  <c:v>1.9000000000000001</c:v>
                </c:pt>
                <c:pt idx="5">
                  <c:v>1.4</c:v>
                </c:pt>
                <c:pt idx="6">
                  <c:v>1.6</c:v>
                </c:pt>
                <c:pt idx="7">
                  <c:v>1.2</c:v>
                </c:pt>
                <c:pt idx="8">
                  <c:v>1.1000000000000001</c:v>
                </c:pt>
                <c:pt idx="9">
                  <c:v>2</c:v>
                </c:pt>
                <c:pt idx="10">
                  <c:v>1.5</c:v>
                </c:pt>
                <c:pt idx="11">
                  <c:v>1.7</c:v>
                </c:pt>
                <c:pt idx="12">
                  <c:v>1.6</c:v>
                </c:pt>
                <c:pt idx="13">
                  <c:v>1.8</c:v>
                </c:pt>
                <c:pt idx="14">
                  <c:v>1.4</c:v>
                </c:pt>
              </c:numCache>
            </c:numRef>
          </c:xVal>
          <c:yVal>
            <c:numRef>
              <c:f>Sheet1!$D$4:$D$18</c:f>
              <c:numCache>
                <c:formatCode>General</c:formatCode>
                <c:ptCount val="15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2</c:v>
                </c:pt>
                <c:pt idx="7">
                  <c:v>8</c:v>
                </c:pt>
                <c:pt idx="8">
                  <c:v>9</c:v>
                </c:pt>
                <c:pt idx="9">
                  <c:v>1</c:v>
                </c:pt>
                <c:pt idx="10">
                  <c:v>4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6</c:v>
                </c:pt>
              </c:numCache>
            </c:numRef>
          </c:yVal>
          <c:smooth val="0"/>
        </c:ser>
        <c:ser>
          <c:idx val="0"/>
          <c:order val="0"/>
          <c:tx>
            <c:strRef>
              <c:f>Sheet1!$D$3</c:f>
              <c:strCache>
                <c:ptCount val="1"/>
                <c:pt idx="0">
                  <c:v>Time Standing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Sheet1!$C$4:$C$18</c:f>
              <c:numCache>
                <c:formatCode>General</c:formatCode>
                <c:ptCount val="15"/>
                <c:pt idx="0">
                  <c:v>1.8</c:v>
                </c:pt>
                <c:pt idx="1">
                  <c:v>1.6</c:v>
                </c:pt>
                <c:pt idx="2">
                  <c:v>1.5</c:v>
                </c:pt>
                <c:pt idx="3">
                  <c:v>1.8</c:v>
                </c:pt>
                <c:pt idx="4">
                  <c:v>1.9000000000000001</c:v>
                </c:pt>
                <c:pt idx="5">
                  <c:v>1.4</c:v>
                </c:pt>
                <c:pt idx="6">
                  <c:v>1.6</c:v>
                </c:pt>
                <c:pt idx="7">
                  <c:v>1.2</c:v>
                </c:pt>
                <c:pt idx="8">
                  <c:v>1.1000000000000001</c:v>
                </c:pt>
                <c:pt idx="9">
                  <c:v>2</c:v>
                </c:pt>
                <c:pt idx="10">
                  <c:v>1.5</c:v>
                </c:pt>
                <c:pt idx="11">
                  <c:v>1.7</c:v>
                </c:pt>
                <c:pt idx="12">
                  <c:v>1.6</c:v>
                </c:pt>
                <c:pt idx="13">
                  <c:v>1.8</c:v>
                </c:pt>
                <c:pt idx="14">
                  <c:v>1.4</c:v>
                </c:pt>
              </c:numCache>
            </c:numRef>
          </c:xVal>
          <c:yVal>
            <c:numRef>
              <c:f>Sheet1!$D$4:$D$18</c:f>
              <c:numCache>
                <c:formatCode>General</c:formatCode>
                <c:ptCount val="15"/>
                <c:pt idx="0">
                  <c:v>2</c:v>
                </c:pt>
                <c:pt idx="1">
                  <c:v>5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6</c:v>
                </c:pt>
                <c:pt idx="6">
                  <c:v>2</c:v>
                </c:pt>
                <c:pt idx="7">
                  <c:v>8</c:v>
                </c:pt>
                <c:pt idx="8">
                  <c:v>9</c:v>
                </c:pt>
                <c:pt idx="9">
                  <c:v>1</c:v>
                </c:pt>
                <c:pt idx="10">
                  <c:v>4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06720"/>
        <c:axId val="117412992"/>
      </c:scatterChart>
      <c:valAx>
        <c:axId val="117406720"/>
        <c:scaling>
          <c:orientation val="minMax"/>
          <c:min val="1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Height (metres)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412992"/>
        <c:crosses val="autoZero"/>
        <c:crossBetween val="midCat"/>
        <c:minorUnit val="0.1"/>
      </c:valAx>
      <c:valAx>
        <c:axId val="11741299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Time Standing (minutes)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406720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7A75-3889-460C-9AEE-39F54BC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3</cp:revision>
  <dcterms:created xsi:type="dcterms:W3CDTF">2011-03-17T12:47:00Z</dcterms:created>
  <dcterms:modified xsi:type="dcterms:W3CDTF">2012-03-06T11:13:00Z</dcterms:modified>
</cp:coreProperties>
</file>