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CD2" w:rsidRDefault="00BA6CD2" w:rsidP="00BA6CD2">
      <w:pPr>
        <w:framePr w:hSpace="180" w:wrap="around" w:vAnchor="text" w:hAnchor="page" w:x="829" w:y="-359"/>
        <w:jc w:val="center"/>
        <w:rPr>
          <w:rFonts w:cstheme="minorHAnsi"/>
          <w:b/>
          <w:sz w:val="32"/>
          <w:szCs w:val="32"/>
        </w:rPr>
      </w:pPr>
    </w:p>
    <w:p w:rsidR="00BA6CD2" w:rsidRPr="00303CB4" w:rsidRDefault="0017094B" w:rsidP="00BA6CD2">
      <w:pPr>
        <w:framePr w:hSpace="180" w:wrap="around" w:vAnchor="text" w:hAnchor="page" w:x="829" w:y="-359"/>
        <w:jc w:val="center"/>
        <w:rPr>
          <w:rFonts w:cstheme="minorHAnsi"/>
          <w:b/>
          <w:sz w:val="32"/>
          <w:szCs w:val="32"/>
        </w:rPr>
      </w:pPr>
      <w:r>
        <w:rPr>
          <w:rFonts w:cstheme="minorHAnsi"/>
          <w:b/>
          <w:sz w:val="32"/>
          <w:szCs w:val="32"/>
        </w:rPr>
        <w:t>Mathematics Methods Unit 3 &amp; 4</w:t>
      </w:r>
    </w:p>
    <w:p w:rsidR="00BA6CD2" w:rsidRPr="00303CB4" w:rsidRDefault="00BA6CD2" w:rsidP="00BA6CD2">
      <w:pPr>
        <w:pStyle w:val="Heading1"/>
        <w:framePr w:hSpace="180" w:wrap="around" w:vAnchor="text" w:hAnchor="page" w:x="829" w:y="-359"/>
        <w:rPr>
          <w:rFonts w:asciiTheme="minorHAnsi" w:hAnsiTheme="minorHAnsi" w:cstheme="minorHAnsi"/>
          <w:szCs w:val="32"/>
        </w:rPr>
      </w:pPr>
    </w:p>
    <w:p w:rsidR="00BA6CD2" w:rsidRPr="00303CB4" w:rsidRDefault="00BA6CD2" w:rsidP="00BA6CD2">
      <w:pPr>
        <w:pStyle w:val="Heading1"/>
        <w:framePr w:hSpace="180" w:wrap="around" w:vAnchor="text" w:hAnchor="page" w:x="829" w:y="-359"/>
        <w:rPr>
          <w:rFonts w:asciiTheme="minorHAnsi" w:hAnsiTheme="minorHAnsi" w:cstheme="minorHAnsi"/>
          <w:szCs w:val="32"/>
        </w:rPr>
      </w:pPr>
      <w:r>
        <w:rPr>
          <w:rFonts w:asciiTheme="minorHAnsi" w:hAnsiTheme="minorHAnsi" w:cstheme="minorHAnsi"/>
          <w:szCs w:val="32"/>
        </w:rPr>
        <w:t xml:space="preserve">Investigation </w:t>
      </w:r>
    </w:p>
    <w:p w:rsidR="00BA6CD2" w:rsidRDefault="00BA6CD2" w:rsidP="00BA6CD2">
      <w:pPr>
        <w:framePr w:hSpace="180" w:wrap="around" w:vAnchor="text" w:hAnchor="page" w:x="829" w:y="-359"/>
        <w:jc w:val="center"/>
        <w:rPr>
          <w:rFonts w:cstheme="minorHAnsi"/>
          <w:b/>
          <w:sz w:val="32"/>
          <w:szCs w:val="32"/>
          <w:lang w:val="en-US"/>
        </w:rPr>
      </w:pPr>
    </w:p>
    <w:p w:rsidR="0017094B" w:rsidRPr="00303CB4" w:rsidRDefault="0017094B" w:rsidP="00BA6CD2">
      <w:pPr>
        <w:framePr w:hSpace="180" w:wrap="around" w:vAnchor="text" w:hAnchor="page" w:x="829" w:y="-359"/>
        <w:jc w:val="center"/>
        <w:rPr>
          <w:rFonts w:cstheme="minorHAnsi"/>
          <w:b/>
          <w:sz w:val="32"/>
          <w:szCs w:val="32"/>
          <w:lang w:val="en-US"/>
        </w:rPr>
      </w:pPr>
      <w:r>
        <w:rPr>
          <w:rFonts w:cstheme="minorHAnsi"/>
          <w:b/>
          <w:sz w:val="32"/>
          <w:szCs w:val="32"/>
          <w:lang w:val="en-US"/>
        </w:rPr>
        <w:t>The Mathematics of Gambling</w:t>
      </w:r>
    </w:p>
    <w:p w:rsidR="00BA6CD2" w:rsidRDefault="00BA6CD2" w:rsidP="00BA6CD2">
      <w:pPr>
        <w:rPr>
          <w:rFonts w:cstheme="minorHAnsi"/>
          <w:b/>
          <w:sz w:val="32"/>
          <w:szCs w:val="32"/>
          <w:lang w:val="en-US"/>
        </w:rPr>
      </w:pPr>
      <w:r>
        <w:rPr>
          <w:noProof/>
          <w:lang w:eastAsia="en-AU"/>
        </w:rPr>
        <w:drawing>
          <wp:anchor distT="0" distB="0" distL="114300" distR="114300" simplePos="0" relativeHeight="251658240" behindDoc="1" locked="0" layoutInCell="1" allowOverlap="1">
            <wp:simplePos x="0" y="0"/>
            <wp:positionH relativeFrom="column">
              <wp:posOffset>5426075</wp:posOffset>
            </wp:positionH>
            <wp:positionV relativeFrom="paragraph">
              <wp:posOffset>-219710</wp:posOffset>
            </wp:positionV>
            <wp:extent cx="1047750" cy="11811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47750"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b/>
          <w:sz w:val="32"/>
          <w:szCs w:val="32"/>
          <w:lang w:val="en-US"/>
        </w:rPr>
        <w:t xml:space="preserve">                                                   </w:t>
      </w:r>
    </w:p>
    <w:p w:rsidR="00BA6CD2" w:rsidRPr="00BA6CD2" w:rsidRDefault="002C1037" w:rsidP="00BA6CD2">
      <w:pPr>
        <w:rPr>
          <w:rFonts w:cstheme="minorHAnsi"/>
          <w:b/>
          <w:lang w:val="en-US"/>
        </w:rPr>
      </w:pPr>
      <w:proofErr w:type="spellStart"/>
      <w:r>
        <w:rPr>
          <w:rFonts w:cstheme="minorHAnsi"/>
          <w:b/>
          <w:lang w:val="en-US"/>
        </w:rPr>
        <w:t>Weigthing</w:t>
      </w:r>
      <w:proofErr w:type="spellEnd"/>
      <w:r>
        <w:rPr>
          <w:rFonts w:cstheme="minorHAnsi"/>
          <w:b/>
          <w:lang w:val="en-US"/>
        </w:rPr>
        <w:t xml:space="preserve"> 10</w:t>
      </w:r>
      <w:r w:rsidR="00BA6CD2">
        <w:rPr>
          <w:rFonts w:cstheme="minorHAnsi"/>
          <w:b/>
          <w:lang w:val="en-US"/>
        </w:rPr>
        <w:t xml:space="preserve">% </w:t>
      </w:r>
      <w:r w:rsidR="00BA6CD2">
        <w:rPr>
          <w:rFonts w:cstheme="minorHAnsi"/>
          <w:b/>
          <w:lang w:val="en-US"/>
        </w:rPr>
        <w:tab/>
      </w:r>
      <w:r w:rsidR="00BA6CD2">
        <w:rPr>
          <w:rFonts w:cstheme="minorHAnsi"/>
          <w:b/>
          <w:lang w:val="en-US"/>
        </w:rPr>
        <w:tab/>
      </w:r>
      <w:r w:rsidR="00BA6CD2">
        <w:rPr>
          <w:rFonts w:cstheme="minorHAnsi"/>
          <w:b/>
          <w:lang w:val="en-US"/>
        </w:rPr>
        <w:tab/>
      </w:r>
      <w:r w:rsidR="00BA6CD2">
        <w:rPr>
          <w:rFonts w:cstheme="minorHAnsi"/>
          <w:b/>
          <w:lang w:val="en-US"/>
        </w:rPr>
        <w:tab/>
      </w:r>
      <w:r w:rsidR="00BA6CD2">
        <w:rPr>
          <w:rFonts w:cstheme="minorHAnsi"/>
          <w:b/>
          <w:lang w:val="en-US"/>
        </w:rPr>
        <w:tab/>
      </w:r>
      <w:r w:rsidR="00BA6CD2">
        <w:rPr>
          <w:rFonts w:cstheme="minorHAnsi"/>
          <w:b/>
          <w:lang w:val="en-US"/>
        </w:rPr>
        <w:tab/>
      </w:r>
      <w:r w:rsidR="00BA6CD2">
        <w:rPr>
          <w:rFonts w:cstheme="minorHAnsi"/>
          <w:b/>
          <w:lang w:val="en-US"/>
        </w:rPr>
        <w:tab/>
      </w:r>
      <w:r w:rsidR="00BA6CD2">
        <w:rPr>
          <w:rFonts w:cstheme="minorHAnsi"/>
          <w:b/>
          <w:lang w:val="en-US"/>
        </w:rPr>
        <w:tab/>
        <w:t>Due Date: _____________________</w:t>
      </w:r>
    </w:p>
    <w:p w:rsidR="00296FA1" w:rsidRPr="0017094B" w:rsidRDefault="00296FA1" w:rsidP="00296FA1">
      <w:pPr>
        <w:tabs>
          <w:tab w:val="left" w:pos="8364"/>
        </w:tabs>
        <w:spacing w:after="120" w:line="240" w:lineRule="auto"/>
        <w:rPr>
          <w:rFonts w:eastAsia="Times New Roman" w:cstheme="minorHAnsi"/>
          <w:b/>
        </w:rPr>
      </w:pPr>
    </w:p>
    <w:p w:rsidR="0017094B" w:rsidRPr="0017094B" w:rsidRDefault="0017094B" w:rsidP="0017094B">
      <w:pPr>
        <w:pStyle w:val="Default"/>
        <w:rPr>
          <w:rFonts w:asciiTheme="minorHAnsi" w:hAnsiTheme="minorHAnsi" w:cstheme="minorHAnsi"/>
          <w:sz w:val="22"/>
          <w:szCs w:val="22"/>
        </w:rPr>
      </w:pPr>
      <w:r w:rsidRPr="0017094B">
        <w:rPr>
          <w:rFonts w:asciiTheme="minorHAnsi" w:hAnsiTheme="minorHAnsi" w:cstheme="minorHAnsi"/>
          <w:b/>
          <w:bCs/>
          <w:sz w:val="22"/>
          <w:szCs w:val="22"/>
        </w:rPr>
        <w:t xml:space="preserve">BACKGROUND INFORMATION: </w:t>
      </w:r>
    </w:p>
    <w:p w:rsidR="0017094B" w:rsidRPr="0017094B" w:rsidRDefault="0017094B" w:rsidP="0017094B">
      <w:pPr>
        <w:pStyle w:val="Default"/>
        <w:rPr>
          <w:rFonts w:asciiTheme="minorHAnsi" w:hAnsiTheme="minorHAnsi" w:cstheme="minorHAnsi"/>
          <w:sz w:val="22"/>
          <w:szCs w:val="22"/>
        </w:rPr>
      </w:pPr>
      <w:r w:rsidRPr="0017094B">
        <w:rPr>
          <w:rFonts w:asciiTheme="minorHAnsi" w:hAnsiTheme="minorHAnsi" w:cstheme="minorHAnsi"/>
          <w:sz w:val="22"/>
          <w:szCs w:val="22"/>
        </w:rPr>
        <w:t xml:space="preserve">“While it may seem obvious what gambling is, emerging technology has blurred the lines to expand the range of ways people gamble. Traditionally gambling is an activity where someone risks money or belongings, there is an element of randomness or chance involved and the purpose is to win.” (Gambling Help Online, 2018) </w:t>
      </w:r>
    </w:p>
    <w:p w:rsidR="0017094B" w:rsidRPr="0017094B" w:rsidRDefault="0017094B" w:rsidP="0017094B">
      <w:pPr>
        <w:pStyle w:val="Default"/>
        <w:rPr>
          <w:rFonts w:asciiTheme="minorHAnsi" w:hAnsiTheme="minorHAnsi" w:cstheme="minorHAnsi"/>
          <w:sz w:val="22"/>
          <w:szCs w:val="22"/>
        </w:rPr>
      </w:pPr>
      <w:r w:rsidRPr="0017094B">
        <w:rPr>
          <w:rFonts w:asciiTheme="minorHAnsi" w:hAnsiTheme="minorHAnsi" w:cstheme="minorHAnsi"/>
          <w:sz w:val="22"/>
          <w:szCs w:val="22"/>
        </w:rPr>
        <w:t xml:space="preserve">A misunderstanding or poor knowledge of probability and statistics often leads gamblers to think they can beat the system/casino/house/draw/cards/dice etc. </w:t>
      </w:r>
    </w:p>
    <w:p w:rsidR="0017094B" w:rsidRPr="0017094B" w:rsidRDefault="0017094B" w:rsidP="0017094B">
      <w:pPr>
        <w:pStyle w:val="Default"/>
        <w:rPr>
          <w:rFonts w:asciiTheme="minorHAnsi" w:hAnsiTheme="minorHAnsi" w:cstheme="minorHAnsi"/>
          <w:sz w:val="22"/>
          <w:szCs w:val="22"/>
        </w:rPr>
      </w:pPr>
    </w:p>
    <w:p w:rsidR="0017094B" w:rsidRPr="0017094B" w:rsidRDefault="0017094B" w:rsidP="0017094B">
      <w:pPr>
        <w:pStyle w:val="Default"/>
        <w:rPr>
          <w:rFonts w:asciiTheme="minorHAnsi" w:hAnsiTheme="minorHAnsi" w:cstheme="minorHAnsi"/>
          <w:sz w:val="22"/>
          <w:szCs w:val="22"/>
        </w:rPr>
      </w:pPr>
    </w:p>
    <w:p w:rsidR="0017094B" w:rsidRDefault="0017094B" w:rsidP="0017094B">
      <w:pPr>
        <w:pStyle w:val="Default"/>
        <w:rPr>
          <w:rFonts w:asciiTheme="minorHAnsi" w:hAnsiTheme="minorHAnsi" w:cstheme="minorHAnsi"/>
          <w:b/>
          <w:bCs/>
          <w:sz w:val="22"/>
          <w:szCs w:val="22"/>
        </w:rPr>
      </w:pPr>
      <w:r w:rsidRPr="0017094B">
        <w:rPr>
          <w:rFonts w:asciiTheme="minorHAnsi" w:hAnsiTheme="minorHAnsi" w:cstheme="minorHAnsi"/>
          <w:b/>
          <w:bCs/>
          <w:sz w:val="22"/>
          <w:szCs w:val="22"/>
        </w:rPr>
        <w:t xml:space="preserve">TASK: </w:t>
      </w:r>
    </w:p>
    <w:p w:rsidR="009259F0" w:rsidRPr="0017094B" w:rsidRDefault="009259F0" w:rsidP="0017094B">
      <w:pPr>
        <w:pStyle w:val="Default"/>
        <w:rPr>
          <w:rFonts w:asciiTheme="minorHAnsi" w:hAnsiTheme="minorHAnsi" w:cstheme="minorHAnsi"/>
          <w:sz w:val="22"/>
          <w:szCs w:val="22"/>
        </w:rPr>
      </w:pPr>
    </w:p>
    <w:p w:rsidR="009259F0" w:rsidRPr="009259F0" w:rsidRDefault="009259F0" w:rsidP="0017094B">
      <w:pPr>
        <w:pStyle w:val="Default"/>
        <w:rPr>
          <w:rFonts w:asciiTheme="minorHAnsi" w:hAnsiTheme="minorHAnsi" w:cstheme="minorHAnsi"/>
          <w:sz w:val="22"/>
          <w:szCs w:val="22"/>
          <w:u w:val="single"/>
        </w:rPr>
      </w:pPr>
      <w:r w:rsidRPr="009259F0">
        <w:rPr>
          <w:rFonts w:asciiTheme="minorHAnsi" w:hAnsiTheme="minorHAnsi" w:cstheme="minorHAnsi"/>
          <w:sz w:val="22"/>
          <w:szCs w:val="22"/>
          <w:u w:val="single"/>
        </w:rPr>
        <w:t xml:space="preserve">Part A </w:t>
      </w:r>
    </w:p>
    <w:p w:rsidR="0017094B" w:rsidRDefault="009259F0" w:rsidP="0017094B">
      <w:pPr>
        <w:pStyle w:val="Default"/>
        <w:rPr>
          <w:rFonts w:asciiTheme="minorHAnsi" w:hAnsiTheme="minorHAnsi" w:cstheme="minorHAnsi"/>
          <w:sz w:val="22"/>
          <w:szCs w:val="22"/>
        </w:rPr>
      </w:pPr>
      <w:r>
        <w:rPr>
          <w:rFonts w:asciiTheme="minorHAnsi" w:hAnsiTheme="minorHAnsi" w:cstheme="minorHAnsi"/>
          <w:sz w:val="22"/>
          <w:szCs w:val="22"/>
        </w:rPr>
        <w:t>I</w:t>
      </w:r>
      <w:r w:rsidR="0017094B" w:rsidRPr="0017094B">
        <w:rPr>
          <w:rFonts w:asciiTheme="minorHAnsi" w:hAnsiTheme="minorHAnsi" w:cstheme="minorHAnsi"/>
          <w:sz w:val="22"/>
          <w:szCs w:val="22"/>
        </w:rPr>
        <w:t xml:space="preserve">nvestigate some of these misunderstandings, such as the Gambler’s Fallacy and write a short report on your findings. </w:t>
      </w:r>
    </w:p>
    <w:p w:rsidR="009259F0" w:rsidRDefault="009259F0" w:rsidP="0017094B">
      <w:pPr>
        <w:pStyle w:val="Default"/>
        <w:rPr>
          <w:rFonts w:asciiTheme="minorHAnsi" w:hAnsiTheme="minorHAnsi" w:cstheme="minorHAnsi"/>
          <w:sz w:val="22"/>
          <w:szCs w:val="22"/>
        </w:rPr>
      </w:pPr>
    </w:p>
    <w:p w:rsidR="009259F0" w:rsidRPr="009259F0" w:rsidRDefault="009259F0" w:rsidP="0017094B">
      <w:pPr>
        <w:pStyle w:val="Default"/>
        <w:rPr>
          <w:rFonts w:asciiTheme="minorHAnsi" w:hAnsiTheme="minorHAnsi" w:cstheme="minorHAnsi"/>
          <w:sz w:val="22"/>
          <w:szCs w:val="22"/>
          <w:u w:val="single"/>
        </w:rPr>
      </w:pPr>
      <w:r w:rsidRPr="009259F0">
        <w:rPr>
          <w:rFonts w:asciiTheme="minorHAnsi" w:hAnsiTheme="minorHAnsi" w:cstheme="minorHAnsi"/>
          <w:sz w:val="22"/>
          <w:szCs w:val="22"/>
          <w:u w:val="single"/>
        </w:rPr>
        <w:t>Part B</w:t>
      </w:r>
    </w:p>
    <w:p w:rsidR="0017094B" w:rsidRPr="0017094B" w:rsidRDefault="009259F0" w:rsidP="0017094B">
      <w:pPr>
        <w:pStyle w:val="Default"/>
        <w:rPr>
          <w:rFonts w:asciiTheme="minorHAnsi" w:hAnsiTheme="minorHAnsi" w:cstheme="minorHAnsi"/>
          <w:sz w:val="22"/>
          <w:szCs w:val="22"/>
        </w:rPr>
      </w:pPr>
      <w:r>
        <w:rPr>
          <w:rFonts w:asciiTheme="minorHAnsi" w:hAnsiTheme="minorHAnsi" w:cstheme="minorHAnsi"/>
          <w:sz w:val="22"/>
          <w:szCs w:val="22"/>
        </w:rPr>
        <w:t>D</w:t>
      </w:r>
      <w:r w:rsidR="0017094B" w:rsidRPr="0017094B">
        <w:rPr>
          <w:rFonts w:asciiTheme="minorHAnsi" w:hAnsiTheme="minorHAnsi" w:cstheme="minorHAnsi"/>
          <w:sz w:val="22"/>
          <w:szCs w:val="22"/>
        </w:rPr>
        <w:t>esign your own original game for the local fair</w:t>
      </w:r>
      <w:r>
        <w:rPr>
          <w:rFonts w:asciiTheme="minorHAnsi" w:hAnsiTheme="minorHAnsi" w:cstheme="minorHAnsi"/>
          <w:sz w:val="22"/>
          <w:szCs w:val="22"/>
        </w:rPr>
        <w:t xml:space="preserve"> which is raising money for charity</w:t>
      </w:r>
      <w:r w:rsidR="0017094B" w:rsidRPr="0017094B">
        <w:rPr>
          <w:rFonts w:asciiTheme="minorHAnsi" w:hAnsiTheme="minorHAnsi" w:cstheme="minorHAnsi"/>
          <w:sz w:val="22"/>
          <w:szCs w:val="22"/>
        </w:rPr>
        <w:t xml:space="preserve">. You will need to show all relevant calculations as to whether your game is expected to make a profit or a loss, and give examples of how some of the above misunderstandings may apply to your game (perhaps to your advantage). </w:t>
      </w:r>
    </w:p>
    <w:p w:rsidR="0017094B" w:rsidRPr="0017094B" w:rsidRDefault="0017094B" w:rsidP="0017094B">
      <w:pPr>
        <w:pStyle w:val="Default"/>
        <w:rPr>
          <w:rFonts w:asciiTheme="minorHAnsi" w:hAnsiTheme="minorHAnsi" w:cstheme="minorHAnsi"/>
          <w:sz w:val="22"/>
          <w:szCs w:val="22"/>
        </w:rPr>
      </w:pPr>
      <w:r w:rsidRPr="0017094B">
        <w:rPr>
          <w:rFonts w:asciiTheme="minorHAnsi" w:hAnsiTheme="minorHAnsi" w:cstheme="minorHAnsi"/>
          <w:sz w:val="22"/>
          <w:szCs w:val="22"/>
        </w:rPr>
        <w:t xml:space="preserve">Your report should include the following: </w:t>
      </w:r>
    </w:p>
    <w:p w:rsidR="0017094B" w:rsidRPr="0017094B" w:rsidRDefault="0017094B" w:rsidP="009259F0">
      <w:pPr>
        <w:pStyle w:val="Default"/>
        <w:ind w:left="851" w:hanging="142"/>
        <w:rPr>
          <w:rFonts w:asciiTheme="minorHAnsi" w:hAnsiTheme="minorHAnsi" w:cstheme="minorHAnsi"/>
          <w:sz w:val="22"/>
          <w:szCs w:val="22"/>
        </w:rPr>
      </w:pPr>
      <w:r w:rsidRPr="0017094B">
        <w:rPr>
          <w:rFonts w:asciiTheme="minorHAnsi" w:hAnsiTheme="minorHAnsi" w:cstheme="minorHAnsi"/>
          <w:sz w:val="22"/>
          <w:szCs w:val="22"/>
        </w:rPr>
        <w:t xml:space="preserve">• an outline of the problem, context and question you are investigating </w:t>
      </w:r>
    </w:p>
    <w:p w:rsidR="0017094B" w:rsidRPr="0017094B" w:rsidRDefault="0017094B" w:rsidP="009259F0">
      <w:pPr>
        <w:pStyle w:val="Default"/>
        <w:ind w:left="851" w:hanging="142"/>
        <w:rPr>
          <w:rFonts w:asciiTheme="minorHAnsi" w:hAnsiTheme="minorHAnsi" w:cstheme="minorHAnsi"/>
          <w:sz w:val="22"/>
          <w:szCs w:val="22"/>
        </w:rPr>
      </w:pPr>
      <w:r w:rsidRPr="0017094B">
        <w:rPr>
          <w:rFonts w:asciiTheme="minorHAnsi" w:hAnsiTheme="minorHAnsi" w:cstheme="minorHAnsi"/>
          <w:sz w:val="22"/>
          <w:szCs w:val="22"/>
        </w:rPr>
        <w:t xml:space="preserve">• the method or strategy required to investigate the problem, </w:t>
      </w:r>
    </w:p>
    <w:p w:rsidR="0017094B" w:rsidRPr="0017094B" w:rsidRDefault="0017094B" w:rsidP="009259F0">
      <w:pPr>
        <w:pStyle w:val="Default"/>
        <w:ind w:left="851" w:hanging="142"/>
        <w:rPr>
          <w:rFonts w:asciiTheme="minorHAnsi" w:hAnsiTheme="minorHAnsi" w:cstheme="minorHAnsi"/>
          <w:sz w:val="22"/>
          <w:szCs w:val="22"/>
        </w:rPr>
      </w:pPr>
      <w:r w:rsidRPr="0017094B">
        <w:rPr>
          <w:rFonts w:asciiTheme="minorHAnsi" w:hAnsiTheme="minorHAnsi" w:cstheme="minorHAnsi"/>
          <w:sz w:val="22"/>
          <w:szCs w:val="22"/>
        </w:rPr>
        <w:t xml:space="preserve">• the application of the mathematical methods, models or strategies, including </w:t>
      </w:r>
    </w:p>
    <w:p w:rsidR="0017094B" w:rsidRPr="0017094B" w:rsidRDefault="0017094B" w:rsidP="009259F0">
      <w:pPr>
        <w:pStyle w:val="Default"/>
        <w:ind w:left="1134" w:hanging="141"/>
        <w:rPr>
          <w:rFonts w:asciiTheme="minorHAnsi" w:hAnsiTheme="minorHAnsi" w:cstheme="minorHAnsi"/>
          <w:sz w:val="22"/>
          <w:szCs w:val="22"/>
        </w:rPr>
      </w:pPr>
      <w:r w:rsidRPr="0017094B">
        <w:rPr>
          <w:rFonts w:asciiTheme="minorHAnsi" w:hAnsiTheme="minorHAnsi" w:cstheme="minorHAnsi"/>
          <w:sz w:val="22"/>
          <w:szCs w:val="22"/>
        </w:rPr>
        <w:t xml:space="preserve">– relevant data, information and considerations </w:t>
      </w:r>
    </w:p>
    <w:p w:rsidR="0017094B" w:rsidRPr="0017094B" w:rsidRDefault="0017094B" w:rsidP="009259F0">
      <w:pPr>
        <w:pStyle w:val="Default"/>
        <w:ind w:left="1134" w:hanging="141"/>
        <w:rPr>
          <w:rFonts w:asciiTheme="minorHAnsi" w:hAnsiTheme="minorHAnsi" w:cstheme="minorHAnsi"/>
          <w:sz w:val="22"/>
          <w:szCs w:val="22"/>
        </w:rPr>
      </w:pPr>
      <w:r w:rsidRPr="0017094B">
        <w:rPr>
          <w:rFonts w:asciiTheme="minorHAnsi" w:hAnsiTheme="minorHAnsi" w:cstheme="minorHAnsi"/>
          <w:sz w:val="22"/>
          <w:szCs w:val="22"/>
        </w:rPr>
        <w:t xml:space="preserve">– mathematical calculations and results, using appropriate representations </w:t>
      </w:r>
    </w:p>
    <w:p w:rsidR="0017094B" w:rsidRPr="0017094B" w:rsidRDefault="0017094B" w:rsidP="009259F0">
      <w:pPr>
        <w:pStyle w:val="Default"/>
        <w:ind w:left="1134" w:hanging="141"/>
        <w:rPr>
          <w:rFonts w:asciiTheme="minorHAnsi" w:hAnsiTheme="minorHAnsi" w:cstheme="minorHAnsi"/>
          <w:sz w:val="22"/>
          <w:szCs w:val="22"/>
        </w:rPr>
      </w:pPr>
      <w:r w:rsidRPr="0017094B">
        <w:rPr>
          <w:rFonts w:asciiTheme="minorHAnsi" w:hAnsiTheme="minorHAnsi" w:cstheme="minorHAnsi"/>
          <w:sz w:val="22"/>
          <w:szCs w:val="22"/>
        </w:rPr>
        <w:t xml:space="preserve">– the analysis and interpretation of results, including consideration of any assumptions and the reasonableness and limitations of the results </w:t>
      </w:r>
    </w:p>
    <w:p w:rsidR="0017094B" w:rsidRPr="0017094B" w:rsidRDefault="0017094B" w:rsidP="009259F0">
      <w:pPr>
        <w:pStyle w:val="Default"/>
        <w:ind w:left="851" w:hanging="142"/>
        <w:rPr>
          <w:rFonts w:asciiTheme="minorHAnsi" w:hAnsiTheme="minorHAnsi" w:cstheme="minorHAnsi"/>
          <w:sz w:val="22"/>
          <w:szCs w:val="22"/>
        </w:rPr>
      </w:pPr>
      <w:r w:rsidRPr="0017094B">
        <w:rPr>
          <w:rFonts w:asciiTheme="minorHAnsi" w:hAnsiTheme="minorHAnsi" w:cstheme="minorHAnsi"/>
          <w:sz w:val="22"/>
          <w:szCs w:val="22"/>
        </w:rPr>
        <w:t xml:space="preserve">• the results and conclusions in the context of the problem. </w:t>
      </w:r>
    </w:p>
    <w:p w:rsidR="0017094B" w:rsidRPr="0017094B" w:rsidRDefault="0017094B" w:rsidP="0017094B">
      <w:pPr>
        <w:pStyle w:val="Default"/>
        <w:rPr>
          <w:rFonts w:asciiTheme="minorHAnsi" w:hAnsiTheme="minorHAnsi" w:cstheme="minorHAnsi"/>
          <w:sz w:val="22"/>
          <w:szCs w:val="22"/>
        </w:rPr>
      </w:pPr>
    </w:p>
    <w:p w:rsidR="0017094B" w:rsidRPr="0017094B" w:rsidRDefault="0017094B" w:rsidP="0017094B">
      <w:pPr>
        <w:pStyle w:val="Default"/>
        <w:rPr>
          <w:rFonts w:asciiTheme="minorHAnsi" w:hAnsiTheme="minorHAnsi" w:cstheme="minorHAnsi"/>
          <w:sz w:val="22"/>
          <w:szCs w:val="22"/>
        </w:rPr>
      </w:pPr>
      <w:r w:rsidRPr="0017094B">
        <w:rPr>
          <w:rFonts w:asciiTheme="minorHAnsi" w:hAnsiTheme="minorHAnsi" w:cstheme="minorHAnsi"/>
          <w:sz w:val="22"/>
          <w:szCs w:val="22"/>
        </w:rPr>
        <w:t>A bibliography and appendices, as appropriate, may be used</w:t>
      </w:r>
      <w:r w:rsidRPr="0017094B">
        <w:rPr>
          <w:rFonts w:asciiTheme="minorHAnsi" w:hAnsiTheme="minorHAnsi" w:cstheme="minorHAnsi"/>
          <w:b/>
          <w:bCs/>
          <w:sz w:val="22"/>
          <w:szCs w:val="22"/>
        </w:rPr>
        <w:t xml:space="preserve">. </w:t>
      </w:r>
    </w:p>
    <w:p w:rsidR="009259F0" w:rsidRDefault="009259F0" w:rsidP="0017094B">
      <w:pPr>
        <w:tabs>
          <w:tab w:val="left" w:pos="567"/>
          <w:tab w:val="left" w:pos="992"/>
          <w:tab w:val="left" w:pos="1134"/>
          <w:tab w:val="right" w:pos="8505"/>
        </w:tabs>
        <w:spacing w:line="276" w:lineRule="auto"/>
        <w:rPr>
          <w:rFonts w:cstheme="minorHAnsi"/>
        </w:rPr>
      </w:pPr>
    </w:p>
    <w:p w:rsidR="009259F0" w:rsidRDefault="009259F0" w:rsidP="0017094B">
      <w:pPr>
        <w:tabs>
          <w:tab w:val="left" w:pos="567"/>
          <w:tab w:val="left" w:pos="992"/>
          <w:tab w:val="left" w:pos="1134"/>
          <w:tab w:val="right" w:pos="8505"/>
        </w:tabs>
        <w:spacing w:line="276" w:lineRule="auto"/>
        <w:rPr>
          <w:rFonts w:cstheme="minorHAnsi"/>
        </w:rPr>
      </w:pPr>
    </w:p>
    <w:p w:rsidR="009259F0" w:rsidRDefault="009259F0" w:rsidP="0017094B">
      <w:pPr>
        <w:tabs>
          <w:tab w:val="left" w:pos="567"/>
          <w:tab w:val="left" w:pos="992"/>
          <w:tab w:val="left" w:pos="1134"/>
          <w:tab w:val="right" w:pos="8505"/>
        </w:tabs>
        <w:spacing w:line="276" w:lineRule="auto"/>
        <w:rPr>
          <w:rFonts w:cstheme="minorHAnsi"/>
        </w:rPr>
      </w:pPr>
    </w:p>
    <w:p w:rsidR="009259F0" w:rsidRPr="0017094B" w:rsidRDefault="009259F0" w:rsidP="0017094B">
      <w:pPr>
        <w:tabs>
          <w:tab w:val="left" w:pos="567"/>
          <w:tab w:val="left" w:pos="992"/>
          <w:tab w:val="left" w:pos="1134"/>
          <w:tab w:val="right" w:pos="8505"/>
        </w:tabs>
        <w:spacing w:line="276" w:lineRule="auto"/>
        <w:rPr>
          <w:rFonts w:cstheme="minorHAnsi"/>
        </w:rPr>
      </w:pPr>
    </w:p>
    <w:p w:rsidR="009259F0" w:rsidRDefault="009259F0" w:rsidP="0017094B">
      <w:r>
        <w:t>Gambling Help Online,</w:t>
      </w:r>
      <w:r>
        <w:t xml:space="preserve"> (2018), retrieved </w:t>
      </w:r>
      <w:r>
        <w:t>17/07/2020</w:t>
      </w:r>
      <w:r>
        <w:t xml:space="preserve"> from </w:t>
      </w:r>
      <w:hyperlink r:id="rId6" w:history="1">
        <w:r w:rsidRPr="009259F0">
          <w:rPr>
            <w:rStyle w:val="Hyperlink"/>
          </w:rPr>
          <w:t>https://www.gamblinghelponline.org.au/understanding-gambling/what-is-gambling</w:t>
        </w:r>
      </w:hyperlink>
    </w:p>
    <w:p w:rsidR="00894F75" w:rsidRPr="0017094B" w:rsidRDefault="009259F0">
      <w:pPr>
        <w:rPr>
          <w:rFonts w:cstheme="minorHAnsi"/>
        </w:rPr>
      </w:pPr>
      <w:r>
        <w:rPr>
          <w:rFonts w:cstheme="minorHAnsi"/>
        </w:rPr>
        <w:t xml:space="preserve">Investigation adapted from </w:t>
      </w:r>
      <w:proofErr w:type="spellStart"/>
      <w:r>
        <w:rPr>
          <w:rFonts w:cstheme="minorHAnsi"/>
        </w:rPr>
        <w:t>Manea</w:t>
      </w:r>
      <w:proofErr w:type="spellEnd"/>
      <w:r>
        <w:rPr>
          <w:rFonts w:cstheme="minorHAnsi"/>
        </w:rPr>
        <w:t xml:space="preserve"> Senior College.</w:t>
      </w:r>
      <w:bookmarkStart w:id="0" w:name="_GoBack"/>
      <w:bookmarkEnd w:id="0"/>
    </w:p>
    <w:sectPr w:rsidR="00894F75" w:rsidRPr="0017094B" w:rsidSect="00894F7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85139"/>
    <w:multiLevelType w:val="hybridMultilevel"/>
    <w:tmpl w:val="A14421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80398F"/>
    <w:multiLevelType w:val="hybridMultilevel"/>
    <w:tmpl w:val="A53EA4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33E809F9"/>
    <w:multiLevelType w:val="hybridMultilevel"/>
    <w:tmpl w:val="5BE028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 w15:restartNumberingAfterBreak="0">
    <w:nsid w:val="34500DDC"/>
    <w:multiLevelType w:val="hybridMultilevel"/>
    <w:tmpl w:val="AA4A6F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8D2666B"/>
    <w:multiLevelType w:val="hybridMultilevel"/>
    <w:tmpl w:val="6B24B5BE"/>
    <w:lvl w:ilvl="0" w:tplc="5296AF7C">
      <w:start w:val="1"/>
      <w:numFmt w:val="bullet"/>
      <w:pStyle w:val="SOFinalBulletsIndented"/>
      <w:lvlText w:val="–"/>
      <w:lvlJc w:val="left"/>
      <w:pPr>
        <w:tabs>
          <w:tab w:val="num" w:pos="227"/>
        </w:tabs>
        <w:ind w:left="227" w:firstLine="0"/>
      </w:pPr>
      <w:rPr>
        <w:rFonts w:ascii="Arial"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4B815FEC"/>
    <w:multiLevelType w:val="hybridMultilevel"/>
    <w:tmpl w:val="6B1EF7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6" w15:restartNumberingAfterBreak="0">
    <w:nsid w:val="7CD95BB7"/>
    <w:multiLevelType w:val="hybridMultilevel"/>
    <w:tmpl w:val="783AD4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D4E7215"/>
    <w:multiLevelType w:val="multilevel"/>
    <w:tmpl w:val="DDA6B658"/>
    <w:lvl w:ilvl="0">
      <w:start w:val="1"/>
      <w:numFmt w:val="decimal"/>
      <w:lvlText w:val="%1"/>
      <w:lvlJc w:val="left"/>
      <w:pPr>
        <w:ind w:left="435" w:hanging="435"/>
      </w:pPr>
      <w:rPr>
        <w:rFonts w:hint="default"/>
      </w:rPr>
    </w:lvl>
    <w:lvl w:ilvl="1">
      <w:start w:val="1"/>
      <w:numFmt w:val="decimal"/>
      <w:lvlText w:val="%1.%2"/>
      <w:lvlJc w:val="left"/>
      <w:pPr>
        <w:ind w:left="615" w:hanging="435"/>
      </w:pPr>
      <w:rPr>
        <w:rFonts w:hint="default"/>
      </w:rPr>
    </w:lvl>
    <w:lvl w:ilvl="2">
      <w:start w:val="1"/>
      <w:numFmt w:val="decimal"/>
      <w:lvlText w:val="%1.%2.%3"/>
      <w:lvlJc w:val="left"/>
      <w:pPr>
        <w:ind w:left="1080" w:hanging="720"/>
      </w:pPr>
      <w:rPr>
        <w:rFonts w:hint="default"/>
        <w:i w:val="0"/>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num w:numId="1">
    <w:abstractNumId w:val="4"/>
  </w:num>
  <w:num w:numId="2">
    <w:abstractNumId w:val="2"/>
  </w:num>
  <w:num w:numId="3">
    <w:abstractNumId w:val="5"/>
  </w:num>
  <w:num w:numId="4">
    <w:abstractNumId w:val="7"/>
  </w:num>
  <w:num w:numId="5">
    <w:abstractNumId w:val="1"/>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F75"/>
    <w:rsid w:val="00154374"/>
    <w:rsid w:val="0017094B"/>
    <w:rsid w:val="00296FA1"/>
    <w:rsid w:val="002C1037"/>
    <w:rsid w:val="005F0976"/>
    <w:rsid w:val="00894F75"/>
    <w:rsid w:val="009259F0"/>
    <w:rsid w:val="00AF5ED5"/>
    <w:rsid w:val="00B77EDC"/>
    <w:rsid w:val="00BA6CD2"/>
    <w:rsid w:val="00D20F67"/>
    <w:rsid w:val="00E50CE7"/>
    <w:rsid w:val="00F771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1A05A"/>
  <w15:chartTrackingRefBased/>
  <w15:docId w15:val="{AE8367BE-6BBE-4E73-BCA8-F01E62755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A6CD2"/>
    <w:pPr>
      <w:keepNext/>
      <w:spacing w:after="0" w:line="240" w:lineRule="auto"/>
      <w:jc w:val="center"/>
      <w:outlineLvl w:val="0"/>
    </w:pPr>
    <w:rPr>
      <w:rFonts w:ascii="Times New Roman" w:eastAsia="Times New Roman" w:hAnsi="Times New Roman" w:cs="Times New Roman"/>
      <w:b/>
      <w:sz w:val="32"/>
      <w:szCs w:val="20"/>
      <w:u w:val="single"/>
      <w:lang w:val="en-US"/>
    </w:rPr>
  </w:style>
  <w:style w:type="paragraph" w:styleId="Heading2">
    <w:name w:val="heading 2"/>
    <w:basedOn w:val="Normal"/>
    <w:next w:val="Normal"/>
    <w:link w:val="Heading2Char"/>
    <w:uiPriority w:val="9"/>
    <w:semiHidden/>
    <w:unhideWhenUsed/>
    <w:qFormat/>
    <w:rsid w:val="00296F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94F75"/>
    <w:pPr>
      <w:spacing w:after="0" w:line="240" w:lineRule="auto"/>
    </w:pPr>
    <w:rPr>
      <w:rFonts w:ascii="Arial" w:eastAsiaTheme="minorEastAsia" w:hAnsi="Arial"/>
      <w:sz w:val="24"/>
      <w:szCs w:val="24"/>
      <w:lang w:val="en-US"/>
    </w:rPr>
  </w:style>
  <w:style w:type="character" w:customStyle="1" w:styleId="SOFinalBulletsCharChar">
    <w:name w:val="SO Final Bullets Char Char"/>
    <w:link w:val="SOFinalBullets"/>
    <w:locked/>
    <w:rsid w:val="00894F75"/>
    <w:rPr>
      <w:rFonts w:ascii="MS Mincho" w:eastAsia="MS Mincho" w:hAnsi="MS Mincho" w:cs="Arial"/>
      <w:b/>
      <w:color w:val="000000"/>
      <w:szCs w:val="20"/>
    </w:rPr>
  </w:style>
  <w:style w:type="paragraph" w:customStyle="1" w:styleId="SOFinalBullets">
    <w:name w:val="SO Final Bullets"/>
    <w:link w:val="SOFinalBulletsCharChar"/>
    <w:autoRedefine/>
    <w:rsid w:val="00894F75"/>
    <w:pPr>
      <w:spacing w:before="60" w:after="0" w:line="360" w:lineRule="auto"/>
    </w:pPr>
    <w:rPr>
      <w:rFonts w:ascii="MS Mincho" w:eastAsia="MS Mincho" w:hAnsi="MS Mincho" w:cs="Arial"/>
      <w:b/>
      <w:color w:val="000000"/>
      <w:szCs w:val="20"/>
    </w:rPr>
  </w:style>
  <w:style w:type="paragraph" w:customStyle="1" w:styleId="SOFinalBulletsIndented">
    <w:name w:val="SO Final Bullets Indented"/>
    <w:rsid w:val="00894F75"/>
    <w:pPr>
      <w:numPr>
        <w:numId w:val="1"/>
      </w:numPr>
      <w:spacing w:before="60" w:after="0" w:line="240" w:lineRule="auto"/>
    </w:pPr>
    <w:rPr>
      <w:rFonts w:ascii="Arial" w:eastAsia="Times New Roman" w:hAnsi="Arial" w:cs="Arial"/>
      <w:color w:val="000000"/>
      <w:sz w:val="20"/>
      <w:szCs w:val="20"/>
      <w:lang w:val="en-US"/>
    </w:rPr>
  </w:style>
  <w:style w:type="paragraph" w:styleId="BalloonText">
    <w:name w:val="Balloon Text"/>
    <w:basedOn w:val="Normal"/>
    <w:link w:val="BalloonTextChar"/>
    <w:uiPriority w:val="99"/>
    <w:semiHidden/>
    <w:unhideWhenUsed/>
    <w:rsid w:val="001543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4374"/>
    <w:rPr>
      <w:rFonts w:ascii="Segoe UI" w:hAnsi="Segoe UI" w:cs="Segoe UI"/>
      <w:sz w:val="18"/>
      <w:szCs w:val="18"/>
    </w:rPr>
  </w:style>
  <w:style w:type="character" w:customStyle="1" w:styleId="Heading1Char">
    <w:name w:val="Heading 1 Char"/>
    <w:basedOn w:val="DefaultParagraphFont"/>
    <w:link w:val="Heading1"/>
    <w:rsid w:val="00BA6CD2"/>
    <w:rPr>
      <w:rFonts w:ascii="Times New Roman" w:eastAsia="Times New Roman" w:hAnsi="Times New Roman" w:cs="Times New Roman"/>
      <w:b/>
      <w:sz w:val="32"/>
      <w:szCs w:val="20"/>
      <w:u w:val="single"/>
      <w:lang w:val="en-US"/>
    </w:rPr>
  </w:style>
  <w:style w:type="paragraph" w:customStyle="1" w:styleId="Paragraph">
    <w:name w:val="Paragraph"/>
    <w:basedOn w:val="Normal"/>
    <w:link w:val="ParagraphChar"/>
    <w:qFormat/>
    <w:rsid w:val="00BA6CD2"/>
    <w:pPr>
      <w:spacing w:before="120" w:after="120" w:line="276" w:lineRule="auto"/>
    </w:pPr>
    <w:rPr>
      <w:rFonts w:ascii="Arial" w:hAnsi="Arial" w:cs="Arial"/>
      <w:color w:val="595959" w:themeColor="text1" w:themeTint="A6"/>
      <w:lang w:eastAsia="en-AU"/>
    </w:rPr>
  </w:style>
  <w:style w:type="character" w:customStyle="1" w:styleId="ParagraphChar">
    <w:name w:val="Paragraph Char"/>
    <w:basedOn w:val="DefaultParagraphFont"/>
    <w:link w:val="Paragraph"/>
    <w:locked/>
    <w:rsid w:val="00BA6CD2"/>
    <w:rPr>
      <w:rFonts w:ascii="Arial" w:hAnsi="Arial" w:cs="Arial"/>
      <w:color w:val="595959" w:themeColor="text1" w:themeTint="A6"/>
      <w:lang w:eastAsia="en-AU"/>
    </w:rPr>
  </w:style>
  <w:style w:type="character" w:customStyle="1" w:styleId="Heading2Char">
    <w:name w:val="Heading 2 Char"/>
    <w:basedOn w:val="DefaultParagraphFont"/>
    <w:link w:val="Heading2"/>
    <w:uiPriority w:val="9"/>
    <w:semiHidden/>
    <w:rsid w:val="00296FA1"/>
    <w:rPr>
      <w:rFonts w:asciiTheme="majorHAnsi" w:eastAsiaTheme="majorEastAsia" w:hAnsiTheme="majorHAnsi" w:cstheme="majorBidi"/>
      <w:color w:val="2E74B5" w:themeColor="accent1" w:themeShade="BF"/>
      <w:sz w:val="26"/>
      <w:szCs w:val="26"/>
    </w:rPr>
  </w:style>
  <w:style w:type="paragraph" w:customStyle="1" w:styleId="Default">
    <w:name w:val="Default"/>
    <w:rsid w:val="0017094B"/>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9259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47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mblinghelponline.org.au/understanding-gambling/what-is-gamblin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 Joanne [Baldivis Secondary College]</dc:creator>
  <cp:keywords/>
  <dc:description/>
  <cp:lastModifiedBy>RUST Joanne [Baldivis Secondary College]</cp:lastModifiedBy>
  <cp:revision>3</cp:revision>
  <cp:lastPrinted>2019-08-28T09:38:00Z</cp:lastPrinted>
  <dcterms:created xsi:type="dcterms:W3CDTF">2020-07-17T07:24:00Z</dcterms:created>
  <dcterms:modified xsi:type="dcterms:W3CDTF">2020-07-17T07:33:00Z</dcterms:modified>
</cp:coreProperties>
</file>