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17" w:type="dxa"/>
        <w:tblLook w:val="04A0" w:firstRow="1" w:lastRow="0" w:firstColumn="1" w:lastColumn="0" w:noHBand="0" w:noVBand="1"/>
      </w:tblPr>
      <w:tblGrid>
        <w:gridCol w:w="1382"/>
        <w:gridCol w:w="3421"/>
        <w:gridCol w:w="3814"/>
        <w:gridCol w:w="3815"/>
        <w:gridCol w:w="2685"/>
      </w:tblGrid>
      <w:tr w:rsidR="00817871" w:rsidRPr="00785C41" w14:paraId="0415A424" w14:textId="77777777" w:rsidTr="00817871">
        <w:trPr>
          <w:cantSplit/>
          <w:trHeight w:val="26"/>
        </w:trPr>
        <w:tc>
          <w:tcPr>
            <w:tcW w:w="1382" w:type="dxa"/>
            <w:shd w:val="clear" w:color="auto" w:fill="F7CAAC" w:themeFill="accent2" w:themeFillTint="66"/>
            <w:textDirection w:val="btLr"/>
          </w:tcPr>
          <w:p w14:paraId="197788CF" w14:textId="77777777" w:rsidR="00817871" w:rsidRPr="00785C41" w:rsidRDefault="00817871" w:rsidP="00867BFA">
            <w:pPr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235" w:type="dxa"/>
            <w:gridSpan w:val="2"/>
            <w:shd w:val="clear" w:color="auto" w:fill="DEEAF6" w:themeFill="accent1" w:themeFillTint="33"/>
          </w:tcPr>
          <w:p w14:paraId="307FFD28" w14:textId="6F8079A1" w:rsidR="00817871" w:rsidRPr="00785C41" w:rsidRDefault="00817871" w:rsidP="00CA3DCE">
            <w:pPr>
              <w:jc w:val="center"/>
              <w:rPr>
                <w:b/>
              </w:rPr>
            </w:pPr>
            <w:r>
              <w:rPr>
                <w:b/>
              </w:rPr>
              <w:t>Part 3</w:t>
            </w:r>
          </w:p>
        </w:tc>
        <w:tc>
          <w:tcPr>
            <w:tcW w:w="6500" w:type="dxa"/>
            <w:gridSpan w:val="2"/>
            <w:shd w:val="clear" w:color="auto" w:fill="F7CAAC" w:themeFill="accent2" w:themeFillTint="66"/>
          </w:tcPr>
          <w:p w14:paraId="0E1CDB4C" w14:textId="24D92D8C" w:rsidR="00817871" w:rsidRPr="00785C41" w:rsidRDefault="00817871" w:rsidP="00867BFA">
            <w:pPr>
              <w:jc w:val="center"/>
              <w:rPr>
                <w:b/>
              </w:rPr>
            </w:pPr>
            <w:r>
              <w:rPr>
                <w:b/>
              </w:rPr>
              <w:t>Part 1 and 2</w:t>
            </w:r>
          </w:p>
        </w:tc>
      </w:tr>
      <w:tr w:rsidR="00326B6A" w:rsidRPr="00785C41" w14:paraId="05234609" w14:textId="77777777" w:rsidTr="00817871">
        <w:trPr>
          <w:cantSplit/>
          <w:trHeight w:val="26"/>
        </w:trPr>
        <w:tc>
          <w:tcPr>
            <w:tcW w:w="1382" w:type="dxa"/>
            <w:shd w:val="clear" w:color="auto" w:fill="F7CAAC" w:themeFill="accent2" w:themeFillTint="66"/>
            <w:textDirection w:val="btLr"/>
          </w:tcPr>
          <w:p w14:paraId="0258F222" w14:textId="77777777" w:rsidR="00867BFA" w:rsidRPr="00785C41" w:rsidRDefault="00867BFA" w:rsidP="00867BFA">
            <w:pPr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DEEAF6" w:themeFill="accent1" w:themeFillTint="33"/>
          </w:tcPr>
          <w:p w14:paraId="294DB35B" w14:textId="77777777" w:rsidR="00867BFA" w:rsidRPr="00785C41" w:rsidRDefault="00243191" w:rsidP="00CA3DCE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5-6</w:t>
            </w:r>
            <w:r w:rsidR="00867BFA" w:rsidRPr="00785C41">
              <w:rPr>
                <w:b/>
              </w:rPr>
              <w:t xml:space="preserve"> </w:t>
            </w:r>
          </w:p>
        </w:tc>
        <w:tc>
          <w:tcPr>
            <w:tcW w:w="3814" w:type="dxa"/>
            <w:shd w:val="clear" w:color="auto" w:fill="DEEAF6" w:themeFill="accent1" w:themeFillTint="33"/>
          </w:tcPr>
          <w:p w14:paraId="24E67BF6" w14:textId="77777777" w:rsidR="00867BFA" w:rsidRPr="00785C41" w:rsidRDefault="00243191" w:rsidP="00CA3DCE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3-4</w:t>
            </w:r>
          </w:p>
        </w:tc>
        <w:tc>
          <w:tcPr>
            <w:tcW w:w="3815" w:type="dxa"/>
            <w:shd w:val="clear" w:color="auto" w:fill="F7CAAC" w:themeFill="accent2" w:themeFillTint="66"/>
          </w:tcPr>
          <w:p w14:paraId="392E44F0" w14:textId="77777777" w:rsidR="00867BFA" w:rsidRPr="00785C41" w:rsidRDefault="00243191" w:rsidP="00CA3DCE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1-2</w:t>
            </w:r>
          </w:p>
        </w:tc>
        <w:tc>
          <w:tcPr>
            <w:tcW w:w="2685" w:type="dxa"/>
            <w:shd w:val="clear" w:color="auto" w:fill="F7CAAC" w:themeFill="accent2" w:themeFillTint="66"/>
          </w:tcPr>
          <w:p w14:paraId="3F178A59" w14:textId="77777777" w:rsidR="00867BFA" w:rsidRPr="00785C41" w:rsidRDefault="00243191" w:rsidP="00867BFA">
            <w:pPr>
              <w:jc w:val="center"/>
              <w:rPr>
                <w:rFonts w:ascii="Calibri" w:eastAsia="MS Mincho" w:hAnsi="Calibri" w:cstheme="minorHAnsi"/>
                <w:lang w:eastAsia="ja-JP"/>
              </w:rPr>
            </w:pPr>
            <w:r w:rsidRPr="00785C41">
              <w:rPr>
                <w:b/>
              </w:rPr>
              <w:t>0-1</w:t>
            </w:r>
          </w:p>
        </w:tc>
      </w:tr>
      <w:tr w:rsidR="00326B6A" w:rsidRPr="00785C41" w14:paraId="0875B19A" w14:textId="77777777" w:rsidTr="00817871">
        <w:trPr>
          <w:cantSplit/>
          <w:trHeight w:val="1194"/>
        </w:trPr>
        <w:tc>
          <w:tcPr>
            <w:tcW w:w="1382" w:type="dxa"/>
            <w:shd w:val="clear" w:color="auto" w:fill="FCEEE4"/>
            <w:textDirection w:val="btLr"/>
          </w:tcPr>
          <w:p w14:paraId="3542889C" w14:textId="77777777" w:rsidR="006814F8" w:rsidRPr="00785C41" w:rsidRDefault="006814F8" w:rsidP="006814F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  <w:r w:rsidRPr="00785C41"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  <w:t>Identifies and organises relevant information</w:t>
            </w:r>
          </w:p>
        </w:tc>
        <w:tc>
          <w:tcPr>
            <w:tcW w:w="3421" w:type="dxa"/>
            <w:shd w:val="clear" w:color="auto" w:fill="BDD6EE" w:themeFill="accent1" w:themeFillTint="66"/>
          </w:tcPr>
          <w:p w14:paraId="547F8B22" w14:textId="77777777" w:rsidR="006814F8" w:rsidRPr="00817871" w:rsidRDefault="006814F8" w:rsidP="009B3120">
            <w:pPr>
              <w:rPr>
                <w:rFonts w:eastAsia="MS Mincho" w:cstheme="minorHAnsi"/>
                <w:bCs/>
                <w:sz w:val="18"/>
                <w:szCs w:val="18"/>
                <w:lang w:eastAsia="ja-JP"/>
              </w:rPr>
            </w:pPr>
            <w:r w:rsidRPr="00817871">
              <w:rPr>
                <w:rFonts w:eastAsia="MS Mincho" w:cstheme="minorHAnsi"/>
                <w:bCs/>
                <w:sz w:val="18"/>
                <w:szCs w:val="18"/>
                <w:lang w:eastAsia="ja-JP"/>
              </w:rPr>
              <w:t>Identifies the underlying assumptions related to the relevant mathematics of an investigation.</w:t>
            </w:r>
          </w:p>
          <w:p w14:paraId="51F1CED7" w14:textId="0A86939B" w:rsidR="00DD052F" w:rsidRPr="00817871" w:rsidRDefault="00E17403" w:rsidP="001E7A43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Part C – conclusion clearly addresses the problem.</w:t>
            </w:r>
          </w:p>
        </w:tc>
        <w:tc>
          <w:tcPr>
            <w:tcW w:w="3814" w:type="dxa"/>
            <w:shd w:val="clear" w:color="auto" w:fill="BDD6EE" w:themeFill="accent1" w:themeFillTint="66"/>
          </w:tcPr>
          <w:p w14:paraId="449900E5" w14:textId="77777777" w:rsidR="006814F8" w:rsidRPr="00817871" w:rsidRDefault="006814F8" w:rsidP="00243191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Identifies suitable variables and constant parameters related to various aspects of an investigation.</w:t>
            </w:r>
          </w:p>
          <w:p w14:paraId="4E461179" w14:textId="5A1A228D" w:rsidR="00C42A66" w:rsidRPr="00817871" w:rsidRDefault="00E17403" w:rsidP="006A2F12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Part C – identified appropriate variables for modelling</w:t>
            </w:r>
          </w:p>
        </w:tc>
        <w:tc>
          <w:tcPr>
            <w:tcW w:w="3815" w:type="dxa"/>
            <w:shd w:val="clear" w:color="auto" w:fill="FCEEE4"/>
          </w:tcPr>
          <w:p w14:paraId="711926D8" w14:textId="77777777" w:rsidR="006814F8" w:rsidRPr="00817871" w:rsidRDefault="006814F8" w:rsidP="009B3120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Identifies the key mathematical content related to various aspects of an investigation in a given context.</w:t>
            </w:r>
          </w:p>
          <w:p w14:paraId="6EC16FE3" w14:textId="4FEE3253" w:rsidR="006A2F12" w:rsidRPr="00817871" w:rsidRDefault="00E17403" w:rsidP="009B3120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Part A and B – using the correct content from the given problem</w:t>
            </w:r>
          </w:p>
        </w:tc>
        <w:tc>
          <w:tcPr>
            <w:tcW w:w="2685" w:type="dxa"/>
            <w:shd w:val="clear" w:color="auto" w:fill="FCEEE4"/>
          </w:tcPr>
          <w:p w14:paraId="280C4C4E" w14:textId="77777777" w:rsidR="006814F8" w:rsidRPr="00817871" w:rsidRDefault="006814F8" w:rsidP="009B3120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Identifies some mathematical content of an investigation.</w:t>
            </w:r>
          </w:p>
          <w:p w14:paraId="0DEE4264" w14:textId="30D96149" w:rsidR="00DD052F" w:rsidRPr="00817871" w:rsidRDefault="00E17403" w:rsidP="009B3120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Part A and B – using some of the correct content from the given problems</w:t>
            </w:r>
          </w:p>
        </w:tc>
      </w:tr>
      <w:tr w:rsidR="00326B6A" w:rsidRPr="00785C41" w14:paraId="79BC0D6D" w14:textId="77777777" w:rsidTr="00817871">
        <w:trPr>
          <w:cantSplit/>
          <w:trHeight w:val="26"/>
        </w:trPr>
        <w:tc>
          <w:tcPr>
            <w:tcW w:w="1382" w:type="dxa"/>
            <w:shd w:val="clear" w:color="auto" w:fill="FCEEE4"/>
            <w:textDirection w:val="btLr"/>
          </w:tcPr>
          <w:p w14:paraId="262B080F" w14:textId="77777777" w:rsidR="00C24C8D" w:rsidRPr="00785C41" w:rsidRDefault="00C24C8D" w:rsidP="00C24C8D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DEEAF6" w:themeFill="accent1" w:themeFillTint="33"/>
          </w:tcPr>
          <w:p w14:paraId="5BE0FA3E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6-7</w:t>
            </w:r>
          </w:p>
        </w:tc>
        <w:tc>
          <w:tcPr>
            <w:tcW w:w="3814" w:type="dxa"/>
            <w:shd w:val="clear" w:color="auto" w:fill="DEEAF6" w:themeFill="accent1" w:themeFillTint="33"/>
          </w:tcPr>
          <w:p w14:paraId="60ED11B6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4-5</w:t>
            </w:r>
          </w:p>
        </w:tc>
        <w:tc>
          <w:tcPr>
            <w:tcW w:w="3815" w:type="dxa"/>
            <w:shd w:val="clear" w:color="auto" w:fill="F4B083" w:themeFill="accent2" w:themeFillTint="99"/>
          </w:tcPr>
          <w:p w14:paraId="01CD5042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2-3</w:t>
            </w:r>
          </w:p>
        </w:tc>
        <w:tc>
          <w:tcPr>
            <w:tcW w:w="2685" w:type="dxa"/>
            <w:shd w:val="clear" w:color="auto" w:fill="F4B083" w:themeFill="accent2" w:themeFillTint="99"/>
          </w:tcPr>
          <w:p w14:paraId="3C8C9EFC" w14:textId="77777777" w:rsidR="00C24C8D" w:rsidRPr="00785C41" w:rsidRDefault="00C24C8D" w:rsidP="00C24C8D">
            <w:pPr>
              <w:jc w:val="center"/>
              <w:rPr>
                <w:rFonts w:ascii="Calibri" w:eastAsia="MS Mincho" w:hAnsi="Calibri" w:cstheme="minorHAnsi"/>
                <w:lang w:eastAsia="ja-JP"/>
              </w:rPr>
            </w:pPr>
            <w:r w:rsidRPr="00785C41">
              <w:rPr>
                <w:b/>
              </w:rPr>
              <w:t>0-1</w:t>
            </w:r>
          </w:p>
        </w:tc>
      </w:tr>
      <w:tr w:rsidR="00326B6A" w:rsidRPr="00785C41" w14:paraId="3A65F15A" w14:textId="77777777" w:rsidTr="00817871">
        <w:trPr>
          <w:cantSplit/>
          <w:trHeight w:val="1557"/>
        </w:trPr>
        <w:tc>
          <w:tcPr>
            <w:tcW w:w="1382" w:type="dxa"/>
            <w:shd w:val="clear" w:color="auto" w:fill="FCEEE4"/>
            <w:textDirection w:val="btLr"/>
          </w:tcPr>
          <w:p w14:paraId="3E5C044F" w14:textId="77777777" w:rsidR="00C24C8D" w:rsidRPr="00785C41" w:rsidRDefault="00C24C8D" w:rsidP="00C24C8D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  <w:r w:rsidRPr="00785C41"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  <w:t>Chooses effective models and methods and carries the methods through correctly</w:t>
            </w:r>
          </w:p>
          <w:p w14:paraId="6B1E3253" w14:textId="77777777" w:rsidR="00C24C8D" w:rsidRPr="00785C41" w:rsidRDefault="00C24C8D" w:rsidP="00C24C8D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FFFFFF" w:themeColor="background1"/>
                <w:sz w:val="18"/>
                <w:szCs w:val="18"/>
              </w:rPr>
            </w:pPr>
          </w:p>
          <w:p w14:paraId="007D7C03" w14:textId="77777777" w:rsidR="00C24C8D" w:rsidRPr="00785C41" w:rsidRDefault="00C24C8D" w:rsidP="00C24C8D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BDD6EE" w:themeFill="accent1" w:themeFillTint="66"/>
          </w:tcPr>
          <w:p w14:paraId="690B3B41" w14:textId="77777777" w:rsidR="00C24C8D" w:rsidRPr="00817871" w:rsidRDefault="00C24C8D" w:rsidP="00C24C8D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Produces results, carries out analysis and generalises in situations requiring investigative techniques.</w:t>
            </w:r>
          </w:p>
          <w:p w14:paraId="1CB5A452" w14:textId="1132919A" w:rsidR="00C24C8D" w:rsidRPr="00817871" w:rsidRDefault="00E17403" w:rsidP="00C24C8D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Part C –</w:t>
            </w:r>
            <w:r w:rsidR="009008B3" w:rsidRPr="00817871">
              <w:rPr>
                <w:rFonts w:cs="Arial"/>
                <w:bCs/>
                <w:sz w:val="18"/>
                <w:szCs w:val="18"/>
              </w:rPr>
              <w:t xml:space="preserve"> correct maths used to generate results, analysis of results conducted</w:t>
            </w:r>
          </w:p>
        </w:tc>
        <w:tc>
          <w:tcPr>
            <w:tcW w:w="3814" w:type="dxa"/>
            <w:shd w:val="clear" w:color="auto" w:fill="BDD6EE" w:themeFill="accent1" w:themeFillTint="66"/>
          </w:tcPr>
          <w:p w14:paraId="4AF2B407" w14:textId="77777777" w:rsidR="00BE1EDF" w:rsidRPr="00817871" w:rsidRDefault="00C24C8D" w:rsidP="00307D12">
            <w:pPr>
              <w:tabs>
                <w:tab w:val="left" w:pos="1200"/>
              </w:tabs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Attempts to analyse and calculate specific cases of generalisation in situations requiring investigative techniques.</w:t>
            </w:r>
          </w:p>
          <w:p w14:paraId="1A763243" w14:textId="1AA2AA28" w:rsidR="00C24C8D" w:rsidRPr="00817871" w:rsidRDefault="00E17403" w:rsidP="00307D12">
            <w:pPr>
              <w:tabs>
                <w:tab w:val="left" w:pos="1200"/>
              </w:tabs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Part C – graphs are used in analysi</w:t>
            </w:r>
            <w:r w:rsidR="009008B3" w:rsidRPr="00817871">
              <w:rPr>
                <w:rFonts w:cs="Arial"/>
                <w:bCs/>
                <w:sz w:val="18"/>
                <w:szCs w:val="18"/>
              </w:rPr>
              <w:t>s</w:t>
            </w:r>
          </w:p>
        </w:tc>
        <w:tc>
          <w:tcPr>
            <w:tcW w:w="3815" w:type="dxa"/>
            <w:shd w:val="clear" w:color="auto" w:fill="FBE4D5" w:themeFill="accent2" w:themeFillTint="33"/>
          </w:tcPr>
          <w:p w14:paraId="4372F8AD" w14:textId="2B362D62" w:rsidR="00C24C8D" w:rsidRPr="00817871" w:rsidRDefault="00C24C8D" w:rsidP="00C24C8D">
            <w:pPr>
              <w:tabs>
                <w:tab w:val="left" w:pos="1200"/>
              </w:tabs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 xml:space="preserve">Selects appropriate numerical, graphical, symbolic and statistical methods to carry </w:t>
            </w:r>
            <w:r w:rsidR="00326B6A" w:rsidRPr="00817871">
              <w:rPr>
                <w:rFonts w:cs="Arial"/>
                <w:bCs/>
                <w:sz w:val="18"/>
                <w:szCs w:val="18"/>
              </w:rPr>
              <w:t>out</w:t>
            </w:r>
            <w:r w:rsidRPr="00817871">
              <w:rPr>
                <w:rFonts w:cs="Arial"/>
                <w:bCs/>
                <w:sz w:val="18"/>
                <w:szCs w:val="18"/>
              </w:rPr>
              <w:t xml:space="preserve"> a thread of reasoning in situations requiring invest</w:t>
            </w:r>
            <w:r w:rsidR="00326B6A" w:rsidRPr="00817871">
              <w:rPr>
                <w:rFonts w:cs="Arial"/>
                <w:bCs/>
                <w:sz w:val="18"/>
                <w:szCs w:val="18"/>
              </w:rPr>
              <w:t>.</w:t>
            </w:r>
            <w:r w:rsidRPr="00817871">
              <w:rPr>
                <w:rFonts w:cs="Arial"/>
                <w:bCs/>
                <w:sz w:val="18"/>
                <w:szCs w:val="18"/>
              </w:rPr>
              <w:t xml:space="preserve"> techniques. </w:t>
            </w:r>
          </w:p>
          <w:p w14:paraId="1603EE60" w14:textId="15A32102" w:rsidR="00BE1EDF" w:rsidRPr="00817871" w:rsidRDefault="00E17403" w:rsidP="00C44D34">
            <w:pPr>
              <w:tabs>
                <w:tab w:val="left" w:pos="1200"/>
              </w:tabs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Part A and B – use of first and second derivatives, produced accurate graphs</w:t>
            </w:r>
          </w:p>
        </w:tc>
        <w:tc>
          <w:tcPr>
            <w:tcW w:w="2685" w:type="dxa"/>
            <w:shd w:val="clear" w:color="auto" w:fill="FBE4D5" w:themeFill="accent2" w:themeFillTint="33"/>
          </w:tcPr>
          <w:p w14:paraId="660043F6" w14:textId="45A8A6A4" w:rsidR="00C24C8D" w:rsidRPr="00817871" w:rsidRDefault="00DD052F" w:rsidP="00C24C8D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eastAsia="Times New Roman" w:cs="Arial"/>
                <w:bCs/>
                <w:sz w:val="18"/>
                <w:szCs w:val="18"/>
              </w:rPr>
              <w:t>S</w:t>
            </w:r>
            <w:r w:rsidR="00C24C8D" w:rsidRPr="00817871">
              <w:rPr>
                <w:rFonts w:eastAsia="Times New Roman" w:cs="Arial"/>
                <w:bCs/>
                <w:sz w:val="18"/>
                <w:szCs w:val="18"/>
              </w:rPr>
              <w:t xml:space="preserve">ome attempt to </w:t>
            </w:r>
            <w:r w:rsidR="00C24C8D" w:rsidRPr="00817871">
              <w:rPr>
                <w:rFonts w:cs="Arial"/>
                <w:bCs/>
                <w:sz w:val="18"/>
                <w:szCs w:val="18"/>
              </w:rPr>
              <w:t xml:space="preserve">select appropriate numerical, graphical, symbolic and statistical methods in situations requiring </w:t>
            </w:r>
            <w:r w:rsidR="00326B6A" w:rsidRPr="00817871">
              <w:rPr>
                <w:rFonts w:cs="Arial"/>
                <w:bCs/>
                <w:sz w:val="18"/>
                <w:szCs w:val="18"/>
              </w:rPr>
              <w:t xml:space="preserve">invest. </w:t>
            </w:r>
            <w:r w:rsidR="00C24C8D" w:rsidRPr="00817871">
              <w:rPr>
                <w:rFonts w:cs="Arial"/>
                <w:bCs/>
                <w:sz w:val="18"/>
                <w:szCs w:val="18"/>
              </w:rPr>
              <w:t>techniques.</w:t>
            </w:r>
          </w:p>
          <w:p w14:paraId="2FDC884E" w14:textId="163F2EF0" w:rsidR="00DD052F" w:rsidRPr="00817871" w:rsidRDefault="00E17403" w:rsidP="00C24C8D">
            <w:pPr>
              <w:rPr>
                <w:rFonts w:eastAsia="MS Mincho" w:cstheme="minorHAnsi"/>
                <w:bCs/>
                <w:spacing w:val="-1"/>
                <w:sz w:val="18"/>
                <w:szCs w:val="18"/>
                <w:lang w:eastAsia="ja-JP"/>
              </w:rPr>
            </w:pPr>
            <w:r w:rsidRPr="00817871">
              <w:rPr>
                <w:rFonts w:eastAsia="MS Mincho" w:cstheme="minorHAnsi"/>
                <w:bCs/>
                <w:spacing w:val="-1"/>
                <w:sz w:val="18"/>
                <w:szCs w:val="18"/>
                <w:lang w:eastAsia="ja-JP"/>
              </w:rPr>
              <w:t>Part A and B – graphs incorrect or not provided.</w:t>
            </w:r>
          </w:p>
        </w:tc>
      </w:tr>
      <w:tr w:rsidR="00326B6A" w:rsidRPr="00785C41" w14:paraId="1EA19D59" w14:textId="77777777" w:rsidTr="00817871">
        <w:trPr>
          <w:cantSplit/>
          <w:trHeight w:val="26"/>
        </w:trPr>
        <w:tc>
          <w:tcPr>
            <w:tcW w:w="1382" w:type="dxa"/>
            <w:shd w:val="clear" w:color="auto" w:fill="FCEEE4"/>
            <w:textDirection w:val="btLr"/>
          </w:tcPr>
          <w:p w14:paraId="73E8DB70" w14:textId="77777777" w:rsidR="00C24C8D" w:rsidRPr="00785C41" w:rsidRDefault="00C24C8D" w:rsidP="00C24C8D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DEEAF6" w:themeFill="accent1" w:themeFillTint="33"/>
          </w:tcPr>
          <w:p w14:paraId="47375E69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3</w:t>
            </w:r>
            <w:r w:rsidR="006A2F12" w:rsidRPr="00785C41">
              <w:rPr>
                <w:b/>
              </w:rPr>
              <w:t>-4</w:t>
            </w:r>
          </w:p>
        </w:tc>
        <w:tc>
          <w:tcPr>
            <w:tcW w:w="3814" w:type="dxa"/>
            <w:shd w:val="clear" w:color="auto" w:fill="DEEAF6" w:themeFill="accent1" w:themeFillTint="33"/>
          </w:tcPr>
          <w:p w14:paraId="322DAC66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2</w:t>
            </w:r>
          </w:p>
        </w:tc>
        <w:tc>
          <w:tcPr>
            <w:tcW w:w="3815" w:type="dxa"/>
            <w:shd w:val="clear" w:color="auto" w:fill="F4B083" w:themeFill="accent2" w:themeFillTint="99"/>
          </w:tcPr>
          <w:p w14:paraId="1D3B9F1F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1</w:t>
            </w:r>
          </w:p>
        </w:tc>
        <w:tc>
          <w:tcPr>
            <w:tcW w:w="2685" w:type="dxa"/>
            <w:shd w:val="clear" w:color="auto" w:fill="F4B083" w:themeFill="accent2" w:themeFillTint="99"/>
          </w:tcPr>
          <w:p w14:paraId="1354287A" w14:textId="77777777" w:rsidR="00C24C8D" w:rsidRPr="00785C41" w:rsidRDefault="00C24C8D" w:rsidP="00C24C8D">
            <w:pPr>
              <w:jc w:val="center"/>
              <w:rPr>
                <w:rFonts w:ascii="Calibri" w:eastAsia="MS Mincho" w:hAnsi="Calibri" w:cstheme="minorHAnsi"/>
                <w:lang w:eastAsia="ja-JP"/>
              </w:rPr>
            </w:pPr>
            <w:r w:rsidRPr="00785C41">
              <w:rPr>
                <w:b/>
              </w:rPr>
              <w:t>0</w:t>
            </w:r>
          </w:p>
        </w:tc>
      </w:tr>
      <w:tr w:rsidR="00326B6A" w:rsidRPr="00785C41" w14:paraId="294D18BE" w14:textId="77777777" w:rsidTr="00817871">
        <w:trPr>
          <w:cantSplit/>
          <w:trHeight w:val="1485"/>
        </w:trPr>
        <w:tc>
          <w:tcPr>
            <w:tcW w:w="1382" w:type="dxa"/>
            <w:shd w:val="clear" w:color="auto" w:fill="FCEEE4"/>
            <w:textDirection w:val="btLr"/>
          </w:tcPr>
          <w:p w14:paraId="391E2EAF" w14:textId="77777777" w:rsidR="00C24C8D" w:rsidRPr="00785C41" w:rsidRDefault="00C24C8D" w:rsidP="00C24C8D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  <w:r w:rsidRPr="00785C41"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  <w:t>Follows mathematical conventions and attends to accuracy</w:t>
            </w:r>
          </w:p>
          <w:p w14:paraId="55F1B0C3" w14:textId="77777777" w:rsidR="00C24C8D" w:rsidRPr="00785C41" w:rsidRDefault="00C24C8D" w:rsidP="00C24C8D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BDD6EE" w:themeFill="accent1" w:themeFillTint="66"/>
          </w:tcPr>
          <w:p w14:paraId="341703BB" w14:textId="77777777" w:rsidR="00C24C8D" w:rsidRPr="00817871" w:rsidRDefault="00C24C8D" w:rsidP="00C24C8D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Selects, extends and applies mathematical and/or statistical procedures to investigate a problem.</w:t>
            </w:r>
          </w:p>
          <w:p w14:paraId="604E9BE9" w14:textId="23C34384" w:rsidR="00C24C8D" w:rsidRPr="00817871" w:rsidRDefault="00E17403" w:rsidP="00785C41">
            <w:pPr>
              <w:rPr>
                <w:bCs/>
                <w:sz w:val="18"/>
                <w:szCs w:val="18"/>
              </w:rPr>
            </w:pPr>
            <w:r w:rsidRPr="00817871">
              <w:rPr>
                <w:bCs/>
                <w:sz w:val="18"/>
                <w:szCs w:val="18"/>
              </w:rPr>
              <w:t xml:space="preserve">Part C – Choice of model is appropriate, correct mathematics used to </w:t>
            </w:r>
            <w:r w:rsidR="009008B3" w:rsidRPr="00817871">
              <w:rPr>
                <w:bCs/>
                <w:sz w:val="18"/>
                <w:szCs w:val="18"/>
              </w:rPr>
              <w:t>generate results, including first and second derivatives</w:t>
            </w:r>
          </w:p>
        </w:tc>
        <w:tc>
          <w:tcPr>
            <w:tcW w:w="3814" w:type="dxa"/>
            <w:shd w:val="clear" w:color="auto" w:fill="BDD6EE" w:themeFill="accent1" w:themeFillTint="66"/>
          </w:tcPr>
          <w:p w14:paraId="42C027CA" w14:textId="77777777" w:rsidR="00C24C8D" w:rsidRPr="00817871" w:rsidRDefault="00C24C8D" w:rsidP="00C24C8D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Selects and applies mathematical and/or statistical procedures previously learnt to investigate a problem.</w:t>
            </w:r>
          </w:p>
          <w:p w14:paraId="3F147D9A" w14:textId="51B7FFD0" w:rsidR="00C24C8D" w:rsidRPr="00817871" w:rsidRDefault="009008B3" w:rsidP="00C24C8D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Part C – choice of model is appropriate to chosen scenario, first and second derivatives used.</w:t>
            </w:r>
          </w:p>
        </w:tc>
        <w:tc>
          <w:tcPr>
            <w:tcW w:w="3815" w:type="dxa"/>
            <w:shd w:val="clear" w:color="auto" w:fill="FCEEE4"/>
          </w:tcPr>
          <w:p w14:paraId="102363FA" w14:textId="77777777" w:rsidR="00C24C8D" w:rsidRPr="00817871" w:rsidRDefault="00C24C8D" w:rsidP="00C24C8D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Selects and applies, with direction, mathematical and/or statistical procedures previously learnt to investigate a problem.</w:t>
            </w:r>
          </w:p>
          <w:p w14:paraId="1605E273" w14:textId="44E4A87D" w:rsidR="00C24C8D" w:rsidRPr="00817871" w:rsidRDefault="00BE1EDF" w:rsidP="00C24C8D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br/>
            </w:r>
            <w:r w:rsidR="009008B3" w:rsidRPr="00817871">
              <w:rPr>
                <w:rFonts w:cs="Arial"/>
                <w:bCs/>
                <w:sz w:val="18"/>
                <w:szCs w:val="18"/>
              </w:rPr>
              <w:t>Part A and B – maths used correctly</w:t>
            </w:r>
          </w:p>
        </w:tc>
        <w:tc>
          <w:tcPr>
            <w:tcW w:w="2685" w:type="dxa"/>
            <w:shd w:val="clear" w:color="auto" w:fill="FCEEE4"/>
          </w:tcPr>
          <w:p w14:paraId="6E7C9A5B" w14:textId="77777777" w:rsidR="00C24C8D" w:rsidRPr="00817871" w:rsidRDefault="00C24C8D" w:rsidP="00C24C8D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Attempts to apply, with direction, mathematical and/or statistical procedures previously learnt to investigate a problem.</w:t>
            </w:r>
          </w:p>
          <w:p w14:paraId="7ACD1936" w14:textId="42FB2A2C" w:rsidR="00BE1EDF" w:rsidRPr="00817871" w:rsidRDefault="009008B3" w:rsidP="00C24C8D">
            <w:pPr>
              <w:rPr>
                <w:rFonts w:eastAsia="MS Mincho" w:cstheme="minorHAnsi"/>
                <w:bCs/>
                <w:sz w:val="18"/>
                <w:szCs w:val="18"/>
                <w:lang w:eastAsia="en-AU"/>
              </w:rPr>
            </w:pPr>
            <w:r w:rsidRPr="00817871">
              <w:rPr>
                <w:rFonts w:eastAsia="MS Mincho" w:cstheme="minorHAnsi"/>
                <w:bCs/>
                <w:sz w:val="18"/>
                <w:szCs w:val="18"/>
                <w:lang w:eastAsia="en-AU"/>
              </w:rPr>
              <w:t>Part A and B – correct maths used but with errors</w:t>
            </w:r>
          </w:p>
        </w:tc>
      </w:tr>
      <w:tr w:rsidR="00326B6A" w:rsidRPr="00785C41" w14:paraId="788E2243" w14:textId="77777777" w:rsidTr="00817871">
        <w:trPr>
          <w:cantSplit/>
          <w:trHeight w:val="26"/>
        </w:trPr>
        <w:tc>
          <w:tcPr>
            <w:tcW w:w="1382" w:type="dxa"/>
            <w:shd w:val="clear" w:color="auto" w:fill="FCEEE4"/>
            <w:textDirection w:val="btLr"/>
          </w:tcPr>
          <w:p w14:paraId="0DBAE8B3" w14:textId="77777777" w:rsidR="006A2F12" w:rsidRPr="00785C41" w:rsidRDefault="006A2F12" w:rsidP="006A2F12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DEEAF6" w:themeFill="accent1" w:themeFillTint="33"/>
          </w:tcPr>
          <w:p w14:paraId="567DCCEE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6-7</w:t>
            </w:r>
          </w:p>
        </w:tc>
        <w:tc>
          <w:tcPr>
            <w:tcW w:w="3814" w:type="dxa"/>
            <w:shd w:val="clear" w:color="auto" w:fill="DEEAF6" w:themeFill="accent1" w:themeFillTint="33"/>
          </w:tcPr>
          <w:p w14:paraId="332B9F41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4-5</w:t>
            </w:r>
          </w:p>
        </w:tc>
        <w:tc>
          <w:tcPr>
            <w:tcW w:w="3815" w:type="dxa"/>
            <w:shd w:val="clear" w:color="auto" w:fill="F4B083" w:themeFill="accent2" w:themeFillTint="99"/>
          </w:tcPr>
          <w:p w14:paraId="2B893D75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2-3</w:t>
            </w:r>
          </w:p>
        </w:tc>
        <w:tc>
          <w:tcPr>
            <w:tcW w:w="2685" w:type="dxa"/>
            <w:shd w:val="clear" w:color="auto" w:fill="F4B083" w:themeFill="accent2" w:themeFillTint="99"/>
          </w:tcPr>
          <w:p w14:paraId="4B0777DC" w14:textId="77777777" w:rsidR="006A2F12" w:rsidRPr="00785C41" w:rsidRDefault="006A2F12" w:rsidP="006A2F12">
            <w:pPr>
              <w:jc w:val="center"/>
              <w:rPr>
                <w:rFonts w:ascii="Calibri" w:eastAsia="MS Mincho" w:hAnsi="Calibri" w:cstheme="minorHAnsi"/>
                <w:lang w:eastAsia="ja-JP"/>
              </w:rPr>
            </w:pPr>
            <w:r w:rsidRPr="00785C41">
              <w:rPr>
                <w:b/>
              </w:rPr>
              <w:t>0-1</w:t>
            </w:r>
          </w:p>
        </w:tc>
      </w:tr>
      <w:tr w:rsidR="00326B6A" w:rsidRPr="00785C41" w14:paraId="2DE9324A" w14:textId="77777777" w:rsidTr="00817871">
        <w:trPr>
          <w:cantSplit/>
          <w:trHeight w:val="1487"/>
        </w:trPr>
        <w:tc>
          <w:tcPr>
            <w:tcW w:w="1382" w:type="dxa"/>
            <w:shd w:val="clear" w:color="auto" w:fill="FCEEE4"/>
            <w:textDirection w:val="btLr"/>
          </w:tcPr>
          <w:p w14:paraId="7FC56164" w14:textId="77777777" w:rsidR="006A2F12" w:rsidRPr="00785C41" w:rsidRDefault="006A2F12" w:rsidP="006A2F12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  <w:r w:rsidRPr="00785C41"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  <w:t>Links mathematical results to data and contexts to reach reasonable conclusions</w:t>
            </w:r>
          </w:p>
          <w:p w14:paraId="52363FAC" w14:textId="77777777" w:rsidR="006A2F12" w:rsidRPr="00785C41" w:rsidRDefault="006A2F12" w:rsidP="006A2F12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BDD6EE" w:themeFill="accent1" w:themeFillTint="66"/>
          </w:tcPr>
          <w:p w14:paraId="51E9EB8F" w14:textId="559CB8D6" w:rsidR="006A2F12" w:rsidRPr="00817871" w:rsidRDefault="006A2F12" w:rsidP="006A2F12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Considers the strengths and limitations of an investigation and refines the results to make sensible conclusions.</w:t>
            </w:r>
          </w:p>
          <w:p w14:paraId="15FEB5C7" w14:textId="69E47FDA" w:rsidR="006A2F12" w:rsidRPr="00817871" w:rsidRDefault="009008B3" w:rsidP="009A5E7D">
            <w:pPr>
              <w:rPr>
                <w:bCs/>
                <w:sz w:val="18"/>
                <w:szCs w:val="18"/>
              </w:rPr>
            </w:pPr>
            <w:r w:rsidRPr="00817871">
              <w:rPr>
                <w:bCs/>
                <w:sz w:val="18"/>
                <w:szCs w:val="18"/>
              </w:rPr>
              <w:t>Part C – conclusions are clear and supported by their results, and refer to their scenario.</w:t>
            </w:r>
          </w:p>
        </w:tc>
        <w:tc>
          <w:tcPr>
            <w:tcW w:w="3814" w:type="dxa"/>
            <w:shd w:val="clear" w:color="auto" w:fill="BDD6EE" w:themeFill="accent1" w:themeFillTint="66"/>
          </w:tcPr>
          <w:p w14:paraId="25A15D9C" w14:textId="786BC022" w:rsidR="006A2F12" w:rsidRPr="00817871" w:rsidRDefault="006A2F12" w:rsidP="006A2F12">
            <w:pPr>
              <w:rPr>
                <w:rFonts w:eastAsia="MS Mincho" w:cstheme="minorHAnsi"/>
                <w:bCs/>
                <w:sz w:val="18"/>
                <w:szCs w:val="18"/>
                <w:lang w:eastAsia="ja-JP"/>
              </w:rPr>
            </w:pPr>
            <w:r w:rsidRPr="00817871">
              <w:rPr>
                <w:rFonts w:eastAsia="MS Mincho" w:cstheme="minorHAnsi"/>
                <w:bCs/>
                <w:sz w:val="18"/>
                <w:szCs w:val="18"/>
                <w:lang w:eastAsia="ja-JP"/>
              </w:rPr>
              <w:t>Uses examples in mathematical analysis of an investigation and draws valid conclusions related to a given context.</w:t>
            </w:r>
          </w:p>
          <w:p w14:paraId="3A90F619" w14:textId="26219FE9" w:rsidR="006A2F12" w:rsidRPr="00817871" w:rsidRDefault="009008B3" w:rsidP="009A5E7D">
            <w:pPr>
              <w:rPr>
                <w:rFonts w:eastAsia="MS Mincho" w:cstheme="minorHAnsi"/>
                <w:bCs/>
                <w:sz w:val="18"/>
                <w:szCs w:val="18"/>
                <w:lang w:eastAsia="ja-JP"/>
              </w:rPr>
            </w:pPr>
            <w:r w:rsidRPr="00817871">
              <w:rPr>
                <w:rFonts w:eastAsia="MS Mincho" w:cstheme="minorHAnsi"/>
                <w:bCs/>
                <w:sz w:val="18"/>
                <w:szCs w:val="18"/>
                <w:lang w:eastAsia="ja-JP"/>
              </w:rPr>
              <w:t>Part C – Clear discussion of results</w:t>
            </w:r>
          </w:p>
        </w:tc>
        <w:tc>
          <w:tcPr>
            <w:tcW w:w="3815" w:type="dxa"/>
            <w:shd w:val="clear" w:color="auto" w:fill="FBE4D5" w:themeFill="accent2" w:themeFillTint="33"/>
          </w:tcPr>
          <w:p w14:paraId="73C8FB4C" w14:textId="58B6C2C0" w:rsidR="006A2F12" w:rsidRPr="00817871" w:rsidRDefault="006A2F12" w:rsidP="006A2F12">
            <w:pPr>
              <w:rPr>
                <w:rFonts w:eastAsia="MS Mincho" w:cstheme="minorHAnsi"/>
                <w:bCs/>
                <w:sz w:val="18"/>
                <w:szCs w:val="18"/>
                <w:lang w:eastAsia="ja-JP"/>
              </w:rPr>
            </w:pPr>
            <w:r w:rsidRPr="00817871">
              <w:rPr>
                <w:rFonts w:eastAsia="MS Mincho" w:cstheme="minorHAnsi"/>
                <w:bCs/>
                <w:sz w:val="18"/>
                <w:szCs w:val="18"/>
                <w:lang w:eastAsia="ja-JP"/>
              </w:rPr>
              <w:t>Makes inferences from analysis and uses these to draw conclusions related to a given context for investigation.</w:t>
            </w:r>
          </w:p>
          <w:p w14:paraId="005D90DE" w14:textId="534768C5" w:rsidR="006A2F12" w:rsidRPr="00817871" w:rsidRDefault="009008B3" w:rsidP="00FF04CB">
            <w:pPr>
              <w:rPr>
                <w:rFonts w:eastAsia="MS Mincho" w:cstheme="minorHAnsi"/>
                <w:bCs/>
                <w:sz w:val="18"/>
                <w:szCs w:val="18"/>
                <w:lang w:eastAsia="ja-JP"/>
              </w:rPr>
            </w:pPr>
            <w:r w:rsidRPr="00817871">
              <w:rPr>
                <w:rFonts w:eastAsia="MS Mincho" w:cstheme="minorHAnsi"/>
                <w:bCs/>
                <w:sz w:val="18"/>
                <w:szCs w:val="18"/>
                <w:lang w:eastAsia="ja-JP"/>
              </w:rPr>
              <w:t>Part A and B – answers with no errors.</w:t>
            </w:r>
          </w:p>
        </w:tc>
        <w:tc>
          <w:tcPr>
            <w:tcW w:w="2685" w:type="dxa"/>
            <w:shd w:val="clear" w:color="auto" w:fill="FBE4D5" w:themeFill="accent2" w:themeFillTint="33"/>
          </w:tcPr>
          <w:p w14:paraId="208B4AAD" w14:textId="77777777" w:rsidR="006A2F12" w:rsidRPr="00817871" w:rsidRDefault="006A2F12" w:rsidP="006A2F12">
            <w:pPr>
              <w:rPr>
                <w:rFonts w:eastAsia="MS Mincho" w:cstheme="minorHAnsi"/>
                <w:bCs/>
                <w:sz w:val="18"/>
                <w:szCs w:val="18"/>
                <w:lang w:eastAsia="ja-JP"/>
              </w:rPr>
            </w:pPr>
            <w:r w:rsidRPr="00817871">
              <w:rPr>
                <w:rFonts w:eastAsia="MS Mincho" w:cstheme="minorHAnsi"/>
                <w:bCs/>
                <w:sz w:val="18"/>
                <w:szCs w:val="18"/>
                <w:lang w:eastAsia="ja-JP"/>
              </w:rPr>
              <w:t>Draws some conclusions from the results of an investigation.</w:t>
            </w:r>
          </w:p>
          <w:p w14:paraId="4CA9ECAB" w14:textId="037596DE" w:rsidR="006A2F12" w:rsidRPr="00817871" w:rsidRDefault="009008B3" w:rsidP="006A2F12">
            <w:pPr>
              <w:rPr>
                <w:rFonts w:eastAsia="MS Mincho" w:cstheme="minorHAnsi"/>
                <w:bCs/>
                <w:sz w:val="18"/>
                <w:szCs w:val="18"/>
                <w:lang w:eastAsia="ja-JP"/>
              </w:rPr>
            </w:pPr>
            <w:r w:rsidRPr="00817871">
              <w:rPr>
                <w:rFonts w:eastAsia="MS Mincho" w:cstheme="minorHAnsi"/>
                <w:bCs/>
                <w:sz w:val="18"/>
                <w:szCs w:val="18"/>
                <w:lang w:eastAsia="ja-JP"/>
              </w:rPr>
              <w:t xml:space="preserve">Part A and B </w:t>
            </w:r>
            <w:r w:rsidR="00191BAC" w:rsidRPr="00817871">
              <w:rPr>
                <w:rFonts w:eastAsia="MS Mincho" w:cstheme="minorHAnsi"/>
                <w:bCs/>
                <w:sz w:val="18"/>
                <w:szCs w:val="18"/>
                <w:lang w:eastAsia="ja-JP"/>
              </w:rPr>
              <w:t>–</w:t>
            </w:r>
            <w:r w:rsidRPr="00817871">
              <w:rPr>
                <w:rFonts w:eastAsia="MS Mincho" w:cstheme="minorHAnsi"/>
                <w:bCs/>
                <w:sz w:val="18"/>
                <w:szCs w:val="18"/>
                <w:lang w:eastAsia="ja-JP"/>
              </w:rPr>
              <w:t xml:space="preserve"> </w:t>
            </w:r>
            <w:r w:rsidR="00191BAC" w:rsidRPr="00817871">
              <w:rPr>
                <w:rFonts w:eastAsia="MS Mincho" w:cstheme="minorHAnsi"/>
                <w:bCs/>
                <w:sz w:val="18"/>
                <w:szCs w:val="18"/>
                <w:lang w:eastAsia="ja-JP"/>
              </w:rPr>
              <w:t>Answers with some errors</w:t>
            </w:r>
          </w:p>
        </w:tc>
      </w:tr>
      <w:tr w:rsidR="00326B6A" w:rsidRPr="00785C41" w14:paraId="254665C7" w14:textId="77777777" w:rsidTr="00817871">
        <w:trPr>
          <w:cantSplit/>
          <w:trHeight w:val="369"/>
        </w:trPr>
        <w:tc>
          <w:tcPr>
            <w:tcW w:w="1382" w:type="dxa"/>
            <w:shd w:val="clear" w:color="auto" w:fill="FCEEE4"/>
            <w:textDirection w:val="btLr"/>
          </w:tcPr>
          <w:p w14:paraId="663B1660" w14:textId="77777777" w:rsidR="006A2F12" w:rsidRPr="00785C41" w:rsidRDefault="006A2F12" w:rsidP="006A2F12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DEEAF6" w:themeFill="accent1" w:themeFillTint="33"/>
          </w:tcPr>
          <w:p w14:paraId="03D64462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 xml:space="preserve">5-6 </w:t>
            </w:r>
          </w:p>
        </w:tc>
        <w:tc>
          <w:tcPr>
            <w:tcW w:w="3814" w:type="dxa"/>
            <w:shd w:val="clear" w:color="auto" w:fill="DEEAF6" w:themeFill="accent1" w:themeFillTint="33"/>
          </w:tcPr>
          <w:p w14:paraId="4E0A1F78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3-4</w:t>
            </w:r>
          </w:p>
        </w:tc>
        <w:tc>
          <w:tcPr>
            <w:tcW w:w="3815" w:type="dxa"/>
            <w:shd w:val="clear" w:color="auto" w:fill="F4B083" w:themeFill="accent2" w:themeFillTint="99"/>
          </w:tcPr>
          <w:p w14:paraId="75661D73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1-2</w:t>
            </w:r>
          </w:p>
        </w:tc>
        <w:tc>
          <w:tcPr>
            <w:tcW w:w="2685" w:type="dxa"/>
            <w:shd w:val="clear" w:color="auto" w:fill="F4B083" w:themeFill="accent2" w:themeFillTint="99"/>
          </w:tcPr>
          <w:p w14:paraId="6984C354" w14:textId="77777777" w:rsidR="006A2F12" w:rsidRPr="00785C41" w:rsidRDefault="006A2F12" w:rsidP="006A2F12">
            <w:pPr>
              <w:jc w:val="center"/>
              <w:rPr>
                <w:rFonts w:ascii="Calibri" w:eastAsia="MS Mincho" w:hAnsi="Calibri" w:cstheme="minorHAnsi"/>
                <w:lang w:eastAsia="ja-JP"/>
              </w:rPr>
            </w:pPr>
            <w:r w:rsidRPr="00785C41">
              <w:rPr>
                <w:b/>
              </w:rPr>
              <w:t>0-1</w:t>
            </w:r>
          </w:p>
        </w:tc>
      </w:tr>
      <w:tr w:rsidR="00326B6A" w:rsidRPr="00785C41" w14:paraId="25821E4A" w14:textId="77777777" w:rsidTr="00817871">
        <w:trPr>
          <w:cantSplit/>
          <w:trHeight w:val="1305"/>
        </w:trPr>
        <w:tc>
          <w:tcPr>
            <w:tcW w:w="1382" w:type="dxa"/>
            <w:shd w:val="clear" w:color="auto" w:fill="FCEEE4"/>
            <w:textDirection w:val="btLr"/>
          </w:tcPr>
          <w:p w14:paraId="18BB4B3A" w14:textId="77777777" w:rsidR="006A2F12" w:rsidRPr="00785C41" w:rsidRDefault="006A2F12" w:rsidP="006A2F12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  <w:r w:rsidRPr="00785C41"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  <w:t>Communicates mathematical reasoning, results and conclusions</w:t>
            </w:r>
          </w:p>
          <w:p w14:paraId="6441B1EE" w14:textId="77777777" w:rsidR="006A2F12" w:rsidRPr="00785C41" w:rsidRDefault="006A2F12" w:rsidP="006A2F12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FFFFFF" w:themeColor="background1"/>
                <w:sz w:val="18"/>
                <w:szCs w:val="18"/>
              </w:rPr>
            </w:pPr>
          </w:p>
          <w:p w14:paraId="4753EAB3" w14:textId="77777777" w:rsidR="006A2F12" w:rsidRPr="00785C41" w:rsidRDefault="006A2F12" w:rsidP="006A2F12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BDD6EE" w:themeFill="accent1" w:themeFillTint="66"/>
          </w:tcPr>
          <w:p w14:paraId="68DAF443" w14:textId="624AB6E2" w:rsidR="006A2F12" w:rsidRPr="00817871" w:rsidRDefault="006A2F12" w:rsidP="006A2F12">
            <w:pPr>
              <w:rPr>
                <w:bCs/>
                <w:sz w:val="18"/>
                <w:szCs w:val="18"/>
              </w:rPr>
            </w:pPr>
            <w:r w:rsidRPr="00817871">
              <w:rPr>
                <w:bCs/>
                <w:sz w:val="18"/>
                <w:szCs w:val="18"/>
              </w:rPr>
              <w:t>Communicates investigation findings with a comprehensive interpretation of mathematical results in the context of the investigation.</w:t>
            </w:r>
          </w:p>
          <w:p w14:paraId="64155BA6" w14:textId="2C192CDC" w:rsidR="00191BAC" w:rsidRPr="00817871" w:rsidRDefault="00191BAC" w:rsidP="006A2F12">
            <w:pPr>
              <w:rPr>
                <w:bCs/>
                <w:sz w:val="18"/>
                <w:szCs w:val="18"/>
              </w:rPr>
            </w:pPr>
            <w:r w:rsidRPr="00817871">
              <w:rPr>
                <w:bCs/>
                <w:sz w:val="18"/>
                <w:szCs w:val="18"/>
              </w:rPr>
              <w:t xml:space="preserve">Part C - </w:t>
            </w:r>
          </w:p>
        </w:tc>
        <w:tc>
          <w:tcPr>
            <w:tcW w:w="3814" w:type="dxa"/>
            <w:shd w:val="clear" w:color="auto" w:fill="BDD6EE" w:themeFill="accent1" w:themeFillTint="66"/>
          </w:tcPr>
          <w:p w14:paraId="2269DE93" w14:textId="77777777" w:rsidR="006A2F12" w:rsidRPr="00817871" w:rsidRDefault="006A2F12" w:rsidP="006A2F12">
            <w:pPr>
              <w:rPr>
                <w:bCs/>
                <w:sz w:val="18"/>
                <w:szCs w:val="18"/>
              </w:rPr>
            </w:pPr>
            <w:r w:rsidRPr="00817871">
              <w:rPr>
                <w:bCs/>
                <w:sz w:val="18"/>
                <w:szCs w:val="18"/>
              </w:rPr>
              <w:t>Communicates investigation findings in a systematic and concise way using mathematical language and relating the solution to the original problem or statement.</w:t>
            </w:r>
          </w:p>
          <w:p w14:paraId="5F700496" w14:textId="6952A72B" w:rsidR="00191BAC" w:rsidRPr="00817871" w:rsidRDefault="00191BAC" w:rsidP="00785C41">
            <w:pPr>
              <w:rPr>
                <w:bCs/>
                <w:sz w:val="18"/>
                <w:szCs w:val="18"/>
              </w:rPr>
            </w:pPr>
            <w:r w:rsidRPr="00817871">
              <w:rPr>
                <w:bCs/>
                <w:sz w:val="18"/>
                <w:szCs w:val="18"/>
              </w:rPr>
              <w:t xml:space="preserve">Part C - </w:t>
            </w:r>
          </w:p>
        </w:tc>
        <w:tc>
          <w:tcPr>
            <w:tcW w:w="3815" w:type="dxa"/>
            <w:shd w:val="clear" w:color="auto" w:fill="FCEEE4"/>
          </w:tcPr>
          <w:p w14:paraId="676CD73D" w14:textId="77777777" w:rsidR="006A2F12" w:rsidRPr="00817871" w:rsidRDefault="006A2F12" w:rsidP="006A2F12">
            <w:pPr>
              <w:rPr>
                <w:rFonts w:eastAsia="MS Mincho" w:cstheme="minorHAnsi"/>
                <w:bCs/>
                <w:sz w:val="18"/>
                <w:szCs w:val="18"/>
                <w:lang w:eastAsia="ja-JP"/>
              </w:rPr>
            </w:pPr>
            <w:r w:rsidRPr="00817871">
              <w:rPr>
                <w:bCs/>
                <w:sz w:val="18"/>
                <w:szCs w:val="18"/>
              </w:rPr>
              <w:t xml:space="preserve">Communicates investigation findings in a systematic way </w:t>
            </w:r>
            <w:r w:rsidRPr="00817871">
              <w:rPr>
                <w:rFonts w:eastAsia="MS Mincho" w:cstheme="minorHAnsi"/>
                <w:bCs/>
                <w:sz w:val="18"/>
                <w:szCs w:val="18"/>
                <w:lang w:eastAsia="ja-JP"/>
              </w:rPr>
              <w:t>using some mathematical expression and everyday language.</w:t>
            </w:r>
          </w:p>
          <w:p w14:paraId="334BE8DB" w14:textId="605B7B95" w:rsidR="00191BAC" w:rsidRPr="00817871" w:rsidRDefault="00191BAC" w:rsidP="006A2F12">
            <w:pPr>
              <w:rPr>
                <w:bCs/>
                <w:sz w:val="18"/>
                <w:szCs w:val="18"/>
              </w:rPr>
            </w:pPr>
            <w:r w:rsidRPr="00817871">
              <w:rPr>
                <w:bCs/>
                <w:sz w:val="18"/>
                <w:szCs w:val="18"/>
              </w:rPr>
              <w:t>Part A and B – all key points made.</w:t>
            </w:r>
          </w:p>
        </w:tc>
        <w:tc>
          <w:tcPr>
            <w:tcW w:w="2685" w:type="dxa"/>
            <w:shd w:val="clear" w:color="auto" w:fill="FCEEE4"/>
          </w:tcPr>
          <w:p w14:paraId="0230E59D" w14:textId="77777777" w:rsidR="006A2F12" w:rsidRPr="00817871" w:rsidRDefault="006A2F12" w:rsidP="006A2F12">
            <w:pPr>
              <w:rPr>
                <w:rFonts w:cs="Arial"/>
                <w:bCs/>
                <w:sz w:val="18"/>
                <w:szCs w:val="18"/>
              </w:rPr>
            </w:pPr>
            <w:r w:rsidRPr="00817871">
              <w:rPr>
                <w:rFonts w:cs="Arial"/>
                <w:bCs/>
                <w:sz w:val="18"/>
                <w:szCs w:val="18"/>
              </w:rPr>
              <w:t>Offers simple conclusions that are not supported by data or calculations</w:t>
            </w:r>
          </w:p>
          <w:p w14:paraId="0673DA15" w14:textId="0C18EF82" w:rsidR="006A2F12" w:rsidRPr="00817871" w:rsidRDefault="00191BAC" w:rsidP="006A2F12">
            <w:pPr>
              <w:rPr>
                <w:bCs/>
                <w:sz w:val="18"/>
                <w:szCs w:val="18"/>
              </w:rPr>
            </w:pPr>
            <w:r w:rsidRPr="00817871">
              <w:rPr>
                <w:bCs/>
                <w:sz w:val="18"/>
                <w:szCs w:val="18"/>
              </w:rPr>
              <w:t>Part A and B – Limited key points</w:t>
            </w:r>
          </w:p>
        </w:tc>
      </w:tr>
      <w:tr w:rsidR="00817871" w:rsidRPr="00785C41" w14:paraId="5AA3651E" w14:textId="77777777" w:rsidTr="007E08DE">
        <w:trPr>
          <w:cantSplit/>
          <w:trHeight w:val="369"/>
        </w:trPr>
        <w:tc>
          <w:tcPr>
            <w:tcW w:w="1382" w:type="dxa"/>
            <w:shd w:val="clear" w:color="auto" w:fill="FCEEE4"/>
            <w:textDirection w:val="btLr"/>
          </w:tcPr>
          <w:p w14:paraId="408A95FE" w14:textId="77777777" w:rsidR="00817871" w:rsidRPr="00785C41" w:rsidRDefault="00817871" w:rsidP="006A2F12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235" w:type="dxa"/>
            <w:gridSpan w:val="2"/>
            <w:shd w:val="clear" w:color="auto" w:fill="BDD6EE" w:themeFill="accent1" w:themeFillTint="66"/>
          </w:tcPr>
          <w:p w14:paraId="313EFEAD" w14:textId="69BA96C5" w:rsidR="00817871" w:rsidRPr="00817871" w:rsidRDefault="00817871" w:rsidP="006A2F1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Total /30</w:t>
            </w:r>
          </w:p>
        </w:tc>
        <w:tc>
          <w:tcPr>
            <w:tcW w:w="6500" w:type="dxa"/>
            <w:gridSpan w:val="2"/>
            <w:shd w:val="clear" w:color="auto" w:fill="FCEEE4"/>
          </w:tcPr>
          <w:p w14:paraId="66941981" w14:textId="213FD464" w:rsidR="00817871" w:rsidRPr="00817871" w:rsidRDefault="00817871" w:rsidP="006A2F12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Total /11</w:t>
            </w:r>
          </w:p>
        </w:tc>
      </w:tr>
      <w:tr w:rsidR="00817871" w:rsidRPr="00785C41" w14:paraId="1809E3DF" w14:textId="77777777" w:rsidTr="00817871">
        <w:trPr>
          <w:cantSplit/>
          <w:trHeight w:val="397"/>
        </w:trPr>
        <w:tc>
          <w:tcPr>
            <w:tcW w:w="1382" w:type="dxa"/>
            <w:shd w:val="clear" w:color="auto" w:fill="D0CECE" w:themeFill="background2" w:themeFillShade="E6"/>
            <w:textDirection w:val="btLr"/>
          </w:tcPr>
          <w:p w14:paraId="3771A9B6" w14:textId="4759A0DE" w:rsidR="00817871" w:rsidRPr="00785C41" w:rsidRDefault="00817871" w:rsidP="006A2F12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3735" w:type="dxa"/>
            <w:gridSpan w:val="4"/>
            <w:shd w:val="clear" w:color="auto" w:fill="D0CECE" w:themeFill="background2" w:themeFillShade="E6"/>
          </w:tcPr>
          <w:p w14:paraId="2D32FC68" w14:textId="68CE6A7B" w:rsidR="00817871" w:rsidRPr="00817871" w:rsidRDefault="00817871" w:rsidP="006A2F12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Total /41                           %</w:t>
            </w:r>
          </w:p>
        </w:tc>
      </w:tr>
    </w:tbl>
    <w:p w14:paraId="0BD0BB60" w14:textId="77777777" w:rsidR="00436F58" w:rsidRPr="00785C41" w:rsidRDefault="00436F58" w:rsidP="000822BE">
      <w:pPr>
        <w:rPr>
          <w:sz w:val="20"/>
          <w:szCs w:val="20"/>
        </w:rPr>
      </w:pPr>
    </w:p>
    <w:sectPr w:rsidR="00436F58" w:rsidRPr="00785C41" w:rsidSect="00817871">
      <w:headerReference w:type="default" r:id="rId6"/>
      <w:pgSz w:w="16838" w:h="11906" w:orient="landscape" w:code="9"/>
      <w:pgMar w:top="669" w:right="1021" w:bottom="56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9E0D9" w14:textId="77777777" w:rsidR="0090569A" w:rsidRDefault="0090569A" w:rsidP="00867BFA">
      <w:pPr>
        <w:spacing w:after="0" w:line="240" w:lineRule="auto"/>
      </w:pPr>
      <w:r>
        <w:separator/>
      </w:r>
    </w:p>
  </w:endnote>
  <w:endnote w:type="continuationSeparator" w:id="0">
    <w:p w14:paraId="7F6E53BC" w14:textId="77777777" w:rsidR="0090569A" w:rsidRDefault="0090569A" w:rsidP="0086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16A22" w14:textId="77777777" w:rsidR="0090569A" w:rsidRDefault="0090569A" w:rsidP="00867BFA">
      <w:pPr>
        <w:spacing w:after="0" w:line="240" w:lineRule="auto"/>
      </w:pPr>
      <w:r>
        <w:separator/>
      </w:r>
    </w:p>
  </w:footnote>
  <w:footnote w:type="continuationSeparator" w:id="0">
    <w:p w14:paraId="42A61263" w14:textId="77777777" w:rsidR="0090569A" w:rsidRDefault="0090569A" w:rsidP="00867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85B5B" w14:textId="0D43F457" w:rsidR="009A5E7D" w:rsidRPr="00695E1E" w:rsidRDefault="009A5E7D" w:rsidP="005E35C6">
    <w:pPr>
      <w:pStyle w:val="Header"/>
      <w:rPr>
        <w:rFonts w:ascii="Calibri" w:eastAsiaTheme="minorEastAsia" w:hAnsi="Calibri" w:cs="Arial"/>
        <w:b/>
        <w:sz w:val="28"/>
        <w:szCs w:val="18"/>
      </w:rPr>
    </w:pPr>
    <w:r w:rsidRPr="00867BFA">
      <w:rPr>
        <w:rFonts w:ascii="Calibri" w:eastAsiaTheme="minorEastAsia" w:hAnsi="Calibri" w:cs="Arial"/>
        <w:b/>
        <w:sz w:val="28"/>
        <w:szCs w:val="18"/>
      </w:rPr>
      <w:t>Mathematics Methods</w:t>
    </w:r>
    <w:r>
      <w:rPr>
        <w:rFonts w:ascii="Calibri" w:eastAsiaTheme="minorEastAsia" w:hAnsi="Calibri" w:cs="Arial"/>
        <w:b/>
        <w:sz w:val="28"/>
        <w:szCs w:val="18"/>
      </w:rPr>
      <w:t xml:space="preserve">      Year 12</w:t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 w:rsidR="00E17403">
      <w:rPr>
        <w:rFonts w:ascii="Calibri" w:eastAsiaTheme="minorEastAsia" w:hAnsi="Calibri" w:cs="Arial"/>
        <w:b/>
        <w:sz w:val="28"/>
        <w:szCs w:val="18"/>
      </w:rPr>
      <w:t>Surge and Logistics</w:t>
    </w:r>
    <w:r>
      <w:rPr>
        <w:rFonts w:ascii="Calibri" w:eastAsiaTheme="minorEastAsia" w:hAnsi="Calibri" w:cs="Arial"/>
        <w:b/>
        <w:sz w:val="28"/>
        <w:szCs w:val="18"/>
      </w:rPr>
      <w:t xml:space="preserve"> Investigation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F8"/>
    <w:rsid w:val="00046C9C"/>
    <w:rsid w:val="000822BE"/>
    <w:rsid w:val="00091AA1"/>
    <w:rsid w:val="000C00E1"/>
    <w:rsid w:val="0013480F"/>
    <w:rsid w:val="001455AE"/>
    <w:rsid w:val="00177D52"/>
    <w:rsid w:val="00191BAC"/>
    <w:rsid w:val="001D7BDF"/>
    <w:rsid w:val="001E7A43"/>
    <w:rsid w:val="0021669D"/>
    <w:rsid w:val="00243191"/>
    <w:rsid w:val="00256D90"/>
    <w:rsid w:val="0025790E"/>
    <w:rsid w:val="002A4CD7"/>
    <w:rsid w:val="00307D12"/>
    <w:rsid w:val="00326B6A"/>
    <w:rsid w:val="00330367"/>
    <w:rsid w:val="0036180C"/>
    <w:rsid w:val="00373C38"/>
    <w:rsid w:val="003F045F"/>
    <w:rsid w:val="00436F58"/>
    <w:rsid w:val="00453467"/>
    <w:rsid w:val="004539EB"/>
    <w:rsid w:val="004A6B8F"/>
    <w:rsid w:val="00506D9A"/>
    <w:rsid w:val="00517D1A"/>
    <w:rsid w:val="00524F1F"/>
    <w:rsid w:val="005E35C6"/>
    <w:rsid w:val="00600FC6"/>
    <w:rsid w:val="006311E5"/>
    <w:rsid w:val="006814F8"/>
    <w:rsid w:val="00695E1E"/>
    <w:rsid w:val="006A2F12"/>
    <w:rsid w:val="006A728B"/>
    <w:rsid w:val="007328A8"/>
    <w:rsid w:val="00732ACA"/>
    <w:rsid w:val="00785C41"/>
    <w:rsid w:val="00792231"/>
    <w:rsid w:val="00794DEA"/>
    <w:rsid w:val="007C71DE"/>
    <w:rsid w:val="007E4385"/>
    <w:rsid w:val="00817871"/>
    <w:rsid w:val="00866541"/>
    <w:rsid w:val="00867BFA"/>
    <w:rsid w:val="009008B3"/>
    <w:rsid w:val="0090569A"/>
    <w:rsid w:val="00940259"/>
    <w:rsid w:val="009473D9"/>
    <w:rsid w:val="00950956"/>
    <w:rsid w:val="00964567"/>
    <w:rsid w:val="0097355F"/>
    <w:rsid w:val="00983346"/>
    <w:rsid w:val="009A3765"/>
    <w:rsid w:val="009A57B7"/>
    <w:rsid w:val="009A5E7D"/>
    <w:rsid w:val="009B3120"/>
    <w:rsid w:val="00A37899"/>
    <w:rsid w:val="00A629E2"/>
    <w:rsid w:val="00A802A6"/>
    <w:rsid w:val="00A973E5"/>
    <w:rsid w:val="00B13D0F"/>
    <w:rsid w:val="00B24AC3"/>
    <w:rsid w:val="00B4550D"/>
    <w:rsid w:val="00B775E7"/>
    <w:rsid w:val="00B84DD5"/>
    <w:rsid w:val="00B96BC0"/>
    <w:rsid w:val="00BA3DA9"/>
    <w:rsid w:val="00BA5D56"/>
    <w:rsid w:val="00BE1EDF"/>
    <w:rsid w:val="00BE4BB2"/>
    <w:rsid w:val="00C119A2"/>
    <w:rsid w:val="00C24C8D"/>
    <w:rsid w:val="00C33402"/>
    <w:rsid w:val="00C42A66"/>
    <w:rsid w:val="00C44D34"/>
    <w:rsid w:val="00C811DB"/>
    <w:rsid w:val="00CA3DCE"/>
    <w:rsid w:val="00CF0620"/>
    <w:rsid w:val="00CF1F65"/>
    <w:rsid w:val="00D45833"/>
    <w:rsid w:val="00DC061D"/>
    <w:rsid w:val="00DD052F"/>
    <w:rsid w:val="00E17403"/>
    <w:rsid w:val="00E6168A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F892"/>
  <w15:docId w15:val="{AACD67A0-BA21-4221-AAB9-DF2AB28F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FA"/>
  </w:style>
  <w:style w:type="paragraph" w:styleId="Footer">
    <w:name w:val="footer"/>
    <w:basedOn w:val="Normal"/>
    <w:link w:val="FooterChar"/>
    <w:uiPriority w:val="99"/>
    <w:unhideWhenUsed/>
    <w:rsid w:val="00867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FA"/>
  </w:style>
  <w:style w:type="paragraph" w:styleId="BalloonText">
    <w:name w:val="Balloon Text"/>
    <w:basedOn w:val="Normal"/>
    <w:link w:val="BalloonTextChar"/>
    <w:uiPriority w:val="99"/>
    <w:semiHidden/>
    <w:unhideWhenUsed/>
    <w:rsid w:val="00453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EB"/>
    <w:rPr>
      <w:rFonts w:ascii="Segoe UI" w:hAnsi="Segoe UI" w:cs="Segoe UI"/>
      <w:sz w:val="18"/>
      <w:szCs w:val="18"/>
    </w:rPr>
  </w:style>
  <w:style w:type="paragraph" w:customStyle="1" w:styleId="SOFinalPerformanceTableText">
    <w:name w:val="SO Final Performance Table Text"/>
    <w:link w:val="SOFinalPerformanceTableTextChar"/>
    <w:rsid w:val="003F045F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character" w:customStyle="1" w:styleId="SOFinalPerformanceTableTextChar">
    <w:name w:val="SO Final Performance Table Text Char"/>
    <w:link w:val="SOFinalPerformanceTableText"/>
    <w:rsid w:val="003F045F"/>
    <w:rPr>
      <w:rFonts w:ascii="Arial" w:eastAsia="SimSun" w:hAnsi="Arial" w:cs="Times New Roman"/>
      <w:sz w:val="1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Harman</dc:creator>
  <cp:keywords/>
  <dc:description/>
  <cp:lastModifiedBy>RUST Joanne [Baldivis Secondary College]</cp:lastModifiedBy>
  <cp:revision>2</cp:revision>
  <cp:lastPrinted>2018-05-17T04:10:00Z</cp:lastPrinted>
  <dcterms:created xsi:type="dcterms:W3CDTF">2020-04-24T02:57:00Z</dcterms:created>
  <dcterms:modified xsi:type="dcterms:W3CDTF">2020-04-24T02:57:00Z</dcterms:modified>
</cp:coreProperties>
</file>