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51"/>
        <w:tblW w:w="10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1"/>
        <w:gridCol w:w="3297"/>
        <w:gridCol w:w="3600"/>
        <w:gridCol w:w="2238"/>
      </w:tblGrid>
      <w:tr w:rsidR="004C2C55" w:rsidRPr="005F4018" w14:paraId="4ECC5C08" w14:textId="77777777" w:rsidTr="001B5894">
        <w:trPr>
          <w:trHeight w:val="341"/>
        </w:trPr>
        <w:tc>
          <w:tcPr>
            <w:tcW w:w="1801" w:type="dxa"/>
          </w:tcPr>
          <w:p w14:paraId="28C72A4D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7BAE9AB8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7472815F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897" w:type="dxa"/>
            <w:gridSpan w:val="2"/>
          </w:tcPr>
          <w:p w14:paraId="67DA1584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34785A78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08338E8E" w14:textId="77777777" w:rsidR="004C2C55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3CF092B6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38" w:type="dxa"/>
          </w:tcPr>
          <w:p w14:paraId="743921A3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4C2C55" w:rsidRPr="005F4018" w14:paraId="707D3D62" w14:textId="77777777" w:rsidTr="0071765E">
        <w:trPr>
          <w:trHeight w:val="1236"/>
        </w:trPr>
        <w:tc>
          <w:tcPr>
            <w:tcW w:w="1801" w:type="dxa"/>
          </w:tcPr>
          <w:p w14:paraId="10F37574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 wp14:anchorId="205F2213" wp14:editId="6522B4D3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-26669</wp:posOffset>
                  </wp:positionV>
                  <wp:extent cx="647700" cy="674260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34" cy="676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35" w:type="dxa"/>
            <w:gridSpan w:val="3"/>
          </w:tcPr>
          <w:p w14:paraId="66ED8EBF" w14:textId="1ACDE26A" w:rsidR="004C2C55" w:rsidRPr="005F4018" w:rsidRDefault="004C2C55" w:rsidP="00177472">
            <w:pPr>
              <w:rPr>
                <w:rFonts w:ascii="Arial" w:hAnsi="Arial" w:cs="Arial"/>
                <w:b/>
                <w:sz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8"/>
              </w:rPr>
              <w:t>Year 11 Essential Mathematics Unit 2</w:t>
            </w:r>
          </w:p>
          <w:p w14:paraId="428A2AA6" w14:textId="319E13C3" w:rsidR="004C2C55" w:rsidRDefault="0094587C" w:rsidP="00177472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Practical Application </w:t>
            </w:r>
            <w:r w:rsidR="00020B62">
              <w:rPr>
                <w:rFonts w:ascii="Arial" w:hAnsi="Arial" w:cs="Arial"/>
                <w:b/>
                <w:sz w:val="28"/>
              </w:rPr>
              <w:t>2020</w:t>
            </w:r>
          </w:p>
          <w:p w14:paraId="6FFA4D88" w14:textId="56A4CACF" w:rsidR="004C2C55" w:rsidRPr="0071765E" w:rsidRDefault="00B13A28" w:rsidP="0071765E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Staircase to the Moon</w:t>
            </w:r>
          </w:p>
        </w:tc>
      </w:tr>
      <w:tr w:rsidR="004C2C55" w:rsidRPr="005F4018" w14:paraId="002AAC3F" w14:textId="77777777" w:rsidTr="001B5894">
        <w:trPr>
          <w:trHeight w:val="251"/>
        </w:trPr>
        <w:tc>
          <w:tcPr>
            <w:tcW w:w="1801" w:type="dxa"/>
            <w:vAlign w:val="center"/>
          </w:tcPr>
          <w:p w14:paraId="0FA8D6DC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297" w:type="dxa"/>
            <w:vAlign w:val="center"/>
          </w:tcPr>
          <w:p w14:paraId="5B476BF2" w14:textId="453401A1" w:rsidR="004C2C55" w:rsidRPr="005C1296" w:rsidRDefault="000A7015" w:rsidP="00177472">
            <w:pPr>
              <w:pStyle w:val="Header"/>
              <w:tabs>
                <w:tab w:val="center" w:pos="-1980"/>
              </w:tabs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1 week in class</w:t>
            </w:r>
          </w:p>
        </w:tc>
        <w:tc>
          <w:tcPr>
            <w:tcW w:w="5838" w:type="dxa"/>
            <w:gridSpan w:val="2"/>
            <w:vMerge w:val="restart"/>
            <w:vAlign w:val="center"/>
          </w:tcPr>
          <w:p w14:paraId="5E04FB54" w14:textId="4DE05532" w:rsidR="004C2C55" w:rsidRPr="005F4018" w:rsidRDefault="003045F9" w:rsidP="0017747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Due date:_________________</w:t>
            </w:r>
          </w:p>
        </w:tc>
      </w:tr>
      <w:tr w:rsidR="004C2C55" w:rsidRPr="005F4018" w14:paraId="005626E2" w14:textId="77777777" w:rsidTr="001B5894">
        <w:trPr>
          <w:trHeight w:val="220"/>
        </w:trPr>
        <w:tc>
          <w:tcPr>
            <w:tcW w:w="1801" w:type="dxa"/>
            <w:vAlign w:val="center"/>
          </w:tcPr>
          <w:p w14:paraId="001EA17E" w14:textId="77777777" w:rsidR="004C2C55" w:rsidRPr="00EA1CAA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297" w:type="dxa"/>
            <w:vAlign w:val="center"/>
          </w:tcPr>
          <w:p w14:paraId="3225FF85" w14:textId="03C6D724" w:rsidR="004C2C55" w:rsidRPr="005C1296" w:rsidRDefault="004C2C55" w:rsidP="00177472">
            <w:pPr>
              <w:pStyle w:val="Header"/>
              <w:tabs>
                <w:tab w:val="center" w:pos="-1980"/>
              </w:tabs>
              <w:rPr>
                <w:rFonts w:cstheme="minorHAnsi"/>
              </w:rPr>
            </w:pPr>
            <w:r w:rsidRPr="005C1296">
              <w:rPr>
                <w:rFonts w:cstheme="minorHAnsi"/>
              </w:rPr>
              <w:t>1</w:t>
            </w:r>
            <w:r w:rsidR="0071765E">
              <w:rPr>
                <w:rFonts w:cstheme="minorHAnsi"/>
              </w:rPr>
              <w:t>2.5</w:t>
            </w:r>
            <w:r w:rsidRPr="005C1296">
              <w:rPr>
                <w:rFonts w:cstheme="minorHAnsi"/>
              </w:rPr>
              <w:t xml:space="preserve">% </w:t>
            </w:r>
          </w:p>
        </w:tc>
        <w:tc>
          <w:tcPr>
            <w:tcW w:w="5838" w:type="dxa"/>
            <w:gridSpan w:val="2"/>
            <w:vMerge/>
            <w:vAlign w:val="center"/>
          </w:tcPr>
          <w:p w14:paraId="76C861A0" w14:textId="77777777" w:rsidR="004C2C55" w:rsidRPr="005F4018" w:rsidRDefault="004C2C55" w:rsidP="00177472">
            <w:pPr>
              <w:rPr>
                <w:rFonts w:ascii="Arial" w:hAnsi="Arial" w:cs="Arial"/>
                <w:sz w:val="20"/>
              </w:rPr>
            </w:pPr>
          </w:p>
        </w:tc>
      </w:tr>
      <w:tr w:rsidR="004C2C55" w:rsidRPr="008F4B4C" w14:paraId="60866F0D" w14:textId="77777777" w:rsidTr="0071765E">
        <w:trPr>
          <w:trHeight w:val="210"/>
        </w:trPr>
        <w:tc>
          <w:tcPr>
            <w:tcW w:w="1801" w:type="dxa"/>
            <w:vAlign w:val="center"/>
          </w:tcPr>
          <w:p w14:paraId="041E6F9E" w14:textId="77777777" w:rsidR="004C2C55" w:rsidRPr="005F4018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35" w:type="dxa"/>
            <w:gridSpan w:val="3"/>
            <w:vAlign w:val="center"/>
          </w:tcPr>
          <w:p w14:paraId="1EACA6C4" w14:textId="6C3BCE1C" w:rsidR="004C2C55" w:rsidRPr="008F4B4C" w:rsidRDefault="004C2C55" w:rsidP="00177472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</w:t>
            </w:r>
            <w:r w:rsidR="0071765E">
              <w:rPr>
                <w:rFonts w:ascii="Arial" w:hAnsi="Arial" w:cs="Arial"/>
                <w:sz w:val="20"/>
              </w:rPr>
              <w:t xml:space="preserve"> Interactive notebook</w:t>
            </w:r>
          </w:p>
        </w:tc>
      </w:tr>
    </w:tbl>
    <w:p w14:paraId="773F37FC" w14:textId="4900A927" w:rsidR="009B4E37" w:rsidRDefault="00B13A28" w:rsidP="009B4E37">
      <w:pPr>
        <w:spacing w:before="240" w:line="264" w:lineRule="auto"/>
        <w:rPr>
          <w:rFonts w:cstheme="minorHAnsi"/>
          <w:bCs/>
          <w:color w:val="000000" w:themeColor="text1"/>
          <w:sz w:val="22"/>
          <w:szCs w:val="22"/>
        </w:rPr>
      </w:pPr>
      <w:r>
        <w:rPr>
          <w:rFonts w:cstheme="minorHAnsi"/>
          <w:bCs/>
          <w:color w:val="000000" w:themeColor="text1"/>
          <w:sz w:val="22"/>
          <w:szCs w:val="22"/>
        </w:rPr>
        <w:t>During the current pandemic the West Australian Government is pushing for West Australians to travel around our state to help stimulate the economy. You and 3 friends have decided</w:t>
      </w:r>
      <w:r w:rsidR="007659A3">
        <w:rPr>
          <w:rFonts w:cstheme="minorHAnsi"/>
          <w:bCs/>
          <w:color w:val="000000" w:themeColor="text1"/>
          <w:sz w:val="22"/>
          <w:szCs w:val="22"/>
        </w:rPr>
        <w:t xml:space="preserve"> to help out our state by </w:t>
      </w:r>
      <w:r>
        <w:rPr>
          <w:rFonts w:cstheme="minorHAnsi"/>
          <w:bCs/>
          <w:color w:val="000000" w:themeColor="text1"/>
          <w:sz w:val="22"/>
          <w:szCs w:val="22"/>
        </w:rPr>
        <w:t>plan</w:t>
      </w:r>
      <w:r w:rsidR="007659A3">
        <w:rPr>
          <w:rFonts w:cstheme="minorHAnsi"/>
          <w:bCs/>
          <w:color w:val="000000" w:themeColor="text1"/>
          <w:sz w:val="22"/>
          <w:szCs w:val="22"/>
        </w:rPr>
        <w:t>ning</w:t>
      </w:r>
      <w:r>
        <w:rPr>
          <w:rFonts w:cstheme="minorHAnsi"/>
          <w:bCs/>
          <w:color w:val="000000" w:themeColor="text1"/>
          <w:sz w:val="22"/>
          <w:szCs w:val="22"/>
        </w:rPr>
        <w:t xml:space="preserve"> a holiday to Broome to see the Staircase to the Moon. </w:t>
      </w:r>
    </w:p>
    <w:p w14:paraId="5D8F5EDE" w14:textId="4886BB8E" w:rsidR="00B13A28" w:rsidRDefault="0094587C" w:rsidP="009B4E37">
      <w:pPr>
        <w:spacing w:before="240" w:line="264" w:lineRule="auto"/>
        <w:rPr>
          <w:rFonts w:cstheme="minorHAnsi"/>
          <w:bCs/>
          <w:color w:val="000000" w:themeColor="text1"/>
          <w:sz w:val="22"/>
          <w:szCs w:val="22"/>
        </w:rPr>
      </w:pPr>
      <w:r>
        <w:rPr>
          <w:rFonts w:cstheme="minorHAnsi"/>
          <w:bCs/>
          <w:color w:val="000000" w:themeColor="text1"/>
          <w:sz w:val="22"/>
          <w:szCs w:val="22"/>
        </w:rPr>
        <w:t>Your task is to create a travel itinerary</w:t>
      </w:r>
      <w:r w:rsidR="00B52E27">
        <w:rPr>
          <w:rFonts w:cstheme="minorHAnsi"/>
          <w:bCs/>
          <w:color w:val="000000" w:themeColor="text1"/>
          <w:sz w:val="22"/>
          <w:szCs w:val="22"/>
        </w:rPr>
        <w:t xml:space="preserve"> and report</w:t>
      </w:r>
      <w:r>
        <w:rPr>
          <w:rFonts w:cstheme="minorHAnsi"/>
          <w:bCs/>
          <w:color w:val="000000" w:themeColor="text1"/>
          <w:sz w:val="22"/>
          <w:szCs w:val="22"/>
        </w:rPr>
        <w:t xml:space="preserve"> for you and your friends to travel to Broome to see the Staircase to the Moon during </w:t>
      </w:r>
      <w:r w:rsidR="003045F9">
        <w:rPr>
          <w:rFonts w:cstheme="minorHAnsi"/>
          <w:bCs/>
          <w:color w:val="000000" w:themeColor="text1"/>
          <w:sz w:val="22"/>
          <w:szCs w:val="22"/>
        </w:rPr>
        <w:t xml:space="preserve">the </w:t>
      </w:r>
      <w:r>
        <w:rPr>
          <w:rFonts w:cstheme="minorHAnsi"/>
          <w:bCs/>
          <w:color w:val="000000" w:themeColor="text1"/>
          <w:sz w:val="22"/>
          <w:szCs w:val="22"/>
        </w:rPr>
        <w:t>school holidays. This itinerary will include your modes of transport, places you stop along th</w:t>
      </w:r>
      <w:r w:rsidR="003045F9">
        <w:rPr>
          <w:rFonts w:cstheme="minorHAnsi"/>
          <w:bCs/>
          <w:color w:val="000000" w:themeColor="text1"/>
          <w:sz w:val="22"/>
          <w:szCs w:val="22"/>
        </w:rPr>
        <w:t xml:space="preserve">e way, </w:t>
      </w:r>
      <w:r>
        <w:rPr>
          <w:rFonts w:cstheme="minorHAnsi"/>
          <w:bCs/>
          <w:color w:val="000000" w:themeColor="text1"/>
          <w:sz w:val="22"/>
          <w:szCs w:val="22"/>
        </w:rPr>
        <w:t xml:space="preserve">any activities you may </w:t>
      </w:r>
      <w:r w:rsidR="003045F9">
        <w:rPr>
          <w:rFonts w:cstheme="minorHAnsi"/>
          <w:bCs/>
          <w:color w:val="000000" w:themeColor="text1"/>
          <w:sz w:val="22"/>
          <w:szCs w:val="22"/>
        </w:rPr>
        <w:t>want to participate in and all the costs associated with your holiday.</w:t>
      </w:r>
    </w:p>
    <w:p w14:paraId="041D456D" w14:textId="5F4455A8" w:rsidR="000A7015" w:rsidRDefault="000A7015" w:rsidP="009B4E37">
      <w:pPr>
        <w:spacing w:before="240" w:line="264" w:lineRule="auto"/>
        <w:rPr>
          <w:rFonts w:cstheme="minorHAnsi"/>
          <w:bCs/>
          <w:color w:val="000000" w:themeColor="text1"/>
          <w:sz w:val="22"/>
          <w:szCs w:val="22"/>
        </w:rPr>
      </w:pPr>
      <w:r>
        <w:rPr>
          <w:rFonts w:cstheme="minorHAnsi"/>
          <w:bCs/>
          <w:color w:val="000000" w:themeColor="text1"/>
          <w:sz w:val="22"/>
          <w:szCs w:val="22"/>
        </w:rPr>
        <w:t>You will be marked based on your use of the mathematical thinking process a</w:t>
      </w:r>
      <w:r w:rsidR="007659A3">
        <w:rPr>
          <w:rFonts w:cstheme="minorHAnsi"/>
          <w:bCs/>
          <w:color w:val="000000" w:themeColor="text1"/>
          <w:sz w:val="22"/>
          <w:szCs w:val="22"/>
        </w:rPr>
        <w:t>nd the following syllabus points.</w:t>
      </w:r>
    </w:p>
    <w:p w14:paraId="297F7377" w14:textId="1695742F" w:rsidR="007659A3" w:rsidRDefault="007659A3" w:rsidP="003045F9">
      <w:pPr>
        <w:spacing w:before="240"/>
        <w:rPr>
          <w:rFonts w:cstheme="minorHAnsi"/>
          <w:b/>
          <w:bCs/>
          <w:color w:val="000000" w:themeColor="text1"/>
        </w:rPr>
      </w:pPr>
    </w:p>
    <w:p w14:paraId="59F87F1C" w14:textId="6A8B35FA" w:rsidR="0094587C" w:rsidRPr="007659A3" w:rsidRDefault="00B52E27" w:rsidP="003045F9">
      <w:pPr>
        <w:spacing w:before="24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Syllabus</w:t>
      </w:r>
    </w:p>
    <w:p w14:paraId="65F811E8" w14:textId="55B6312D" w:rsidR="0094587C" w:rsidRPr="007659A3" w:rsidRDefault="0094587C" w:rsidP="007659A3">
      <w:pPr>
        <w:pStyle w:val="CellBody"/>
        <w:framePr w:hSpace="0" w:wrap="auto" w:vAnchor="margin" w:hAnchor="text" w:yAlign="inline"/>
        <w:rPr>
          <w:rFonts w:cstheme="minorHAnsi"/>
          <w:sz w:val="24"/>
          <w:szCs w:val="24"/>
        </w:rPr>
      </w:pPr>
      <w:r w:rsidRPr="007659A3">
        <w:rPr>
          <w:rFonts w:cstheme="minorHAnsi"/>
          <w:sz w:val="24"/>
          <w:szCs w:val="24"/>
        </w:rPr>
        <w:t>2.3.11</w:t>
      </w:r>
      <w:r w:rsidRPr="007659A3">
        <w:rPr>
          <w:rFonts w:cstheme="minorHAnsi"/>
          <w:sz w:val="24"/>
          <w:szCs w:val="24"/>
        </w:rPr>
        <w:tab/>
        <w:t>use rates to make comparisons</w:t>
      </w:r>
    </w:p>
    <w:p w14:paraId="73937574" w14:textId="13345669" w:rsidR="0094587C" w:rsidRPr="007659A3" w:rsidRDefault="0094587C" w:rsidP="007659A3">
      <w:pPr>
        <w:pStyle w:val="CellBody"/>
        <w:framePr w:hSpace="0" w:wrap="auto" w:vAnchor="margin" w:hAnchor="text" w:yAlign="inline"/>
        <w:rPr>
          <w:rFonts w:cstheme="minorHAnsi"/>
          <w:sz w:val="24"/>
          <w:szCs w:val="24"/>
        </w:rPr>
      </w:pPr>
      <w:r w:rsidRPr="007659A3">
        <w:rPr>
          <w:rFonts w:cstheme="minorHAnsi"/>
          <w:sz w:val="24"/>
          <w:szCs w:val="24"/>
        </w:rPr>
        <w:t xml:space="preserve">2.3.12   use rates to determine costs </w:t>
      </w:r>
    </w:p>
    <w:p w14:paraId="2338622B" w14:textId="5097F6A6" w:rsidR="0094587C" w:rsidRPr="007659A3" w:rsidRDefault="0094587C" w:rsidP="007659A3">
      <w:pPr>
        <w:autoSpaceDE w:val="0"/>
        <w:autoSpaceDN w:val="0"/>
        <w:adjustRightInd w:val="0"/>
        <w:rPr>
          <w:rFonts w:cstheme="minorHAnsi"/>
        </w:rPr>
      </w:pPr>
      <w:r w:rsidRPr="007659A3">
        <w:rPr>
          <w:rFonts w:cstheme="minorHAnsi"/>
        </w:rPr>
        <w:t>2.4.1</w:t>
      </w:r>
      <w:r w:rsidRPr="007659A3">
        <w:rPr>
          <w:rFonts w:cstheme="minorHAnsi"/>
        </w:rPr>
        <w:tab/>
        <w:t>use of units of time, conversions between units, fractional, digital and decimal representations</w:t>
      </w:r>
    </w:p>
    <w:p w14:paraId="451ADE31" w14:textId="77777777" w:rsidR="0094587C" w:rsidRPr="007659A3" w:rsidRDefault="0094587C" w:rsidP="007659A3">
      <w:pPr>
        <w:autoSpaceDE w:val="0"/>
        <w:autoSpaceDN w:val="0"/>
        <w:adjustRightInd w:val="0"/>
        <w:rPr>
          <w:rFonts w:cstheme="minorHAnsi"/>
        </w:rPr>
      </w:pPr>
      <w:r w:rsidRPr="007659A3">
        <w:rPr>
          <w:rFonts w:cstheme="minorHAnsi"/>
        </w:rPr>
        <w:t>2.4.2</w:t>
      </w:r>
      <w:r w:rsidRPr="007659A3">
        <w:rPr>
          <w:rFonts w:cstheme="minorHAnsi"/>
        </w:rPr>
        <w:tab/>
        <w:t xml:space="preserve">represent time using 12 </w:t>
      </w:r>
      <w:proofErr w:type="gramStart"/>
      <w:r w:rsidRPr="007659A3">
        <w:rPr>
          <w:rFonts w:cstheme="minorHAnsi"/>
        </w:rPr>
        <w:t>hour</w:t>
      </w:r>
      <w:proofErr w:type="gramEnd"/>
      <w:r w:rsidRPr="007659A3">
        <w:rPr>
          <w:rFonts w:cstheme="minorHAnsi"/>
        </w:rPr>
        <w:t xml:space="preserve"> and 24 hour clocks </w:t>
      </w:r>
    </w:p>
    <w:p w14:paraId="32CADE16" w14:textId="2BB6B521" w:rsidR="0094587C" w:rsidRPr="007659A3" w:rsidRDefault="0094587C" w:rsidP="007659A3">
      <w:pPr>
        <w:autoSpaceDE w:val="0"/>
        <w:autoSpaceDN w:val="0"/>
        <w:adjustRightInd w:val="0"/>
        <w:rPr>
          <w:rFonts w:cstheme="minorHAnsi"/>
        </w:rPr>
      </w:pPr>
      <w:r w:rsidRPr="007659A3">
        <w:rPr>
          <w:rFonts w:cstheme="minorHAnsi"/>
        </w:rPr>
        <w:t>2.4.3</w:t>
      </w:r>
      <w:r w:rsidRPr="007659A3">
        <w:rPr>
          <w:rFonts w:cstheme="minorHAnsi"/>
        </w:rPr>
        <w:tab/>
        <w:t>calculate time intervals, for example, time between, time ahead, time behind</w:t>
      </w:r>
    </w:p>
    <w:p w14:paraId="0203E48C" w14:textId="77777777" w:rsidR="0094587C" w:rsidRPr="007659A3" w:rsidRDefault="0094587C" w:rsidP="007659A3">
      <w:pPr>
        <w:autoSpaceDE w:val="0"/>
        <w:autoSpaceDN w:val="0"/>
        <w:adjustRightInd w:val="0"/>
        <w:rPr>
          <w:rFonts w:cstheme="minorHAnsi"/>
        </w:rPr>
      </w:pPr>
      <w:r w:rsidRPr="007659A3">
        <w:rPr>
          <w:rFonts w:cstheme="minorHAnsi"/>
        </w:rPr>
        <w:t>2.4.4</w:t>
      </w:r>
      <w:r w:rsidRPr="007659A3">
        <w:rPr>
          <w:rFonts w:cstheme="minorHAnsi"/>
        </w:rPr>
        <w:tab/>
        <w:t>interpret timetables, such as bus, train and ferry timetables</w:t>
      </w:r>
    </w:p>
    <w:p w14:paraId="6A63913E" w14:textId="77777777" w:rsidR="0094587C" w:rsidRPr="007659A3" w:rsidRDefault="0094587C" w:rsidP="007659A3">
      <w:pPr>
        <w:autoSpaceDE w:val="0"/>
        <w:autoSpaceDN w:val="0"/>
        <w:adjustRightInd w:val="0"/>
        <w:rPr>
          <w:rFonts w:cstheme="minorHAnsi"/>
        </w:rPr>
      </w:pPr>
      <w:r w:rsidRPr="007659A3">
        <w:rPr>
          <w:rFonts w:cstheme="minorHAnsi"/>
        </w:rPr>
        <w:t>2.4.5</w:t>
      </w:r>
      <w:r w:rsidRPr="007659A3">
        <w:rPr>
          <w:rFonts w:cstheme="minorHAnsi"/>
        </w:rPr>
        <w:tab/>
        <w:t xml:space="preserve">use several timetables and electronic technologies to plan the most time-efficient routes </w:t>
      </w:r>
    </w:p>
    <w:p w14:paraId="08C7F52F" w14:textId="77777777" w:rsidR="0094587C" w:rsidRPr="007659A3" w:rsidRDefault="0094587C" w:rsidP="007659A3">
      <w:pPr>
        <w:autoSpaceDE w:val="0"/>
        <w:autoSpaceDN w:val="0"/>
        <w:adjustRightInd w:val="0"/>
        <w:rPr>
          <w:rFonts w:cstheme="minorHAnsi"/>
        </w:rPr>
      </w:pPr>
      <w:r w:rsidRPr="007659A3">
        <w:rPr>
          <w:rFonts w:cstheme="minorHAnsi"/>
        </w:rPr>
        <w:t>2.4.6</w:t>
      </w:r>
      <w:r w:rsidRPr="007659A3">
        <w:rPr>
          <w:rFonts w:cstheme="minorHAnsi"/>
        </w:rPr>
        <w:tab/>
        <w:t>interpret complex timetables, such as tide charts, sunrise charts and moon phases</w:t>
      </w:r>
    </w:p>
    <w:p w14:paraId="3098C7EE" w14:textId="1B1174CA" w:rsidR="0094587C" w:rsidRPr="007659A3" w:rsidRDefault="0094587C" w:rsidP="007659A3">
      <w:pPr>
        <w:autoSpaceDE w:val="0"/>
        <w:autoSpaceDN w:val="0"/>
        <w:adjustRightInd w:val="0"/>
        <w:rPr>
          <w:rFonts w:cstheme="minorHAnsi"/>
        </w:rPr>
      </w:pPr>
      <w:r w:rsidRPr="007659A3">
        <w:rPr>
          <w:rFonts w:cstheme="minorHAnsi"/>
        </w:rPr>
        <w:t>2.4.7</w:t>
      </w:r>
      <w:r w:rsidRPr="007659A3">
        <w:rPr>
          <w:rFonts w:cstheme="minorHAnsi"/>
        </w:rPr>
        <w:tab/>
        <w:t>compare the time taken to travel a specific distance with various modes of transport</w:t>
      </w:r>
    </w:p>
    <w:p w14:paraId="7BF7495B" w14:textId="77777777" w:rsidR="007659A3" w:rsidRPr="007659A3" w:rsidRDefault="007659A3" w:rsidP="007659A3">
      <w:pPr>
        <w:pStyle w:val="ListParagraph"/>
        <w:numPr>
          <w:ilvl w:val="2"/>
          <w:numId w:val="3"/>
        </w:numPr>
        <w:spacing w:before="120" w:after="120"/>
        <w:ind w:left="709" w:hanging="709"/>
        <w:rPr>
          <w:rFonts w:eastAsia="Times New Roman" w:cstheme="minorHAnsi"/>
          <w:iCs/>
          <w:lang w:eastAsia="en-AU"/>
        </w:rPr>
      </w:pPr>
      <w:r w:rsidRPr="007659A3">
        <w:rPr>
          <w:rFonts w:eastAsia="Times New Roman" w:cstheme="minorHAnsi"/>
          <w:iCs/>
          <w:lang w:eastAsia="en-AU"/>
        </w:rPr>
        <w:t xml:space="preserve">use scales to calculate distances and lengths on plans, maps and charts </w:t>
      </w:r>
    </w:p>
    <w:p w14:paraId="58C62DE1" w14:textId="77777777" w:rsidR="007659A3" w:rsidRPr="007659A3" w:rsidRDefault="007659A3" w:rsidP="007659A3">
      <w:pPr>
        <w:numPr>
          <w:ilvl w:val="2"/>
          <w:numId w:val="3"/>
        </w:numPr>
        <w:spacing w:before="120" w:after="120"/>
        <w:ind w:left="709" w:hanging="709"/>
        <w:rPr>
          <w:rFonts w:eastAsia="Times New Roman" w:cstheme="minorHAnsi"/>
          <w:iCs/>
          <w:lang w:eastAsia="en-AU"/>
        </w:rPr>
      </w:pPr>
      <w:r w:rsidRPr="007659A3">
        <w:rPr>
          <w:rFonts w:eastAsia="Times New Roman" w:cstheme="minorHAnsi"/>
          <w:iCs/>
          <w:lang w:eastAsia="en-AU"/>
        </w:rPr>
        <w:t>plan routes for practical purposes, accounting for local conditions.</w:t>
      </w:r>
    </w:p>
    <w:p w14:paraId="07BA1A8A" w14:textId="77777777" w:rsidR="007659A3" w:rsidRPr="0094587C" w:rsidRDefault="007659A3" w:rsidP="003045F9">
      <w:pPr>
        <w:autoSpaceDE w:val="0"/>
        <w:autoSpaceDN w:val="0"/>
        <w:adjustRightInd w:val="0"/>
        <w:rPr>
          <w:rFonts w:cstheme="minorHAnsi"/>
          <w:sz w:val="22"/>
          <w:szCs w:val="22"/>
          <w:highlight w:val="yellow"/>
        </w:rPr>
      </w:pPr>
    </w:p>
    <w:p w14:paraId="1B4F833D" w14:textId="77777777" w:rsidR="0094587C" w:rsidRDefault="0094587C" w:rsidP="0094587C">
      <w:pPr>
        <w:autoSpaceDE w:val="0"/>
        <w:autoSpaceDN w:val="0"/>
        <w:adjustRightInd w:val="0"/>
        <w:rPr>
          <w:rFonts w:ascii="NimbusSanL-Regu" w:hAnsi="NimbusSanL-Regu" w:cs="NimbusSanL-Regu"/>
          <w:sz w:val="23"/>
          <w:szCs w:val="21"/>
        </w:rPr>
      </w:pPr>
    </w:p>
    <w:p w14:paraId="3877230A" w14:textId="77777777" w:rsidR="0094587C" w:rsidRDefault="0094587C" w:rsidP="0094587C">
      <w:pPr>
        <w:pStyle w:val="CellBody"/>
        <w:framePr w:hSpace="0" w:wrap="auto" w:vAnchor="margin" w:hAnchor="text" w:yAlign="inline"/>
      </w:pPr>
    </w:p>
    <w:p w14:paraId="38EDCAA4" w14:textId="77777777" w:rsidR="0094587C" w:rsidRDefault="0094587C" w:rsidP="0094587C">
      <w:pPr>
        <w:pStyle w:val="CellBody"/>
        <w:framePr w:hSpace="0" w:wrap="auto" w:vAnchor="margin" w:hAnchor="text" w:yAlign="inline"/>
      </w:pPr>
    </w:p>
    <w:p w14:paraId="42E3B61F" w14:textId="77777777" w:rsidR="0094587C" w:rsidRPr="0094587C" w:rsidRDefault="0094587C" w:rsidP="009B4E37">
      <w:pPr>
        <w:spacing w:before="240" w:line="264" w:lineRule="auto"/>
        <w:rPr>
          <w:rFonts w:cstheme="minorHAnsi"/>
          <w:bCs/>
          <w:color w:val="000000" w:themeColor="text1"/>
          <w:sz w:val="22"/>
          <w:szCs w:val="22"/>
        </w:rPr>
      </w:pPr>
    </w:p>
    <w:sectPr w:rsidR="0094587C" w:rsidRPr="0094587C" w:rsidSect="00717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73E67"/>
    <w:multiLevelType w:val="hybridMultilevel"/>
    <w:tmpl w:val="B9629C94"/>
    <w:lvl w:ilvl="0" w:tplc="5C349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D6065"/>
    <w:multiLevelType w:val="multilevel"/>
    <w:tmpl w:val="F8EAD2BC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4"/>
      <w:numFmt w:val="decimal"/>
      <w:lvlText w:val="%1.%2"/>
      <w:lvlJc w:val="left"/>
      <w:pPr>
        <w:ind w:left="789" w:hanging="435"/>
      </w:pPr>
    </w:lvl>
    <w:lvl w:ilvl="2">
      <w:start w:val="8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272" w:hanging="1440"/>
      </w:pPr>
    </w:lvl>
  </w:abstractNum>
  <w:abstractNum w:abstractNumId="2" w15:restartNumberingAfterBreak="0">
    <w:nsid w:val="3E16221B"/>
    <w:multiLevelType w:val="hybridMultilevel"/>
    <w:tmpl w:val="53F0A820"/>
    <w:lvl w:ilvl="0" w:tplc="B19AF98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4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55"/>
    <w:rsid w:val="00020B62"/>
    <w:rsid w:val="000A7015"/>
    <w:rsid w:val="00174E4E"/>
    <w:rsid w:val="001B5894"/>
    <w:rsid w:val="00215813"/>
    <w:rsid w:val="003045F9"/>
    <w:rsid w:val="003F3BC8"/>
    <w:rsid w:val="004C2C55"/>
    <w:rsid w:val="006E4C8C"/>
    <w:rsid w:val="0071765E"/>
    <w:rsid w:val="007659A3"/>
    <w:rsid w:val="0084408C"/>
    <w:rsid w:val="0094587C"/>
    <w:rsid w:val="009B4E37"/>
    <w:rsid w:val="00B13A28"/>
    <w:rsid w:val="00B174F2"/>
    <w:rsid w:val="00B52E27"/>
    <w:rsid w:val="00CB0016"/>
    <w:rsid w:val="00E03421"/>
    <w:rsid w:val="00E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8A08"/>
  <w15:chartTrackingRefBased/>
  <w15:docId w15:val="{42D34D71-2BAB-4C51-B5CD-F1BF334A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C55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4C2C55"/>
  </w:style>
  <w:style w:type="paragraph" w:styleId="Header">
    <w:name w:val="header"/>
    <w:basedOn w:val="Normal"/>
    <w:link w:val="HeaderChar"/>
    <w:rsid w:val="004C2C55"/>
    <w:pPr>
      <w:tabs>
        <w:tab w:val="center" w:pos="4153"/>
        <w:tab w:val="right" w:pos="8306"/>
      </w:tabs>
    </w:pPr>
    <w:rPr>
      <w:sz w:val="22"/>
      <w:szCs w:val="22"/>
      <w:lang w:val="en-GB"/>
    </w:rPr>
  </w:style>
  <w:style w:type="character" w:customStyle="1" w:styleId="HeaderChar1">
    <w:name w:val="Header Char1"/>
    <w:basedOn w:val="DefaultParagraphFont"/>
    <w:uiPriority w:val="99"/>
    <w:semiHidden/>
    <w:rsid w:val="004C2C55"/>
    <w:rPr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B13A28"/>
    <w:pPr>
      <w:ind w:left="720"/>
      <w:contextualSpacing/>
    </w:pPr>
  </w:style>
  <w:style w:type="paragraph" w:customStyle="1" w:styleId="CellBody">
    <w:name w:val="Cell Body"/>
    <w:basedOn w:val="NormalWeb"/>
    <w:link w:val="CellBodyChar"/>
    <w:qFormat/>
    <w:rsid w:val="0094587C"/>
    <w:pPr>
      <w:framePr w:hSpace="180" w:wrap="around" w:vAnchor="text" w:hAnchor="margin" w:y="-314"/>
      <w:spacing w:before="120" w:after="120"/>
    </w:pPr>
    <w:rPr>
      <w:rFonts w:asciiTheme="minorHAnsi" w:eastAsia="Times New Roman" w:hAnsiTheme="minorHAnsi" w:cs="Arial"/>
      <w:sz w:val="18"/>
      <w:szCs w:val="18"/>
      <w:lang w:eastAsia="en-AU"/>
    </w:rPr>
  </w:style>
  <w:style w:type="character" w:customStyle="1" w:styleId="CellBodyChar">
    <w:name w:val="Cell Body Char"/>
    <w:basedOn w:val="DefaultParagraphFont"/>
    <w:link w:val="CellBody"/>
    <w:rsid w:val="0094587C"/>
    <w:rPr>
      <w:rFonts w:eastAsia="Times New Roman" w:cs="Arial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94587C"/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59A3"/>
    <w:rPr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Magdeline LUM</dc:creator>
  <cp:keywords/>
  <dc:description/>
  <cp:lastModifiedBy>MORGAN Adam [Baldivis Secondary College]</cp:lastModifiedBy>
  <cp:revision>5</cp:revision>
  <dcterms:created xsi:type="dcterms:W3CDTF">2020-09-22T01:11:00Z</dcterms:created>
  <dcterms:modified xsi:type="dcterms:W3CDTF">2020-10-12T01:43:00Z</dcterms:modified>
</cp:coreProperties>
</file>