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66" w:rsidRPr="00752014" w:rsidRDefault="001738A3" w:rsidP="00752014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Laboratory Test E</w:t>
      </w:r>
      <w:bookmarkStart w:id="0" w:name="_GoBack"/>
      <w:bookmarkEnd w:id="0"/>
      <w:r w:rsidR="00E44153" w:rsidRPr="00752014">
        <w:rPr>
          <w:rFonts w:ascii="Arial" w:hAnsi="Arial" w:cs="Arial"/>
          <w:b/>
          <w:sz w:val="32"/>
          <w:szCs w:val="24"/>
          <w:u w:val="single"/>
        </w:rPr>
        <w:t>ven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 w:rsidRPr="00E44153">
        <w:rPr>
          <w:rFonts w:ascii="Arial" w:hAnsi="Arial" w:cs="Arial"/>
          <w:sz w:val="24"/>
          <w:szCs w:val="24"/>
          <w:u w:val="single"/>
        </w:rPr>
        <w:t>Aim:</w:t>
      </w:r>
      <w:r>
        <w:rPr>
          <w:rFonts w:ascii="Arial" w:hAnsi="Arial" w:cs="Arial"/>
          <w:sz w:val="24"/>
          <w:szCs w:val="24"/>
        </w:rPr>
        <w:t xml:space="preserve"> To investigate the loss of energy when a ball is dropped (energy efficiency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br/>
      </w:r>
      <w:r w:rsidRPr="00D6267A">
        <w:rPr>
          <w:rFonts w:ascii="Arial" w:hAnsi="Arial" w:cs="Arial"/>
          <w:sz w:val="24"/>
          <w:szCs w:val="24"/>
          <w:u w:val="single"/>
        </w:rPr>
        <w:t>Hypothesis: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Energy is neither created nor destroyed, but transferred or transformed. 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controlled closed system where energy does not have the opportunity to transform or transfer, the Gravitational Potential Energy at the maximum height would equal the Kinetic Energy just before impact.</w:t>
      </w:r>
    </w:p>
    <w:p w:rsidR="00D6267A" w:rsidRDefault="00E4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energy loss in the system, due to air resistance can be calculated comparing the theoretical kinetic energy of different masses with the practical kinetic energy. 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greater the </w:t>
      </w:r>
      <w:r w:rsidRPr="002624C5">
        <w:rPr>
          <w:rFonts w:ascii="Arial" w:hAnsi="Arial" w:cs="Arial"/>
          <w:b/>
          <w:i/>
          <w:sz w:val="24"/>
          <w:szCs w:val="24"/>
        </w:rPr>
        <w:t>mass</w:t>
      </w:r>
      <w:r>
        <w:rPr>
          <w:rFonts w:ascii="Arial" w:hAnsi="Arial" w:cs="Arial"/>
          <w:sz w:val="24"/>
          <w:szCs w:val="24"/>
        </w:rPr>
        <w:t xml:space="preserve"> the </w:t>
      </w:r>
      <w:r w:rsidR="00D6267A">
        <w:rPr>
          <w:rFonts w:ascii="Arial" w:hAnsi="Arial" w:cs="Arial"/>
          <w:sz w:val="24"/>
          <w:szCs w:val="24"/>
        </w:rPr>
        <w:t xml:space="preserve">greater the </w:t>
      </w:r>
      <w:r w:rsidR="00D6267A" w:rsidRPr="002624C5">
        <w:rPr>
          <w:rFonts w:ascii="Arial" w:hAnsi="Arial" w:cs="Arial"/>
          <w:b/>
          <w:i/>
          <w:sz w:val="24"/>
          <w:szCs w:val="24"/>
        </w:rPr>
        <w:t xml:space="preserve">rate of distance </w:t>
      </w:r>
      <w:r w:rsidR="00D6267A">
        <w:rPr>
          <w:rFonts w:ascii="Arial" w:hAnsi="Arial" w:cs="Arial"/>
          <w:sz w:val="24"/>
          <w:szCs w:val="24"/>
        </w:rPr>
        <w:t xml:space="preserve">covered during the object falling and hence the </w:t>
      </w:r>
      <w:r>
        <w:rPr>
          <w:rFonts w:ascii="Arial" w:hAnsi="Arial" w:cs="Arial"/>
          <w:sz w:val="24"/>
          <w:szCs w:val="24"/>
        </w:rPr>
        <w:t xml:space="preserve">more </w:t>
      </w:r>
      <w:r w:rsidRPr="002624C5">
        <w:rPr>
          <w:rFonts w:ascii="Arial" w:hAnsi="Arial" w:cs="Arial"/>
          <w:b/>
          <w:i/>
          <w:sz w:val="24"/>
          <w:szCs w:val="24"/>
        </w:rPr>
        <w:t>energy efficient</w:t>
      </w:r>
      <w:r>
        <w:rPr>
          <w:rFonts w:ascii="Arial" w:hAnsi="Arial" w:cs="Arial"/>
          <w:sz w:val="24"/>
          <w:szCs w:val="24"/>
        </w:rPr>
        <w:t>.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 w:rsidRPr="00E44153">
        <w:rPr>
          <w:rFonts w:ascii="Arial" w:hAnsi="Arial" w:cs="Arial"/>
          <w:sz w:val="24"/>
          <w:szCs w:val="24"/>
          <w:u w:val="single"/>
        </w:rPr>
        <w:t>Independent Variable:</w:t>
      </w:r>
      <w:r>
        <w:rPr>
          <w:rFonts w:ascii="Arial" w:hAnsi="Arial" w:cs="Arial"/>
          <w:sz w:val="24"/>
          <w:szCs w:val="24"/>
        </w:rPr>
        <w:t xml:space="preserve"> Mass of falling </w:t>
      </w:r>
      <w:proofErr w:type="gramStart"/>
      <w:r>
        <w:rPr>
          <w:rFonts w:ascii="Arial" w:hAnsi="Arial" w:cs="Arial"/>
          <w:sz w:val="24"/>
          <w:szCs w:val="24"/>
        </w:rPr>
        <w:t>object</w:t>
      </w:r>
      <w:proofErr w:type="gramEnd"/>
      <w:r w:rsidR="002624C5">
        <w:rPr>
          <w:rFonts w:ascii="Arial" w:hAnsi="Arial" w:cs="Arial"/>
          <w:sz w:val="24"/>
          <w:szCs w:val="24"/>
        </w:rPr>
        <w:t xml:space="preserve"> (kg)</w:t>
      </w:r>
      <w:r>
        <w:rPr>
          <w:rFonts w:ascii="Arial" w:hAnsi="Arial" w:cs="Arial"/>
          <w:sz w:val="24"/>
          <w:szCs w:val="24"/>
        </w:rPr>
        <w:t>.</w:t>
      </w:r>
    </w:p>
    <w:p w:rsidR="00D6267A" w:rsidRDefault="00E44153">
      <w:pPr>
        <w:rPr>
          <w:rFonts w:ascii="Arial" w:hAnsi="Arial" w:cs="Arial"/>
          <w:sz w:val="24"/>
          <w:szCs w:val="24"/>
        </w:rPr>
      </w:pPr>
      <w:r w:rsidRPr="00E44153">
        <w:rPr>
          <w:rFonts w:ascii="Arial" w:hAnsi="Arial" w:cs="Arial"/>
          <w:sz w:val="24"/>
          <w:szCs w:val="24"/>
          <w:u w:val="single"/>
        </w:rPr>
        <w:t>Dependent Variable:</w:t>
      </w:r>
      <w:r>
        <w:rPr>
          <w:rFonts w:ascii="Arial" w:hAnsi="Arial" w:cs="Arial"/>
          <w:sz w:val="24"/>
          <w:szCs w:val="24"/>
        </w:rPr>
        <w:t xml:space="preserve"> Distance </w:t>
      </w:r>
      <w:r w:rsidR="004B73A3">
        <w:rPr>
          <w:rFonts w:ascii="Arial" w:hAnsi="Arial" w:cs="Arial"/>
          <w:sz w:val="24"/>
          <w:szCs w:val="24"/>
        </w:rPr>
        <w:t xml:space="preserve">(m) </w:t>
      </w:r>
      <w:r>
        <w:rPr>
          <w:rFonts w:ascii="Arial" w:hAnsi="Arial" w:cs="Arial"/>
          <w:sz w:val="24"/>
          <w:szCs w:val="24"/>
        </w:rPr>
        <w:t>and Time</w:t>
      </w:r>
      <w:r w:rsidR="004B73A3">
        <w:rPr>
          <w:rFonts w:ascii="Arial" w:hAnsi="Arial" w:cs="Arial"/>
          <w:sz w:val="24"/>
          <w:szCs w:val="24"/>
        </w:rPr>
        <w:t xml:space="preserve"> (s)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4153" w:rsidRDefault="00E4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D6267A">
        <w:rPr>
          <w:rFonts w:ascii="Arial" w:hAnsi="Arial" w:cs="Arial"/>
          <w:sz w:val="24"/>
          <w:szCs w:val="24"/>
        </w:rPr>
        <w:t>the</w:t>
      </w:r>
      <w:proofErr w:type="gramEnd"/>
      <w:r w:rsidR="00D6267A">
        <w:rPr>
          <w:rFonts w:ascii="Arial" w:hAnsi="Arial" w:cs="Arial"/>
          <w:sz w:val="24"/>
          <w:szCs w:val="24"/>
        </w:rPr>
        <w:t xml:space="preserve"> dependent variable is what you are measuring </w:t>
      </w:r>
      <w:r>
        <w:rPr>
          <w:rFonts w:ascii="Arial" w:hAnsi="Arial" w:cs="Arial"/>
          <w:sz w:val="24"/>
          <w:szCs w:val="24"/>
        </w:rPr>
        <w:t xml:space="preserve">to calculate the </w:t>
      </w:r>
      <w:r w:rsidR="00D6267A">
        <w:rPr>
          <w:rFonts w:ascii="Arial" w:hAnsi="Arial" w:cs="Arial"/>
          <w:sz w:val="24"/>
          <w:szCs w:val="24"/>
        </w:rPr>
        <w:t xml:space="preserve">final velocity and </w:t>
      </w:r>
      <w:r>
        <w:rPr>
          <w:rFonts w:ascii="Arial" w:hAnsi="Arial" w:cs="Arial"/>
          <w:sz w:val="24"/>
          <w:szCs w:val="24"/>
        </w:rPr>
        <w:t>Kinetic Energy)</w:t>
      </w:r>
    </w:p>
    <w:p w:rsidR="00D6267A" w:rsidRDefault="00D6267A">
      <w:pPr>
        <w:rPr>
          <w:rFonts w:ascii="Arial" w:hAnsi="Arial" w:cs="Arial"/>
          <w:sz w:val="24"/>
          <w:szCs w:val="24"/>
        </w:rPr>
      </w:pPr>
      <w:r w:rsidRPr="00D6267A">
        <w:rPr>
          <w:rFonts w:ascii="Arial" w:hAnsi="Arial" w:cs="Arial"/>
          <w:sz w:val="24"/>
          <w:szCs w:val="24"/>
          <w:u w:val="single"/>
        </w:rPr>
        <w:t>Controlled Variables:</w:t>
      </w:r>
      <w:r>
        <w:rPr>
          <w:rFonts w:ascii="Arial" w:hAnsi="Arial" w:cs="Arial"/>
          <w:sz w:val="24"/>
          <w:szCs w:val="24"/>
        </w:rPr>
        <w:t xml:space="preserve"> (always a minimum of two listed)</w:t>
      </w:r>
    </w:p>
    <w:p w:rsidR="002624C5" w:rsidRPr="00752014" w:rsidRDefault="002624C5">
      <w:pPr>
        <w:rPr>
          <w:rFonts w:ascii="Arial" w:hAnsi="Arial" w:cs="Arial"/>
          <w:szCs w:val="24"/>
          <w:u w:val="single"/>
        </w:rPr>
      </w:pPr>
      <w:r w:rsidRPr="00752014">
        <w:rPr>
          <w:rFonts w:ascii="Arial" w:hAnsi="Arial" w:cs="Arial"/>
          <w:sz w:val="24"/>
          <w:szCs w:val="24"/>
          <w:u w:val="single"/>
        </w:rPr>
        <w:t>Results:</w:t>
      </w:r>
    </w:p>
    <w:tbl>
      <w:tblPr>
        <w:tblStyle w:val="TableGrid"/>
        <w:tblW w:w="10490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992"/>
        <w:gridCol w:w="992"/>
        <w:gridCol w:w="1276"/>
        <w:gridCol w:w="851"/>
        <w:gridCol w:w="992"/>
        <w:gridCol w:w="1276"/>
        <w:gridCol w:w="850"/>
        <w:gridCol w:w="1134"/>
      </w:tblGrid>
      <w:tr w:rsidR="00863EF7" w:rsidRPr="00863EF7" w:rsidTr="00752014">
        <w:tc>
          <w:tcPr>
            <w:tcW w:w="709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Mass (kg)</w:t>
            </w:r>
          </w:p>
        </w:tc>
        <w:tc>
          <w:tcPr>
            <w:tcW w:w="709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Ticker Tape (m)</w:t>
            </w:r>
          </w:p>
        </w:tc>
        <w:tc>
          <w:tcPr>
            <w:tcW w:w="709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Time (s)</w:t>
            </w:r>
          </w:p>
        </w:tc>
        <w:tc>
          <w:tcPr>
            <w:tcW w:w="992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Initial Velocity (m s</w:t>
            </w:r>
            <w:r w:rsidRPr="00863EF7">
              <w:rPr>
                <w:rFonts w:ascii="Arial" w:hAnsi="Arial" w:cs="Arial"/>
                <w:szCs w:val="24"/>
                <w:vertAlign w:val="superscript"/>
              </w:rPr>
              <w:t>-1</w:t>
            </w:r>
            <w:r w:rsidRPr="00863EF7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992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Final Velocity (m s</w:t>
            </w:r>
            <w:r w:rsidRPr="00863EF7">
              <w:rPr>
                <w:rFonts w:ascii="Arial" w:hAnsi="Arial" w:cs="Arial"/>
                <w:szCs w:val="24"/>
                <w:vertAlign w:val="superscript"/>
              </w:rPr>
              <w:t>-1</w:t>
            </w:r>
            <w:r w:rsidRPr="00863EF7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276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Calculated Kinetic Energy (J)</w:t>
            </w:r>
          </w:p>
        </w:tc>
        <w:tc>
          <w:tcPr>
            <w:tcW w:w="851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Height (m)</w:t>
            </w:r>
          </w:p>
        </w:tc>
        <w:tc>
          <w:tcPr>
            <w:tcW w:w="992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Potential Energy (J)</w:t>
            </w:r>
          </w:p>
        </w:tc>
        <w:tc>
          <w:tcPr>
            <w:tcW w:w="1276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Theoretical Kinetic Energy (J)</w:t>
            </w:r>
          </w:p>
        </w:tc>
        <w:tc>
          <w:tcPr>
            <w:tcW w:w="850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Energy Loss</w:t>
            </w:r>
          </w:p>
        </w:tc>
        <w:tc>
          <w:tcPr>
            <w:tcW w:w="1134" w:type="dxa"/>
          </w:tcPr>
          <w:p w:rsidR="00863EF7" w:rsidRPr="00863EF7" w:rsidRDefault="00863EF7" w:rsidP="00752014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 xml:space="preserve">Energy </w:t>
            </w:r>
            <w:r w:rsidR="00752014">
              <w:rPr>
                <w:rFonts w:ascii="Arial" w:hAnsi="Arial" w:cs="Arial"/>
                <w:szCs w:val="24"/>
              </w:rPr>
              <w:t>Loss</w:t>
            </w:r>
            <w:r w:rsidRPr="00863EF7">
              <w:rPr>
                <w:rFonts w:ascii="Arial" w:hAnsi="Arial" w:cs="Arial"/>
                <w:szCs w:val="24"/>
              </w:rPr>
              <w:t xml:space="preserve"> (%)</w:t>
            </w:r>
          </w:p>
        </w:tc>
      </w:tr>
      <w:tr w:rsidR="00863EF7" w:rsidRPr="00863EF7" w:rsidTr="00752014">
        <w:tc>
          <w:tcPr>
            <w:tcW w:w="709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0.05</w:t>
            </w:r>
          </w:p>
        </w:tc>
        <w:tc>
          <w:tcPr>
            <w:tcW w:w="709" w:type="dxa"/>
          </w:tcPr>
          <w:p w:rsidR="00863EF7" w:rsidRPr="00863EF7" w:rsidRDefault="00863EF7" w:rsidP="00752014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0.05</w:t>
            </w:r>
            <w:r w:rsidR="00752014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709" w:type="dxa"/>
          </w:tcPr>
          <w:p w:rsidR="00863EF7" w:rsidRPr="00863EF7" w:rsidRDefault="00863EF7" w:rsidP="00863EF7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0.02</w:t>
            </w:r>
          </w:p>
        </w:tc>
        <w:tc>
          <w:tcPr>
            <w:tcW w:w="992" w:type="dxa"/>
          </w:tcPr>
          <w:p w:rsidR="00863EF7" w:rsidRPr="00863EF7" w:rsidRDefault="00863EF7" w:rsidP="00863EF7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992" w:type="dxa"/>
          </w:tcPr>
          <w:p w:rsidR="00863EF7" w:rsidRPr="00863EF7" w:rsidRDefault="00863EF7" w:rsidP="00752014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2.</w:t>
            </w:r>
            <w:r w:rsidR="00752014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276" w:type="dxa"/>
          </w:tcPr>
          <w:p w:rsidR="00863EF7" w:rsidRPr="00863EF7" w:rsidRDefault="00863EF7" w:rsidP="00752014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</w:t>
            </w:r>
            <w:r w:rsidR="00752014"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851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992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0.49</w:t>
            </w:r>
          </w:p>
        </w:tc>
        <w:tc>
          <w:tcPr>
            <w:tcW w:w="1276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0.49</w:t>
            </w:r>
          </w:p>
        </w:tc>
        <w:tc>
          <w:tcPr>
            <w:tcW w:w="850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0.28</w:t>
            </w:r>
          </w:p>
        </w:tc>
        <w:tc>
          <w:tcPr>
            <w:tcW w:w="1134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57%</w:t>
            </w:r>
          </w:p>
        </w:tc>
      </w:tr>
      <w:tr w:rsidR="00863EF7" w:rsidRPr="00863EF7" w:rsidTr="00752014">
        <w:tc>
          <w:tcPr>
            <w:tcW w:w="709" w:type="dxa"/>
          </w:tcPr>
          <w:p w:rsidR="00863EF7" w:rsidRPr="00863EF7" w:rsidRDefault="00863EF7" w:rsidP="00863EF7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0.1</w:t>
            </w:r>
          </w:p>
        </w:tc>
        <w:tc>
          <w:tcPr>
            <w:tcW w:w="709" w:type="dxa"/>
          </w:tcPr>
          <w:p w:rsidR="00863EF7" w:rsidRPr="00863EF7" w:rsidRDefault="00863EF7" w:rsidP="00752014">
            <w:pPr>
              <w:ind w:left="-108"/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</w:t>
            </w:r>
            <w:r w:rsidR="00752014">
              <w:rPr>
                <w:rFonts w:ascii="Arial" w:hAnsi="Arial" w:cs="Arial"/>
                <w:szCs w:val="24"/>
              </w:rPr>
              <w:t>068</w:t>
            </w:r>
          </w:p>
        </w:tc>
        <w:tc>
          <w:tcPr>
            <w:tcW w:w="709" w:type="dxa"/>
          </w:tcPr>
          <w:p w:rsidR="00863EF7" w:rsidRPr="00863EF7" w:rsidRDefault="00863EF7" w:rsidP="00863EF7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0.02</w:t>
            </w:r>
          </w:p>
        </w:tc>
        <w:tc>
          <w:tcPr>
            <w:tcW w:w="992" w:type="dxa"/>
          </w:tcPr>
          <w:p w:rsidR="00863EF7" w:rsidRPr="00863EF7" w:rsidRDefault="00863EF7" w:rsidP="00863EF7">
            <w:pPr>
              <w:jc w:val="center"/>
              <w:rPr>
                <w:rFonts w:ascii="Arial" w:hAnsi="Arial" w:cs="Arial"/>
                <w:szCs w:val="24"/>
              </w:rPr>
            </w:pPr>
            <w:r w:rsidRPr="00863EF7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992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3.4</w:t>
            </w:r>
          </w:p>
        </w:tc>
        <w:tc>
          <w:tcPr>
            <w:tcW w:w="1276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0.578</w:t>
            </w:r>
          </w:p>
        </w:tc>
        <w:tc>
          <w:tcPr>
            <w:tcW w:w="851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992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0.98</w:t>
            </w:r>
          </w:p>
        </w:tc>
        <w:tc>
          <w:tcPr>
            <w:tcW w:w="1276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0.98</w:t>
            </w:r>
          </w:p>
        </w:tc>
        <w:tc>
          <w:tcPr>
            <w:tcW w:w="850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0.402</w:t>
            </w:r>
          </w:p>
        </w:tc>
        <w:tc>
          <w:tcPr>
            <w:tcW w:w="1134" w:type="dxa"/>
          </w:tcPr>
          <w:p w:rsidR="00863EF7" w:rsidRPr="00863EF7" w:rsidRDefault="00752014" w:rsidP="00863EF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41%</w:t>
            </w:r>
          </w:p>
        </w:tc>
      </w:tr>
    </w:tbl>
    <w:p w:rsidR="002624C5" w:rsidRPr="00752014" w:rsidRDefault="002624C5">
      <w:pPr>
        <w:rPr>
          <w:rFonts w:ascii="Arial" w:hAnsi="Arial" w:cs="Arial"/>
          <w:sz w:val="4"/>
          <w:szCs w:val="24"/>
        </w:rPr>
      </w:pPr>
    </w:p>
    <w:p w:rsidR="00752014" w:rsidRDefault="00752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Graph:</w:t>
      </w:r>
    </w:p>
    <w:p w:rsidR="00752014" w:rsidRDefault="001738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.75pt;margin-top:87pt;width:124.5pt;height:45.75pt;z-index:251659264" filled="f" stroked="f">
            <v:textbox>
              <w:txbxContent>
                <w:p w:rsidR="00752014" w:rsidRPr="00752014" w:rsidRDefault="00752014" w:rsidP="00752014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Efficiency </w:t>
                  </w:r>
                  <w:r w:rsidRPr="00752014">
                    <w:rPr>
                      <w:rFonts w:ascii="Arial" w:hAnsi="Arial" w:cs="Arial"/>
                      <w:sz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</w:rPr>
                    <w:t>%</w:t>
                  </w:r>
                  <w:r w:rsidRPr="00752014">
                    <w:rPr>
                      <w:rFonts w:ascii="Arial" w:hAnsi="Arial" w:cs="Arial"/>
                      <w:sz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26" type="#_x0000_t202" style="position:absolute;margin-left:188.25pt;margin-top:183.75pt;width:124.5pt;height:25.5pt;z-index:251658240" filled="f" stroked="f">
            <v:textbox>
              <w:txbxContent>
                <w:p w:rsidR="00752014" w:rsidRPr="00752014" w:rsidRDefault="00752014">
                  <w:pPr>
                    <w:rPr>
                      <w:rFonts w:ascii="Arial" w:hAnsi="Arial" w:cs="Arial"/>
                      <w:sz w:val="24"/>
                    </w:rPr>
                  </w:pPr>
                  <w:r w:rsidRPr="00752014">
                    <w:rPr>
                      <w:rFonts w:ascii="Arial" w:hAnsi="Arial" w:cs="Arial"/>
                      <w:sz w:val="24"/>
                    </w:rPr>
                    <w:t>Mass (kg)</w:t>
                  </w:r>
                </w:p>
              </w:txbxContent>
            </v:textbox>
          </v:shape>
        </w:pict>
      </w:r>
      <w:r w:rsidR="00752014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486400" cy="26955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2014" w:rsidRPr="007A241A" w:rsidRDefault="00752014">
      <w:pPr>
        <w:rPr>
          <w:rFonts w:ascii="Arial" w:hAnsi="Arial" w:cs="Arial"/>
          <w:sz w:val="24"/>
          <w:szCs w:val="24"/>
          <w:u w:val="single"/>
        </w:rPr>
      </w:pPr>
      <w:r w:rsidRPr="007A241A">
        <w:rPr>
          <w:rFonts w:ascii="Arial" w:hAnsi="Arial" w:cs="Arial"/>
          <w:sz w:val="24"/>
          <w:szCs w:val="24"/>
          <w:u w:val="single"/>
        </w:rPr>
        <w:lastRenderedPageBreak/>
        <w:t>Discussion:</w:t>
      </w:r>
    </w:p>
    <w:p w:rsidR="00752014" w:rsidRDefault="00752014" w:rsidP="007A24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7A241A">
        <w:rPr>
          <w:rFonts w:ascii="Arial" w:hAnsi="Arial" w:cs="Arial"/>
          <w:sz w:val="24"/>
          <w:szCs w:val="24"/>
        </w:rPr>
        <w:t xml:space="preserve">Results show that a 50 gram mass is 57% loss in </w:t>
      </w:r>
      <w:r w:rsidR="00700499" w:rsidRPr="007A241A">
        <w:rPr>
          <w:rFonts w:ascii="Arial" w:hAnsi="Arial" w:cs="Arial"/>
          <w:sz w:val="24"/>
          <w:szCs w:val="24"/>
        </w:rPr>
        <w:t>energy and a 100 gram mass has a 41% loss in energy when dropped from a 1 metre height.</w:t>
      </w:r>
    </w:p>
    <w:p w:rsidR="007A241A" w:rsidRPr="007A241A" w:rsidRDefault="007A241A" w:rsidP="007A241A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700499" w:rsidRPr="007A241A" w:rsidRDefault="00700499" w:rsidP="007A24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7A241A">
        <w:rPr>
          <w:rFonts w:ascii="Arial" w:hAnsi="Arial" w:cs="Arial"/>
          <w:sz w:val="24"/>
          <w:szCs w:val="24"/>
        </w:rPr>
        <w:t>Errors that occurred include</w:t>
      </w:r>
      <w:r w:rsidR="007A241A" w:rsidRPr="007A241A">
        <w:rPr>
          <w:rFonts w:ascii="Arial" w:hAnsi="Arial" w:cs="Arial"/>
          <w:sz w:val="24"/>
          <w:szCs w:val="24"/>
        </w:rPr>
        <w:t>….</w:t>
      </w:r>
      <w:r w:rsidRPr="007A241A">
        <w:rPr>
          <w:rFonts w:ascii="Arial" w:hAnsi="Arial" w:cs="Arial"/>
          <w:sz w:val="24"/>
          <w:szCs w:val="24"/>
        </w:rPr>
        <w:t xml:space="preserve"> </w:t>
      </w:r>
      <w:r w:rsidR="007A241A" w:rsidRPr="007A241A">
        <w:rPr>
          <w:rFonts w:ascii="Arial" w:hAnsi="Arial" w:cs="Arial"/>
          <w:sz w:val="24"/>
          <w:szCs w:val="24"/>
        </w:rPr>
        <w:t>(trials, more masses, etc)</w:t>
      </w:r>
    </w:p>
    <w:p w:rsidR="00700499" w:rsidRDefault="00700499" w:rsidP="007A241A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7A241A">
        <w:rPr>
          <w:rFonts w:ascii="Arial" w:hAnsi="Arial" w:cs="Arial"/>
          <w:sz w:val="24"/>
          <w:szCs w:val="24"/>
        </w:rPr>
        <w:t>(</w:t>
      </w:r>
      <w:proofErr w:type="gramStart"/>
      <w:r w:rsidRPr="007A241A">
        <w:rPr>
          <w:rFonts w:ascii="Arial" w:hAnsi="Arial" w:cs="Arial"/>
          <w:sz w:val="24"/>
          <w:szCs w:val="24"/>
        </w:rPr>
        <w:t>as</w:t>
      </w:r>
      <w:proofErr w:type="gramEnd"/>
      <w:r w:rsidRPr="007A241A">
        <w:rPr>
          <w:rFonts w:ascii="Arial" w:hAnsi="Arial" w:cs="Arial"/>
          <w:sz w:val="24"/>
          <w:szCs w:val="24"/>
        </w:rPr>
        <w:t xml:space="preserve"> a hint, look at the </w:t>
      </w:r>
      <w:r w:rsidR="007A241A" w:rsidRPr="007A241A">
        <w:rPr>
          <w:rFonts w:ascii="Arial" w:hAnsi="Arial" w:cs="Arial"/>
          <w:sz w:val="24"/>
          <w:szCs w:val="24"/>
        </w:rPr>
        <w:t>controlled variables and see if any of those were affected)</w:t>
      </w:r>
    </w:p>
    <w:p w:rsidR="007A241A" w:rsidRPr="007A241A" w:rsidRDefault="007A241A" w:rsidP="007A241A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700499" w:rsidRDefault="007A241A" w:rsidP="007A24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7A241A">
        <w:rPr>
          <w:rFonts w:ascii="Arial" w:hAnsi="Arial" w:cs="Arial"/>
          <w:sz w:val="24"/>
          <w:szCs w:val="24"/>
        </w:rPr>
        <w:t>Methods on improving the results</w:t>
      </w:r>
    </w:p>
    <w:p w:rsidR="007A241A" w:rsidRPr="007A241A" w:rsidRDefault="007A241A" w:rsidP="007A241A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7A241A" w:rsidRPr="007A241A" w:rsidRDefault="007A241A" w:rsidP="007A241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7A241A">
        <w:rPr>
          <w:rFonts w:ascii="Arial" w:hAnsi="Arial" w:cs="Arial"/>
          <w:sz w:val="24"/>
          <w:szCs w:val="24"/>
        </w:rPr>
        <w:t xml:space="preserve">The hypothesis “the greater the </w:t>
      </w:r>
      <w:r w:rsidRPr="007A241A">
        <w:rPr>
          <w:rFonts w:ascii="Arial" w:hAnsi="Arial" w:cs="Arial"/>
          <w:b/>
          <w:i/>
          <w:sz w:val="24"/>
          <w:szCs w:val="24"/>
        </w:rPr>
        <w:t>mass</w:t>
      </w:r>
      <w:r w:rsidRPr="007A241A">
        <w:rPr>
          <w:rFonts w:ascii="Arial" w:hAnsi="Arial" w:cs="Arial"/>
          <w:sz w:val="24"/>
          <w:szCs w:val="24"/>
        </w:rPr>
        <w:t xml:space="preserve"> the greater the </w:t>
      </w:r>
      <w:r w:rsidRPr="007A241A">
        <w:rPr>
          <w:rFonts w:ascii="Arial" w:hAnsi="Arial" w:cs="Arial"/>
          <w:b/>
          <w:i/>
          <w:sz w:val="24"/>
          <w:szCs w:val="24"/>
        </w:rPr>
        <w:t xml:space="preserve">rate of distance </w:t>
      </w:r>
      <w:r w:rsidRPr="007A241A">
        <w:rPr>
          <w:rFonts w:ascii="Arial" w:hAnsi="Arial" w:cs="Arial"/>
          <w:sz w:val="24"/>
          <w:szCs w:val="24"/>
        </w:rPr>
        <w:t xml:space="preserve">covered during the object falling and hence the more </w:t>
      </w:r>
      <w:r w:rsidRPr="007A241A">
        <w:rPr>
          <w:rFonts w:ascii="Arial" w:hAnsi="Arial" w:cs="Arial"/>
          <w:b/>
          <w:i/>
          <w:sz w:val="24"/>
          <w:szCs w:val="24"/>
        </w:rPr>
        <w:t>energy efficient</w:t>
      </w:r>
      <w:r w:rsidRPr="007A241A">
        <w:rPr>
          <w:rFonts w:ascii="Arial" w:hAnsi="Arial" w:cs="Arial"/>
          <w:sz w:val="24"/>
          <w:szCs w:val="24"/>
        </w:rPr>
        <w:t xml:space="preserve">”, was proven correct as the results showed that as the mass increased there was less of a loss of energy before impacting with the ground. </w:t>
      </w:r>
    </w:p>
    <w:p w:rsidR="007A241A" w:rsidRPr="007A241A" w:rsidRDefault="002624C5">
      <w:pPr>
        <w:rPr>
          <w:rFonts w:ascii="Arial" w:hAnsi="Arial" w:cs="Arial"/>
          <w:sz w:val="24"/>
          <w:szCs w:val="24"/>
          <w:u w:val="single"/>
        </w:rPr>
      </w:pPr>
      <w:r w:rsidRPr="007A241A">
        <w:rPr>
          <w:rFonts w:ascii="Arial" w:hAnsi="Arial" w:cs="Arial"/>
          <w:sz w:val="24"/>
          <w:szCs w:val="24"/>
          <w:u w:val="single"/>
        </w:rPr>
        <w:t xml:space="preserve">Conclusion: </w:t>
      </w:r>
    </w:p>
    <w:p w:rsidR="002624C5" w:rsidRDefault="007A2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results of the experiment proved that as the mass increases, </w:t>
      </w: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there is less of an energy loss. There were some errors that occurred during the experiment and with the limited </w:t>
      </w:r>
      <w:r w:rsidR="004D6BBC">
        <w:rPr>
          <w:rFonts w:ascii="Arial" w:hAnsi="Arial" w:cs="Arial"/>
          <w:sz w:val="24"/>
          <w:szCs w:val="24"/>
        </w:rPr>
        <w:t xml:space="preserve">number of trials, and the fact that the energy losses range from 40% to 60%, then it is concluded that even though there is conclusive evidence of energy losses, the results </w:t>
      </w:r>
      <w:proofErr w:type="gramStart"/>
      <w:r w:rsidR="004D6BBC">
        <w:rPr>
          <w:rFonts w:ascii="Arial" w:hAnsi="Arial" w:cs="Arial"/>
          <w:sz w:val="24"/>
          <w:szCs w:val="24"/>
        </w:rPr>
        <w:t>are</w:t>
      </w:r>
      <w:r w:rsidR="002D563C">
        <w:rPr>
          <w:rFonts w:ascii="Arial" w:hAnsi="Arial" w:cs="Arial"/>
          <w:sz w:val="24"/>
          <w:szCs w:val="24"/>
        </w:rPr>
        <w:t xml:space="preserve"> </w:t>
      </w:r>
      <w:r w:rsidR="004D6BBC">
        <w:rPr>
          <w:rFonts w:ascii="Arial" w:hAnsi="Arial" w:cs="Arial"/>
          <w:sz w:val="24"/>
          <w:szCs w:val="24"/>
        </w:rPr>
        <w:t>needing</w:t>
      </w:r>
      <w:proofErr w:type="gramEnd"/>
      <w:r w:rsidR="004D6BBC">
        <w:rPr>
          <w:rFonts w:ascii="Arial" w:hAnsi="Arial" w:cs="Arial"/>
          <w:sz w:val="24"/>
          <w:szCs w:val="24"/>
        </w:rPr>
        <w:t xml:space="preserve"> further </w:t>
      </w:r>
      <w:r w:rsidR="002D563C">
        <w:rPr>
          <w:rFonts w:ascii="Arial" w:hAnsi="Arial" w:cs="Arial"/>
          <w:sz w:val="24"/>
          <w:szCs w:val="24"/>
        </w:rPr>
        <w:t>evaluation.</w:t>
      </w:r>
    </w:p>
    <w:p w:rsidR="007A241A" w:rsidRPr="00E44153" w:rsidRDefault="007A241A">
      <w:pPr>
        <w:rPr>
          <w:rFonts w:ascii="Arial" w:hAnsi="Arial" w:cs="Arial"/>
          <w:sz w:val="24"/>
          <w:szCs w:val="24"/>
        </w:rPr>
      </w:pPr>
    </w:p>
    <w:sectPr w:rsidR="007A241A" w:rsidRPr="00E44153" w:rsidSect="00752014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25ED"/>
    <w:multiLevelType w:val="hybridMultilevel"/>
    <w:tmpl w:val="37E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4153"/>
    <w:rsid w:val="000E3BA4"/>
    <w:rsid w:val="001738A3"/>
    <w:rsid w:val="002624C5"/>
    <w:rsid w:val="002D563C"/>
    <w:rsid w:val="004B73A3"/>
    <w:rsid w:val="004D6BBC"/>
    <w:rsid w:val="00700499"/>
    <w:rsid w:val="00752014"/>
    <w:rsid w:val="00794366"/>
    <w:rsid w:val="007A241A"/>
    <w:rsid w:val="00863EF7"/>
    <w:rsid w:val="00D6267A"/>
    <w:rsid w:val="00E44153"/>
    <w:rsid w:val="00E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6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4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14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7A2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5834481627296593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2318478419364243"/>
          <c:y val="0.21709097316898993"/>
          <c:w val="0.64669947506561698"/>
          <c:h val="0.6487235561985850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Energy Loss (%) of different masses being dropped from a 1 mtere height</c:v>
                </c:pt>
              </c:strCache>
            </c:strRef>
          </c:tx>
          <c:xVal>
            <c:numRef>
              <c:f>Sheet1!$A$2:$A$3</c:f>
              <c:numCache>
                <c:formatCode>General</c:formatCode>
                <c:ptCount val="2"/>
                <c:pt idx="0">
                  <c:v>0.05</c:v>
                </c:pt>
                <c:pt idx="1">
                  <c:v>0.1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57</c:v>
                </c:pt>
                <c:pt idx="1">
                  <c:v>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626048"/>
        <c:axId val="102549376"/>
      </c:scatterChart>
      <c:valAx>
        <c:axId val="80626048"/>
        <c:scaling>
          <c:orientation val="minMax"/>
          <c:max val="0.1"/>
          <c:min val="0.05"/>
        </c:scaling>
        <c:delete val="0"/>
        <c:axPos val="b"/>
        <c:numFmt formatCode="General" sourceLinked="1"/>
        <c:majorTickMark val="out"/>
        <c:minorTickMark val="none"/>
        <c:tickLblPos val="nextTo"/>
        <c:crossAx val="102549376"/>
        <c:crosses val="autoZero"/>
        <c:crossBetween val="midCat"/>
        <c:majorUnit val="0.05"/>
      </c:valAx>
      <c:valAx>
        <c:axId val="102549376"/>
        <c:scaling>
          <c:orientation val="minMax"/>
          <c:max val="60"/>
          <c:min val="4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0626048"/>
        <c:crosses val="autoZero"/>
        <c:crossBetween val="midCat"/>
        <c:majorUnit val="1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A03AE-28F4-4D71-AF44-B267E0DD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BDEC86AD</Template>
  <TotalTime>94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e4053158</dc:creator>
  <cp:keywords/>
  <dc:description/>
  <cp:lastModifiedBy>CODDINGTON Kim</cp:lastModifiedBy>
  <cp:revision>5</cp:revision>
  <dcterms:created xsi:type="dcterms:W3CDTF">2014-04-09T07:45:00Z</dcterms:created>
  <dcterms:modified xsi:type="dcterms:W3CDTF">2014-12-10T01:50:00Z</dcterms:modified>
</cp:coreProperties>
</file>