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25A68" w14:textId="77777777" w:rsidR="00524387" w:rsidRPr="00844D3E" w:rsidRDefault="00AC7F5F">
      <w:pPr>
        <w:pStyle w:val="Heading1"/>
        <w:rPr>
          <w:color w:val="404040" w:themeColor="text1" w:themeTint="BF"/>
        </w:rPr>
      </w:pPr>
      <w:r w:rsidRPr="00E84D9C">
        <w:rPr>
          <w:color w:val="C4E4FF"/>
          <w:sz w:val="100"/>
          <w:szCs w:val="100"/>
        </w:rPr>
        <w:t>Research Proposal:</w:t>
      </w:r>
      <w:r w:rsidRPr="00E84D9C">
        <w:rPr>
          <w:color w:val="C4E4FF"/>
        </w:rPr>
        <w:t xml:space="preserve"> </w:t>
      </w:r>
      <w:r w:rsidR="00FD0877" w:rsidRPr="00844D3E">
        <w:rPr>
          <w:color w:val="404040" w:themeColor="text1" w:themeTint="BF"/>
        </w:rPr>
        <w:t xml:space="preserve">The </w:t>
      </w:r>
      <w:r w:rsidR="008E1525" w:rsidRPr="00844D3E">
        <w:rPr>
          <w:color w:val="404040" w:themeColor="text1" w:themeTint="BF"/>
        </w:rPr>
        <w:t xml:space="preserve">Relationship between extraversion and </w:t>
      </w:r>
      <w:r w:rsidR="005264D6" w:rsidRPr="00844D3E">
        <w:rPr>
          <w:color w:val="404040" w:themeColor="text1" w:themeTint="BF"/>
        </w:rPr>
        <w:t xml:space="preserve">social </w:t>
      </w:r>
      <w:r w:rsidR="0025626E" w:rsidRPr="00844D3E">
        <w:rPr>
          <w:color w:val="404040" w:themeColor="text1" w:themeTint="BF"/>
        </w:rPr>
        <w:t>anxiety</w:t>
      </w:r>
    </w:p>
    <w:p w14:paraId="1533413E" w14:textId="77777777" w:rsidR="00524387" w:rsidRDefault="008E1525" w:rsidP="008E1525">
      <w:pPr>
        <w:pStyle w:val="Heading2"/>
        <w:pBdr>
          <w:top w:val="single" w:sz="24" w:space="31" w:color="2A2A2A" w:themeColor="text2"/>
        </w:pBdr>
        <w:rPr>
          <w:color w:val="002FE0"/>
        </w:rPr>
      </w:pPr>
      <w:r>
        <w:rPr>
          <w:color w:val="002FE0"/>
        </w:rPr>
        <w:t>Introduction</w:t>
      </w:r>
    </w:p>
    <w:p w14:paraId="6A5AABDB" w14:textId="77777777" w:rsidR="006769DD" w:rsidRDefault="00E4550B" w:rsidP="006769DD">
      <w:pPr>
        <w:rPr>
          <w:rFonts w:asciiTheme="majorHAnsi" w:hAnsiTheme="majorHAnsi" w:cstheme="majorHAnsi"/>
          <w:color w:val="2E2E2E"/>
        </w:rPr>
      </w:pPr>
      <w:r>
        <w:t xml:space="preserve">Personality traits are able to reflect </w:t>
      </w:r>
      <w:r w:rsidR="00A64DEB">
        <w:t>a person’s characteristic</w:t>
      </w:r>
      <w:r w:rsidR="008A2C57">
        <w:t>s,</w:t>
      </w:r>
      <w:r w:rsidR="00A64DEB">
        <w:t xml:space="preserve"> patterns of thoughts, feeling</w:t>
      </w:r>
      <w:r w:rsidR="008A2C57">
        <w:t>s</w:t>
      </w:r>
      <w:r w:rsidR="00A64DEB">
        <w:t xml:space="preserve"> and behavio</w:t>
      </w:r>
      <w:r w:rsidR="00C33B99">
        <w:t>u</w:t>
      </w:r>
      <w:r w:rsidR="00A64DEB">
        <w:t xml:space="preserve">rs. Personality </w:t>
      </w:r>
      <w:r w:rsidR="00D043AB">
        <w:t xml:space="preserve">traits suggest </w:t>
      </w:r>
      <w:r w:rsidR="0060629A">
        <w:t>consistency and stability</w:t>
      </w:r>
      <w:r w:rsidR="00D71BAB">
        <w:t xml:space="preserve">. </w:t>
      </w:r>
      <w:r w:rsidR="00DE2328">
        <w:t xml:space="preserve">Trait psychology is sustained by the </w:t>
      </w:r>
      <w:r w:rsidR="00DC3C16">
        <w:t xml:space="preserve">idea that people are different based </w:t>
      </w:r>
      <w:r w:rsidR="006D52B2">
        <w:t>on where they stand on a set of basic trait dimensions that persist over time and along different situ</w:t>
      </w:r>
      <w:r w:rsidR="005949B5">
        <w:t xml:space="preserve">ations. </w:t>
      </w:r>
      <w:r w:rsidR="00681554">
        <w:t>A variable is something that, in an experiment, can be changed o</w:t>
      </w:r>
      <w:r w:rsidR="00C5203B">
        <w:t>r varied. Thi</w:t>
      </w:r>
      <w:r w:rsidR="00AD717E">
        <w:t>ngs</w:t>
      </w:r>
      <w:r w:rsidR="00C5203B">
        <w:t xml:space="preserve"> such as characteristic</w:t>
      </w:r>
      <w:r w:rsidR="00AD717E">
        <w:t>s</w:t>
      </w:r>
      <w:r w:rsidR="00C5203B">
        <w:t xml:space="preserve"> or value</w:t>
      </w:r>
      <w:r w:rsidR="00AD717E">
        <w:t>s</w:t>
      </w:r>
      <w:r w:rsidR="00C5203B">
        <w:t xml:space="preserve"> are considered variables. </w:t>
      </w:r>
      <w:r w:rsidR="00585126">
        <w:t xml:space="preserve">Generally, variables are used in psychology research to </w:t>
      </w:r>
      <w:r w:rsidR="00213F25">
        <w:t>determine if changes to one thing will call cause changes to another</w:t>
      </w:r>
      <w:r w:rsidR="00BA3123">
        <w:t>.</w:t>
      </w:r>
      <w:r w:rsidR="00C907D3">
        <w:t xml:space="preserve"> Variables often play a major role in psychology.</w:t>
      </w:r>
      <w:r w:rsidR="00AA3FC4">
        <w:t xml:space="preserve"> </w:t>
      </w:r>
      <w:r w:rsidR="002D0D69">
        <w:t xml:space="preserve">Extraversion </w:t>
      </w:r>
      <w:r w:rsidR="00C96114">
        <w:t xml:space="preserve">is </w:t>
      </w:r>
      <w:r w:rsidR="00FF0531">
        <w:t xml:space="preserve">one amongst the </w:t>
      </w:r>
      <w:r w:rsidR="00FF0531">
        <w:lastRenderedPageBreak/>
        <w:t>five personality traits</w:t>
      </w:r>
      <w:r w:rsidR="00C36708">
        <w:t xml:space="preserve"> of the Big Five personality theory</w:t>
      </w:r>
      <w:r w:rsidR="009A418D">
        <w:t xml:space="preserve"> indicating how outgoing and social a person is. </w:t>
      </w:r>
      <w:r w:rsidR="00D13892">
        <w:t>People that are high in extraversion often seek social stimulation and</w:t>
      </w:r>
      <w:r w:rsidR="0003501B">
        <w:t xml:space="preserve"> </w:t>
      </w:r>
      <w:r w:rsidR="00D13892">
        <w:t xml:space="preserve">opportunities </w:t>
      </w:r>
      <w:r w:rsidR="0003501B">
        <w:t>to engage w</w:t>
      </w:r>
      <w:r w:rsidR="007B3B09">
        <w:t xml:space="preserve">ith other individuals. </w:t>
      </w:r>
      <w:r w:rsidR="00DB0256">
        <w:t xml:space="preserve">These people are often described as being full of life, energy and positivity. Amongst a group of people, extraverts </w:t>
      </w:r>
      <w:r w:rsidR="00180AEB">
        <w:t xml:space="preserve">are more likely to talk often and assert themselves. </w:t>
      </w:r>
      <w:r w:rsidR="00140788">
        <w:t xml:space="preserve">For people who have social anxiety, </w:t>
      </w:r>
      <w:r w:rsidR="00476BAE">
        <w:t xml:space="preserve">common social interactions can cause irrational anxiety, fear and </w:t>
      </w:r>
      <w:r w:rsidR="00D52012">
        <w:t xml:space="preserve">self-consciousness and embarrassment. </w:t>
      </w:r>
      <w:r w:rsidR="00F51D12">
        <w:t>The symptoms of social anxiety may include excessive fear of situation</w:t>
      </w:r>
      <w:r w:rsidR="00195EF3">
        <w:t>s</w:t>
      </w:r>
      <w:r w:rsidR="00F51D12">
        <w:t xml:space="preserve"> where an individual could potentially be judged</w:t>
      </w:r>
      <w:r w:rsidR="00287B0A">
        <w:t xml:space="preserve">, worry about embarrassment or humiliation or concern about offending </w:t>
      </w:r>
      <w:r w:rsidR="00333491">
        <w:t xml:space="preserve">someone. </w:t>
      </w:r>
      <w:r w:rsidR="0076713E">
        <w:t>A recent</w:t>
      </w:r>
      <w:r w:rsidR="005049AC">
        <w:t xml:space="preserve"> study looked at the personality tra</w:t>
      </w:r>
      <w:r w:rsidR="0029502E">
        <w:t>its of patient</w:t>
      </w:r>
      <w:r w:rsidR="00E322E8">
        <w:t xml:space="preserve">s </w:t>
      </w:r>
      <w:r w:rsidR="0029502E">
        <w:t xml:space="preserve">with social anxiety. </w:t>
      </w:r>
      <w:r w:rsidR="00B3214C">
        <w:t xml:space="preserve">According to this </w:t>
      </w:r>
      <w:r w:rsidR="00857F89">
        <w:t>study</w:t>
      </w:r>
      <w:r w:rsidR="00A85175">
        <w:t xml:space="preserve"> (</w:t>
      </w:r>
      <w:r w:rsidR="00B716C3">
        <w:t xml:space="preserve">Tomas </w:t>
      </w:r>
      <w:r w:rsidR="00BF3EE7">
        <w:t>Furmark</w:t>
      </w:r>
      <w:r w:rsidR="00A85175">
        <w:t>,</w:t>
      </w:r>
      <w:r w:rsidR="00CF4261">
        <w:t xml:space="preserve"> </w:t>
      </w:r>
      <w:r w:rsidR="00BF3EE7">
        <w:t>Uppsala University</w:t>
      </w:r>
      <w:r w:rsidR="00CF4261">
        <w:t>, 2020</w:t>
      </w:r>
      <w:r w:rsidR="00A85175">
        <w:t>)</w:t>
      </w:r>
      <w:r w:rsidR="00857F89">
        <w:t xml:space="preserve">, </w:t>
      </w:r>
      <w:r w:rsidR="00285AE9">
        <w:t>personality is strongly in</w:t>
      </w:r>
      <w:r w:rsidR="00206966">
        <w:t>t</w:t>
      </w:r>
      <w:r w:rsidR="00285AE9">
        <w:t xml:space="preserve">ertwined with </w:t>
      </w:r>
      <w:r w:rsidR="00206966">
        <w:t>the diagnosis of social anxiety (</w:t>
      </w:r>
      <w:hyperlink r:id="rId7" w:history="1">
        <w:r w:rsidR="00206966" w:rsidRPr="00EA3841">
          <w:rPr>
            <w:rStyle w:val="Hyperlink"/>
            <w:color w:val="0006EB"/>
          </w:rPr>
          <w:t>https://www.sciencedaily.com/releases/2020/04/200429144925.htm</w:t>
        </w:r>
      </w:hyperlink>
      <w:r w:rsidR="00206966">
        <w:t>)</w:t>
      </w:r>
      <w:r w:rsidR="00A85175">
        <w:t>.</w:t>
      </w:r>
      <w:r w:rsidR="00BB3995">
        <w:t xml:space="preserve"> After having 265 individuals </w:t>
      </w:r>
      <w:r w:rsidR="000E0470">
        <w:t xml:space="preserve">fill out comprehensive </w:t>
      </w:r>
      <w:r w:rsidR="003B11B7">
        <w:t>personality instruments</w:t>
      </w:r>
      <w:r w:rsidR="001B4889">
        <w:t xml:space="preserve"> (</w:t>
      </w:r>
      <w:r w:rsidR="001B4889" w:rsidRPr="001B4889">
        <w:rPr>
          <w:rFonts w:asciiTheme="majorHAnsi" w:hAnsiTheme="majorHAnsi" w:cstheme="majorHAnsi"/>
          <w:color w:val="333333"/>
          <w:shd w:val="clear" w:color="auto" w:fill="FFFFFF"/>
        </w:rPr>
        <w:t>NEO Personality Inventory (NEO-PI-R) and Karolinska Scales of Personality</w:t>
      </w:r>
      <w:r w:rsidR="00B87FFA">
        <w:rPr>
          <w:rFonts w:asciiTheme="majorHAnsi" w:hAnsiTheme="majorHAnsi" w:cstheme="majorHAnsi"/>
          <w:color w:val="333333"/>
          <w:shd w:val="clear" w:color="auto" w:fill="FFFFFF"/>
        </w:rPr>
        <w:t>, known as KSP</w:t>
      </w:r>
      <w:r w:rsidR="00602482">
        <w:rPr>
          <w:rFonts w:asciiTheme="majorHAnsi" w:hAnsiTheme="majorHAnsi" w:cstheme="majorHAnsi"/>
          <w:color w:val="333333"/>
          <w:shd w:val="clear" w:color="auto" w:fill="FFFFFF"/>
        </w:rPr>
        <w:t xml:space="preserve">, </w:t>
      </w:r>
      <w:r w:rsidR="001028C6">
        <w:rPr>
          <w:rFonts w:asciiTheme="majorHAnsi" w:hAnsiTheme="majorHAnsi" w:cstheme="majorHAnsi"/>
          <w:color w:val="333333"/>
          <w:shd w:val="clear" w:color="auto" w:fill="FFFFFF"/>
        </w:rPr>
        <w:t>they found a common pattern in</w:t>
      </w:r>
      <w:r w:rsidR="006C1C72">
        <w:rPr>
          <w:rFonts w:asciiTheme="majorHAnsi" w:hAnsiTheme="majorHAnsi" w:cstheme="majorHAnsi"/>
          <w:color w:val="333333"/>
          <w:shd w:val="clear" w:color="auto" w:fill="FFFFFF"/>
        </w:rPr>
        <w:t xml:space="preserve"> the personality of the individuals</w:t>
      </w:r>
      <w:r w:rsidR="007150D3">
        <w:rPr>
          <w:rFonts w:asciiTheme="majorHAnsi" w:hAnsiTheme="majorHAnsi" w:cstheme="majorHAnsi"/>
          <w:color w:val="333333"/>
          <w:shd w:val="clear" w:color="auto" w:fill="FFFFFF"/>
        </w:rPr>
        <w:t xml:space="preserve"> which were segregated into three categories. One of these</w:t>
      </w:r>
      <w:r w:rsidR="00C84F1B">
        <w:rPr>
          <w:rFonts w:asciiTheme="majorHAnsi" w:hAnsiTheme="majorHAnsi" w:cstheme="majorHAnsi"/>
          <w:color w:val="333333"/>
          <w:shd w:val="clear" w:color="auto" w:fill="FFFFFF"/>
        </w:rPr>
        <w:t xml:space="preserve"> categories, which had the </w:t>
      </w:r>
      <w:r w:rsidR="00602482">
        <w:rPr>
          <w:rFonts w:asciiTheme="majorHAnsi" w:hAnsiTheme="majorHAnsi" w:cstheme="majorHAnsi"/>
          <w:color w:val="333333"/>
          <w:shd w:val="clear" w:color="auto" w:fill="FFFFFF"/>
        </w:rPr>
        <w:t>highest percentage</w:t>
      </w:r>
      <w:r w:rsidR="002B2851">
        <w:rPr>
          <w:rFonts w:asciiTheme="majorHAnsi" w:hAnsiTheme="majorHAnsi" w:cstheme="majorHAnsi"/>
          <w:color w:val="333333"/>
          <w:shd w:val="clear" w:color="auto" w:fill="FFFFFF"/>
        </w:rPr>
        <w:t xml:space="preserve"> of results and also </w:t>
      </w:r>
      <w:r w:rsidR="00C84F1B">
        <w:rPr>
          <w:rFonts w:asciiTheme="majorHAnsi" w:hAnsiTheme="majorHAnsi" w:cstheme="majorHAnsi"/>
          <w:color w:val="333333"/>
          <w:shd w:val="clear" w:color="auto" w:fill="FFFFFF"/>
        </w:rPr>
        <w:t>consisted of indivi</w:t>
      </w:r>
      <w:r w:rsidR="001A3027">
        <w:rPr>
          <w:rFonts w:asciiTheme="majorHAnsi" w:hAnsiTheme="majorHAnsi" w:cstheme="majorHAnsi"/>
          <w:color w:val="333333"/>
          <w:shd w:val="clear" w:color="auto" w:fill="FFFFFF"/>
        </w:rPr>
        <w:t>duals with unstable-open social anxiety</w:t>
      </w:r>
      <w:r w:rsidR="00AA420E">
        <w:rPr>
          <w:rFonts w:asciiTheme="majorHAnsi" w:hAnsiTheme="majorHAnsi" w:cstheme="majorHAnsi"/>
          <w:color w:val="333333"/>
          <w:shd w:val="clear" w:color="auto" w:fill="FFFFFF"/>
        </w:rPr>
        <w:t>, were anxious while having</w:t>
      </w:r>
      <w:r w:rsidR="004C1421">
        <w:rPr>
          <w:rFonts w:asciiTheme="majorHAnsi" w:hAnsiTheme="majorHAnsi" w:cstheme="majorHAnsi"/>
          <w:color w:val="333333"/>
          <w:shd w:val="clear" w:color="auto" w:fill="FFFFFF"/>
        </w:rPr>
        <w:t xml:space="preserve"> normal levels of extraversion</w:t>
      </w:r>
      <w:r w:rsidR="00FD0877">
        <w:rPr>
          <w:rFonts w:asciiTheme="majorHAnsi" w:hAnsiTheme="majorHAnsi" w:cstheme="majorHAnsi"/>
          <w:color w:val="333333"/>
          <w:shd w:val="clear" w:color="auto" w:fill="FFFFFF"/>
        </w:rPr>
        <w:t xml:space="preserve">. </w:t>
      </w:r>
      <w:r w:rsidR="00B87FFA">
        <w:rPr>
          <w:rFonts w:asciiTheme="majorHAnsi" w:hAnsiTheme="majorHAnsi" w:cstheme="majorHAnsi"/>
          <w:color w:val="333333"/>
          <w:shd w:val="clear" w:color="auto" w:fill="FFFFFF"/>
        </w:rPr>
        <w:t xml:space="preserve"> </w:t>
      </w:r>
      <w:r w:rsidR="00224C15">
        <w:rPr>
          <w:rFonts w:asciiTheme="majorHAnsi" w:hAnsiTheme="majorHAnsi" w:cstheme="majorHAnsi"/>
          <w:color w:val="333333"/>
          <w:shd w:val="clear" w:color="auto" w:fill="FFFFFF"/>
        </w:rPr>
        <w:t>Looking at another study relating to extraversion</w:t>
      </w:r>
      <w:r w:rsidR="003312DB">
        <w:rPr>
          <w:rFonts w:asciiTheme="majorHAnsi" w:hAnsiTheme="majorHAnsi" w:cstheme="majorHAnsi"/>
          <w:color w:val="333333"/>
          <w:shd w:val="clear" w:color="auto" w:fill="FFFFFF"/>
        </w:rPr>
        <w:t xml:space="preserve"> </w:t>
      </w:r>
      <w:r w:rsidR="00255B68">
        <w:rPr>
          <w:rFonts w:asciiTheme="majorHAnsi" w:hAnsiTheme="majorHAnsi" w:cstheme="majorHAnsi"/>
          <w:color w:val="333333"/>
          <w:shd w:val="clear" w:color="auto" w:fill="FFFFFF"/>
        </w:rPr>
        <w:t xml:space="preserve">(McCrae </w:t>
      </w:r>
      <w:r w:rsidR="003B330B">
        <w:rPr>
          <w:rFonts w:asciiTheme="majorHAnsi" w:hAnsiTheme="majorHAnsi" w:cstheme="majorHAnsi"/>
          <w:color w:val="333333"/>
          <w:shd w:val="clear" w:color="auto" w:fill="FFFFFF"/>
        </w:rPr>
        <w:t>&amp; Costa</w:t>
      </w:r>
      <w:r w:rsidR="003312DB">
        <w:rPr>
          <w:rFonts w:asciiTheme="majorHAnsi" w:hAnsiTheme="majorHAnsi" w:cstheme="majorHAnsi"/>
          <w:color w:val="333333"/>
          <w:shd w:val="clear" w:color="auto" w:fill="FFFFFF"/>
        </w:rPr>
        <w:t>,</w:t>
      </w:r>
      <w:r w:rsidR="003B330B">
        <w:rPr>
          <w:rFonts w:asciiTheme="majorHAnsi" w:hAnsiTheme="majorHAnsi" w:cstheme="majorHAnsi"/>
          <w:color w:val="333333"/>
          <w:shd w:val="clear" w:color="auto" w:fill="FFFFFF"/>
        </w:rPr>
        <w:t xml:space="preserve"> 1987)</w:t>
      </w:r>
      <w:r w:rsidR="00224C15">
        <w:rPr>
          <w:rFonts w:asciiTheme="majorHAnsi" w:hAnsiTheme="majorHAnsi" w:cstheme="majorHAnsi"/>
          <w:color w:val="333333"/>
          <w:shd w:val="clear" w:color="auto" w:fill="FFFFFF"/>
        </w:rPr>
        <w:t xml:space="preserve">, the main feature of </w:t>
      </w:r>
      <w:r w:rsidR="005D1AD2">
        <w:rPr>
          <w:rFonts w:asciiTheme="majorHAnsi" w:hAnsiTheme="majorHAnsi" w:cstheme="majorHAnsi"/>
          <w:color w:val="333333"/>
          <w:shd w:val="clear" w:color="auto" w:fill="FFFFFF"/>
        </w:rPr>
        <w:t>extraversion is still up for debate</w:t>
      </w:r>
      <w:r w:rsidR="003B330B">
        <w:rPr>
          <w:rFonts w:asciiTheme="majorHAnsi" w:hAnsiTheme="majorHAnsi" w:cstheme="majorHAnsi"/>
          <w:color w:val="333333"/>
          <w:shd w:val="clear" w:color="auto" w:fill="FFFFFF"/>
        </w:rPr>
        <w:t xml:space="preserve"> but this study </w:t>
      </w:r>
      <w:r w:rsidR="00C84921">
        <w:rPr>
          <w:rFonts w:asciiTheme="majorHAnsi" w:hAnsiTheme="majorHAnsi" w:cstheme="majorHAnsi"/>
          <w:color w:val="333333"/>
          <w:shd w:val="clear" w:color="auto" w:fill="FFFFFF"/>
        </w:rPr>
        <w:t xml:space="preserve">implies that </w:t>
      </w:r>
      <w:r w:rsidR="00EC0B28">
        <w:rPr>
          <w:rFonts w:asciiTheme="majorHAnsi" w:hAnsiTheme="majorHAnsi" w:cstheme="majorHAnsi"/>
          <w:color w:val="333333"/>
          <w:shd w:val="clear" w:color="auto" w:fill="FFFFFF"/>
        </w:rPr>
        <w:t xml:space="preserve">sociability is the main feature. </w:t>
      </w:r>
      <w:r w:rsidR="006769DD" w:rsidRPr="006769DD">
        <w:rPr>
          <w:rFonts w:asciiTheme="majorHAnsi" w:hAnsiTheme="majorHAnsi" w:cstheme="majorHAnsi"/>
          <w:color w:val="2E2E2E"/>
        </w:rPr>
        <w:t>Sociability is a notion used by historians to apprehend different forms of social relationships, in particular interpersonal bonds that are initiated either consciously or unconsciously in a given context</w:t>
      </w:r>
      <w:r w:rsidR="000722FB">
        <w:rPr>
          <w:rFonts w:asciiTheme="majorHAnsi" w:hAnsiTheme="majorHAnsi" w:cstheme="majorHAnsi"/>
          <w:color w:val="2E2E2E"/>
        </w:rPr>
        <w:t xml:space="preserve"> (</w:t>
      </w:r>
      <w:hyperlink r:id="rId8" w:history="1">
        <w:r w:rsidR="000722FB" w:rsidRPr="005C1C6F">
          <w:rPr>
            <w:rStyle w:val="Hyperlink"/>
            <w:rFonts w:asciiTheme="majorHAnsi" w:hAnsiTheme="majorHAnsi" w:cstheme="majorHAnsi"/>
            <w:color w:val="032CE7"/>
          </w:rPr>
          <w:t>https://www.sciencedirect.com/topics/social-sciences/sociability</w:t>
        </w:r>
      </w:hyperlink>
      <w:r w:rsidR="000722FB">
        <w:rPr>
          <w:rFonts w:asciiTheme="majorHAnsi" w:hAnsiTheme="majorHAnsi" w:cstheme="majorHAnsi"/>
          <w:color w:val="2E2E2E"/>
        </w:rPr>
        <w:t xml:space="preserve">). This context is usually a social interaction or encounter. </w:t>
      </w:r>
    </w:p>
    <w:p w14:paraId="337FE393" w14:textId="77777777" w:rsidR="009D002F" w:rsidRDefault="009D002F" w:rsidP="006769DD">
      <w:pPr>
        <w:rPr>
          <w:rFonts w:asciiTheme="majorHAnsi" w:hAnsiTheme="majorHAnsi" w:cstheme="majorHAnsi"/>
          <w:color w:val="2E2E2E"/>
        </w:rPr>
      </w:pPr>
      <w:r>
        <w:rPr>
          <w:rFonts w:asciiTheme="majorHAnsi" w:hAnsiTheme="majorHAnsi" w:cstheme="majorHAnsi"/>
          <w:color w:val="2E2E2E"/>
        </w:rPr>
        <w:t xml:space="preserve">This investigation is aimed to look at the correlation and connection between social anxiety and </w:t>
      </w:r>
      <w:r w:rsidR="00050813">
        <w:rPr>
          <w:rFonts w:asciiTheme="majorHAnsi" w:hAnsiTheme="majorHAnsi" w:cstheme="majorHAnsi"/>
          <w:color w:val="2E2E2E"/>
        </w:rPr>
        <w:t>extraversion. The experiment will be sustained by the idea of having a po</w:t>
      </w:r>
      <w:r w:rsidR="00617AB8">
        <w:rPr>
          <w:rFonts w:asciiTheme="majorHAnsi" w:hAnsiTheme="majorHAnsi" w:cstheme="majorHAnsi"/>
          <w:color w:val="2E2E2E"/>
        </w:rPr>
        <w:t>ssible relation between the personality trait, extraversion</w:t>
      </w:r>
      <w:r w:rsidR="00AC779A">
        <w:rPr>
          <w:rFonts w:asciiTheme="majorHAnsi" w:hAnsiTheme="majorHAnsi" w:cstheme="majorHAnsi"/>
          <w:color w:val="2E2E2E"/>
        </w:rPr>
        <w:t>,</w:t>
      </w:r>
      <w:r w:rsidR="00617AB8">
        <w:rPr>
          <w:rFonts w:asciiTheme="majorHAnsi" w:hAnsiTheme="majorHAnsi" w:cstheme="majorHAnsi"/>
          <w:color w:val="2E2E2E"/>
        </w:rPr>
        <w:t xml:space="preserve"> and </w:t>
      </w:r>
      <w:r w:rsidR="00AC779A">
        <w:rPr>
          <w:rFonts w:asciiTheme="majorHAnsi" w:hAnsiTheme="majorHAnsi" w:cstheme="majorHAnsi"/>
          <w:color w:val="2E2E2E"/>
        </w:rPr>
        <w:t>the variable, social anxiety. By conducting this research,</w:t>
      </w:r>
      <w:r w:rsidR="005845AA">
        <w:rPr>
          <w:rFonts w:asciiTheme="majorHAnsi" w:hAnsiTheme="majorHAnsi" w:cstheme="majorHAnsi"/>
          <w:color w:val="2E2E2E"/>
        </w:rPr>
        <w:t xml:space="preserve"> there will be a clear line indicating how this personality trait and variable relate to each other. </w:t>
      </w:r>
      <w:r w:rsidR="00EB3722">
        <w:rPr>
          <w:rFonts w:asciiTheme="majorHAnsi" w:hAnsiTheme="majorHAnsi" w:cstheme="majorHAnsi"/>
          <w:color w:val="2E2E2E"/>
        </w:rPr>
        <w:t xml:space="preserve">To test this, the experiment will be non-scientific. </w:t>
      </w:r>
    </w:p>
    <w:p w14:paraId="4C4A5146" w14:textId="77777777" w:rsidR="0067694C" w:rsidRPr="006769DD" w:rsidRDefault="0067694C" w:rsidP="006769D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2E2E2E"/>
        </w:rPr>
        <w:t xml:space="preserve">It is hypothesised that </w:t>
      </w:r>
      <w:r w:rsidR="00F83306">
        <w:rPr>
          <w:rFonts w:asciiTheme="majorHAnsi" w:hAnsiTheme="majorHAnsi" w:cstheme="majorHAnsi"/>
          <w:color w:val="2E2E2E"/>
        </w:rPr>
        <w:t>18-20-year-old</w:t>
      </w:r>
      <w:r w:rsidR="00CE324F">
        <w:rPr>
          <w:rFonts w:asciiTheme="majorHAnsi" w:hAnsiTheme="majorHAnsi" w:cstheme="majorHAnsi"/>
          <w:color w:val="2E2E2E"/>
        </w:rPr>
        <w:t xml:space="preserve"> females and </w:t>
      </w:r>
      <w:r w:rsidR="00F83306">
        <w:rPr>
          <w:rFonts w:asciiTheme="majorHAnsi" w:hAnsiTheme="majorHAnsi" w:cstheme="majorHAnsi"/>
          <w:color w:val="2E2E2E"/>
        </w:rPr>
        <w:t>18-20-year-old</w:t>
      </w:r>
      <w:r w:rsidR="00CE324F">
        <w:rPr>
          <w:rFonts w:asciiTheme="majorHAnsi" w:hAnsiTheme="majorHAnsi" w:cstheme="majorHAnsi"/>
          <w:color w:val="2E2E2E"/>
        </w:rPr>
        <w:t xml:space="preserve"> male</w:t>
      </w:r>
      <w:r w:rsidR="000C2782">
        <w:rPr>
          <w:rFonts w:asciiTheme="majorHAnsi" w:hAnsiTheme="majorHAnsi" w:cstheme="majorHAnsi"/>
          <w:color w:val="2E2E2E"/>
        </w:rPr>
        <w:t>s</w:t>
      </w:r>
      <w:r w:rsidR="00F47A7C">
        <w:rPr>
          <w:rFonts w:asciiTheme="majorHAnsi" w:hAnsiTheme="majorHAnsi" w:cstheme="majorHAnsi"/>
          <w:color w:val="2E2E2E"/>
        </w:rPr>
        <w:t xml:space="preserve"> who </w:t>
      </w:r>
      <w:r w:rsidR="000F6F20">
        <w:rPr>
          <w:rFonts w:asciiTheme="majorHAnsi" w:hAnsiTheme="majorHAnsi" w:cstheme="majorHAnsi"/>
          <w:color w:val="2E2E2E"/>
        </w:rPr>
        <w:t xml:space="preserve">suffer from social anxiety </w:t>
      </w:r>
      <w:r w:rsidR="00ED70A4">
        <w:rPr>
          <w:rFonts w:asciiTheme="majorHAnsi" w:hAnsiTheme="majorHAnsi" w:cstheme="majorHAnsi"/>
          <w:color w:val="2E2E2E"/>
        </w:rPr>
        <w:t>will score lower on the E</w:t>
      </w:r>
      <w:r w:rsidR="00BA7204">
        <w:rPr>
          <w:rFonts w:asciiTheme="majorHAnsi" w:hAnsiTheme="majorHAnsi" w:cstheme="majorHAnsi"/>
          <w:color w:val="2E2E2E"/>
        </w:rPr>
        <w:t>yseneck Personality Questionnaie (EPQ)</w:t>
      </w:r>
      <w:r w:rsidR="00650426">
        <w:rPr>
          <w:rFonts w:asciiTheme="majorHAnsi" w:hAnsiTheme="majorHAnsi" w:cstheme="majorHAnsi"/>
          <w:color w:val="2E2E2E"/>
        </w:rPr>
        <w:t xml:space="preserve"> on extraversion scales than 18-20 year old females and 18-20 year old </w:t>
      </w:r>
      <w:r w:rsidR="008B5C02">
        <w:rPr>
          <w:rFonts w:asciiTheme="majorHAnsi" w:hAnsiTheme="majorHAnsi" w:cstheme="majorHAnsi"/>
          <w:color w:val="2E2E2E"/>
        </w:rPr>
        <w:t>males who</w:t>
      </w:r>
      <w:r w:rsidR="004E454F">
        <w:rPr>
          <w:rFonts w:asciiTheme="majorHAnsi" w:hAnsiTheme="majorHAnsi" w:cstheme="majorHAnsi"/>
          <w:color w:val="2E2E2E"/>
        </w:rPr>
        <w:t xml:space="preserve"> don’t suffer from social anxiety but also complete the questionnaire. </w:t>
      </w:r>
      <w:r w:rsidR="00545CE0">
        <w:rPr>
          <w:rFonts w:asciiTheme="majorHAnsi" w:hAnsiTheme="majorHAnsi" w:cstheme="majorHAnsi"/>
          <w:color w:val="2E2E2E"/>
        </w:rPr>
        <w:t xml:space="preserve">The questionnaire will give three score in the end, </w:t>
      </w:r>
      <w:r w:rsidR="00FB67B3">
        <w:rPr>
          <w:rFonts w:asciiTheme="majorHAnsi" w:hAnsiTheme="majorHAnsi" w:cstheme="majorHAnsi"/>
          <w:color w:val="2E2E2E"/>
        </w:rPr>
        <w:t>one of the scores is the ‘E’ score which is out of 24 and measures how much of an extrovert an individual is</w:t>
      </w:r>
      <w:r w:rsidR="00613BE8">
        <w:rPr>
          <w:rFonts w:asciiTheme="majorHAnsi" w:hAnsiTheme="majorHAnsi" w:cstheme="majorHAnsi"/>
          <w:color w:val="2E2E2E"/>
        </w:rPr>
        <w:t xml:space="preserve">. </w:t>
      </w:r>
    </w:p>
    <w:p w14:paraId="5A1CC039" w14:textId="77777777" w:rsidR="001B4889" w:rsidRPr="001A3027" w:rsidRDefault="001B4889" w:rsidP="001B4889">
      <w:pPr>
        <w:rPr>
          <w:rFonts w:asciiTheme="majorHAnsi" w:hAnsiTheme="majorHAnsi" w:cstheme="majorHAnsi"/>
          <w:color w:val="333333"/>
          <w:shd w:val="clear" w:color="auto" w:fill="FFFFFF"/>
        </w:rPr>
      </w:pPr>
    </w:p>
    <w:p w14:paraId="1C0723B9" w14:textId="77777777" w:rsidR="002D0D69" w:rsidRPr="002D0D69" w:rsidRDefault="002D0D69" w:rsidP="002D0D69"/>
    <w:p w14:paraId="58F241F4" w14:textId="77777777" w:rsidR="00524387" w:rsidRPr="000645D6" w:rsidRDefault="000645D6">
      <w:pPr>
        <w:pStyle w:val="Heading2"/>
        <w:rPr>
          <w:color w:val="0006EB"/>
        </w:rPr>
      </w:pPr>
      <w:r w:rsidRPr="000645D6">
        <w:rPr>
          <w:color w:val="0006EB"/>
        </w:rPr>
        <w:t>Methods</w:t>
      </w:r>
    </w:p>
    <w:p w14:paraId="60D90DFF" w14:textId="77777777" w:rsidR="00524387" w:rsidRPr="00101AFF" w:rsidRDefault="001279CC" w:rsidP="001279CC">
      <w:pPr>
        <w:pStyle w:val="ListBullet"/>
        <w:rPr>
          <w:b/>
          <w:bCs/>
        </w:rPr>
      </w:pPr>
      <w:r w:rsidRPr="00101AFF">
        <w:rPr>
          <w:b/>
          <w:bCs/>
        </w:rPr>
        <w:t>Parti</w:t>
      </w:r>
      <w:r w:rsidR="00101AFF" w:rsidRPr="00101AFF">
        <w:rPr>
          <w:b/>
          <w:bCs/>
        </w:rPr>
        <w:t>cipants:</w:t>
      </w:r>
      <w:r w:rsidR="00101AFF">
        <w:rPr>
          <w:b/>
          <w:bCs/>
        </w:rPr>
        <w:t xml:space="preserve"> </w:t>
      </w:r>
      <w:r w:rsidR="00B45F2B">
        <w:t>The group of participants will</w:t>
      </w:r>
      <w:r w:rsidR="00B25B4A">
        <w:t xml:space="preserve"> consist of 50 </w:t>
      </w:r>
      <w:r w:rsidR="00A93397">
        <w:t>18-20-year-old</w:t>
      </w:r>
      <w:r w:rsidR="00B25B4A">
        <w:t xml:space="preserve"> females and 50 </w:t>
      </w:r>
      <w:r w:rsidR="00A93397">
        <w:t>18-20-year-old</w:t>
      </w:r>
      <w:r w:rsidR="00B25B4A">
        <w:t xml:space="preserve"> males who suffer from </w:t>
      </w:r>
      <w:r w:rsidR="008C14F9">
        <w:t>social anxiety</w:t>
      </w:r>
      <w:r w:rsidR="00AD3B72">
        <w:t xml:space="preserve"> </w:t>
      </w:r>
      <w:r w:rsidR="008B405A">
        <w:t xml:space="preserve">and </w:t>
      </w:r>
      <w:r w:rsidR="00B25B4A">
        <w:t>will</w:t>
      </w:r>
      <w:r w:rsidR="008B405A">
        <w:t xml:space="preserve"> be</w:t>
      </w:r>
      <w:r w:rsidR="00B25B4A">
        <w:t xml:space="preserve"> placed into one </w:t>
      </w:r>
      <w:r w:rsidR="00280603">
        <w:t xml:space="preserve">group while the second group will consist of 50 </w:t>
      </w:r>
      <w:r w:rsidR="008B405A">
        <w:t>18-20-year-old</w:t>
      </w:r>
      <w:r w:rsidR="00280603">
        <w:t xml:space="preserve"> females and 50 </w:t>
      </w:r>
      <w:r w:rsidR="008B405A">
        <w:t>18-20-year-old</w:t>
      </w:r>
      <w:r w:rsidR="00280603">
        <w:t xml:space="preserve"> males </w:t>
      </w:r>
      <w:r w:rsidR="007D63B2">
        <w:t>who don’t suffer from social anxiety.</w:t>
      </w:r>
    </w:p>
    <w:p w14:paraId="01FAE01C" w14:textId="77777777" w:rsidR="00101AFF" w:rsidRPr="000552C4" w:rsidRDefault="00101AFF" w:rsidP="00101AFF">
      <w:pPr>
        <w:pStyle w:val="ListBullet"/>
        <w:rPr>
          <w:b/>
          <w:bCs/>
        </w:rPr>
      </w:pPr>
      <w:r w:rsidRPr="007D63B2">
        <w:rPr>
          <w:b/>
          <w:bCs/>
        </w:rPr>
        <w:t>Materials:</w:t>
      </w:r>
      <w:r w:rsidR="007D63B2">
        <w:rPr>
          <w:b/>
          <w:bCs/>
        </w:rPr>
        <w:t xml:space="preserve"> </w:t>
      </w:r>
      <w:r w:rsidR="00205AAA">
        <w:t xml:space="preserve">In order to conduct the </w:t>
      </w:r>
      <w:r w:rsidR="008B405A">
        <w:t>experiment,</w:t>
      </w:r>
      <w:r w:rsidR="00205AAA">
        <w:t xml:space="preserve"> the </w:t>
      </w:r>
      <w:r w:rsidR="000552C4">
        <w:t>following materials will be essential:</w:t>
      </w:r>
    </w:p>
    <w:p w14:paraId="107437F0" w14:textId="77777777" w:rsidR="000552C4" w:rsidRDefault="000A0976" w:rsidP="000552C4">
      <w:pPr>
        <w:pStyle w:val="ListBullet"/>
        <w:numPr>
          <w:ilvl w:val="1"/>
          <w:numId w:val="7"/>
        </w:numPr>
      </w:pPr>
      <w:r>
        <w:t>A pen (blue or black)</w:t>
      </w:r>
    </w:p>
    <w:p w14:paraId="5592BAA5" w14:textId="77777777" w:rsidR="00EF4EBC" w:rsidRPr="007D63B2" w:rsidRDefault="000A0976" w:rsidP="00552DF5">
      <w:pPr>
        <w:pStyle w:val="ListBullet"/>
        <w:numPr>
          <w:ilvl w:val="1"/>
          <w:numId w:val="7"/>
        </w:numPr>
      </w:pPr>
      <w:r>
        <w:lastRenderedPageBreak/>
        <w:t>A</w:t>
      </w:r>
      <w:r w:rsidR="008F4829">
        <w:t xml:space="preserve"> booklet of the Eyseneck Personality </w:t>
      </w:r>
      <w:r w:rsidR="00EF4EBC">
        <w:t>Questionnaire</w:t>
      </w:r>
    </w:p>
    <w:p w14:paraId="790F2F38" w14:textId="77777777" w:rsidR="00552DF5" w:rsidRDefault="00101AFF" w:rsidP="00552DF5">
      <w:pPr>
        <w:pStyle w:val="ListBullet"/>
        <w:rPr>
          <w:b/>
          <w:bCs/>
        </w:rPr>
      </w:pPr>
      <w:r w:rsidRPr="00552DF5">
        <w:rPr>
          <w:b/>
          <w:bCs/>
        </w:rPr>
        <w:t xml:space="preserve">Procedure: </w:t>
      </w:r>
    </w:p>
    <w:p w14:paraId="56936B08" w14:textId="77777777" w:rsidR="00552DF5" w:rsidRPr="00ED4C74" w:rsidRDefault="0004270B" w:rsidP="00552DF5">
      <w:pPr>
        <w:pStyle w:val="ListBullet"/>
        <w:numPr>
          <w:ilvl w:val="1"/>
          <w:numId w:val="7"/>
        </w:numPr>
      </w:pPr>
      <w:r>
        <w:t xml:space="preserve">Firstly, the </w:t>
      </w:r>
      <w:r w:rsidRPr="00762692">
        <w:t xml:space="preserve">control group is </w:t>
      </w:r>
      <w:r w:rsidR="00762692">
        <w:t xml:space="preserve">to be gathered </w:t>
      </w:r>
      <w:r w:rsidR="005A6751">
        <w:t>through volunteer sampling</w:t>
      </w:r>
      <w:r w:rsidR="005433C9">
        <w:t xml:space="preserve"> which will be published at a range of different</w:t>
      </w:r>
      <w:r w:rsidR="001F2B31">
        <w:t xml:space="preserve"> universities and events</w:t>
      </w:r>
      <w:r w:rsidR="005169F8">
        <w:t xml:space="preserve"> in Perth</w:t>
      </w:r>
      <w:r w:rsidR="001E264C">
        <w:t xml:space="preserve">. After gathering the desired amount of </w:t>
      </w:r>
      <w:r w:rsidR="008B405A">
        <w:t>18-20-year-old</w:t>
      </w:r>
      <w:r w:rsidR="005169F8">
        <w:t xml:space="preserve"> </w:t>
      </w:r>
      <w:r w:rsidR="001E264C">
        <w:t>male and females, they will complete a test to</w:t>
      </w:r>
      <w:r w:rsidR="00ED4C74">
        <w:t xml:space="preserve"> assess whether or not they suffer from social anxiety</w:t>
      </w:r>
      <w:r w:rsidR="00DD0716">
        <w:t xml:space="preserve"> as well as providing proof of age.</w:t>
      </w:r>
    </w:p>
    <w:p w14:paraId="707DFD20" w14:textId="77777777" w:rsidR="00ED4C74" w:rsidRPr="00036888" w:rsidRDefault="00ED4C74" w:rsidP="00552DF5">
      <w:pPr>
        <w:pStyle w:val="ListBullet"/>
        <w:numPr>
          <w:ilvl w:val="1"/>
          <w:numId w:val="7"/>
        </w:numPr>
      </w:pPr>
      <w:r>
        <w:t>The participants will be</w:t>
      </w:r>
      <w:r w:rsidR="00036888">
        <w:t xml:space="preserve"> given a consent form in which they have 2 weeks to have reviewed and signed. </w:t>
      </w:r>
    </w:p>
    <w:p w14:paraId="2C64B20E" w14:textId="77777777" w:rsidR="00036888" w:rsidRPr="00C3394A" w:rsidRDefault="00036888" w:rsidP="00552DF5">
      <w:pPr>
        <w:pStyle w:val="ListBullet"/>
        <w:numPr>
          <w:ilvl w:val="1"/>
          <w:numId w:val="7"/>
        </w:numPr>
      </w:pPr>
      <w:r>
        <w:t>After having singed and returned this consent form, a week from then</w:t>
      </w:r>
      <w:r w:rsidR="008065DB">
        <w:t xml:space="preserve"> [which will be written on the form], the participants will meet the researcher</w:t>
      </w:r>
      <w:r w:rsidR="00DD0716">
        <w:t xml:space="preserve"> at a</w:t>
      </w:r>
      <w:r w:rsidR="00657D45">
        <w:t xml:space="preserve"> specific location</w:t>
      </w:r>
      <w:r w:rsidR="00254E5D">
        <w:t xml:space="preserve"> at a given time</w:t>
      </w:r>
      <w:r w:rsidR="00C3394A">
        <w:t>.</w:t>
      </w:r>
    </w:p>
    <w:p w14:paraId="2E0F9FA0" w14:textId="77777777" w:rsidR="00C3394A" w:rsidRPr="008B6E8C" w:rsidRDefault="00C3394A" w:rsidP="00552DF5">
      <w:pPr>
        <w:pStyle w:val="ListBullet"/>
        <w:numPr>
          <w:ilvl w:val="1"/>
          <w:numId w:val="7"/>
        </w:numPr>
      </w:pPr>
      <w:r>
        <w:t>The location will have 2 rooms. One for the extroverts with social anxiety and the other for extroverts who do not have social anxiety</w:t>
      </w:r>
      <w:r w:rsidR="00404405">
        <w:t>.</w:t>
      </w:r>
      <w:r w:rsidR="00254E5D">
        <w:t xml:space="preserve"> In this room both groups will be given </w:t>
      </w:r>
      <w:r w:rsidR="004951FE">
        <w:t xml:space="preserve">10 minutes to socialise. For </w:t>
      </w:r>
      <w:r w:rsidR="00F02AD6">
        <w:t>these 10 minutes</w:t>
      </w:r>
      <w:r w:rsidR="004951FE">
        <w:t xml:space="preserve"> the </w:t>
      </w:r>
      <w:r w:rsidR="00E55FF0">
        <w:t xml:space="preserve">participants will not be aware of the fact that they are meant to socialise, but will rather be under the impression that, I, the researcher is </w:t>
      </w:r>
      <w:r w:rsidR="008B6E8C">
        <w:t>just running late and unorganised.</w:t>
      </w:r>
    </w:p>
    <w:p w14:paraId="286B7D1E" w14:textId="77777777" w:rsidR="008B6E8C" w:rsidRPr="00193FFC" w:rsidRDefault="008B6E8C" w:rsidP="00552DF5">
      <w:pPr>
        <w:pStyle w:val="ListBullet"/>
        <w:numPr>
          <w:ilvl w:val="1"/>
          <w:numId w:val="7"/>
        </w:numPr>
      </w:pPr>
      <w:r>
        <w:t xml:space="preserve">The participants will then be </w:t>
      </w:r>
      <w:r w:rsidR="00D60DDD">
        <w:t>introduced to the study in further detail</w:t>
      </w:r>
      <w:r w:rsidR="00193FFC">
        <w:t>.</w:t>
      </w:r>
    </w:p>
    <w:p w14:paraId="3EABA005" w14:textId="77777777" w:rsidR="00193FFC" w:rsidRPr="005169F8" w:rsidRDefault="00193FFC" w:rsidP="00552DF5">
      <w:pPr>
        <w:pStyle w:val="ListBullet"/>
        <w:numPr>
          <w:ilvl w:val="1"/>
          <w:numId w:val="7"/>
        </w:numPr>
      </w:pPr>
      <w:r>
        <w:t>The participants will be handed their questionnaire having found a blue or black pen on the</w:t>
      </w:r>
      <w:r w:rsidR="001F2B31">
        <w:t>ir desk.</w:t>
      </w:r>
    </w:p>
    <w:p w14:paraId="5926BB87" w14:textId="77777777" w:rsidR="006A180E" w:rsidRPr="00762692" w:rsidRDefault="005169F8" w:rsidP="006A180E">
      <w:pPr>
        <w:pStyle w:val="ListBullet"/>
        <w:numPr>
          <w:ilvl w:val="1"/>
          <w:numId w:val="7"/>
        </w:numPr>
      </w:pPr>
      <w:r>
        <w:t>The scores and results will then be</w:t>
      </w:r>
      <w:r w:rsidR="00F74CAF">
        <w:t xml:space="preserve"> </w:t>
      </w:r>
      <w:r w:rsidR="006A180E">
        <w:t>calculated</w:t>
      </w:r>
      <w:r w:rsidR="00F74CAF">
        <w:t xml:space="preserve"> having allowed the participants to go home</w:t>
      </w:r>
      <w:r w:rsidR="006A180E">
        <w:t>.</w:t>
      </w:r>
    </w:p>
    <w:p w14:paraId="3DF51078" w14:textId="77777777" w:rsidR="00552DF5" w:rsidRDefault="00552DF5" w:rsidP="00101AFF">
      <w:pPr>
        <w:pStyle w:val="ListBullet"/>
      </w:pPr>
      <w:r w:rsidRPr="00D36B64">
        <w:rPr>
          <w:b/>
          <w:bCs/>
        </w:rPr>
        <w:t>Extraneous variables</w:t>
      </w:r>
      <w:r w:rsidR="00D36B64" w:rsidRPr="00D36B64">
        <w:rPr>
          <w:b/>
          <w:bCs/>
        </w:rPr>
        <w:t>:</w:t>
      </w:r>
      <w:r w:rsidR="00D36B64">
        <w:t xml:space="preserve"> </w:t>
      </w:r>
    </w:p>
    <w:p w14:paraId="7D85B10B" w14:textId="77777777" w:rsidR="000D2E62" w:rsidRDefault="000D2E62" w:rsidP="000D2E62">
      <w:pPr>
        <w:pStyle w:val="ListBullet"/>
        <w:numPr>
          <w:ilvl w:val="1"/>
          <w:numId w:val="7"/>
        </w:numPr>
      </w:pPr>
      <w:r>
        <w:t xml:space="preserve">Other </w:t>
      </w:r>
      <w:r w:rsidR="0072479A">
        <w:t xml:space="preserve">or existing </w:t>
      </w:r>
      <w:r>
        <w:t>mental</w:t>
      </w:r>
      <w:r w:rsidR="00916C78">
        <w:t xml:space="preserve"> illnesses </w:t>
      </w:r>
    </w:p>
    <w:p w14:paraId="0CE5F0F4" w14:textId="77777777" w:rsidR="001F010D" w:rsidRDefault="005605C1" w:rsidP="003237B7">
      <w:pPr>
        <w:pStyle w:val="ListBullet"/>
        <w:numPr>
          <w:ilvl w:val="1"/>
          <w:numId w:val="7"/>
        </w:numPr>
      </w:pPr>
      <w:r>
        <w:t>Prior knowledge of the</w:t>
      </w:r>
      <w:r w:rsidR="001F010D">
        <w:t xml:space="preserve"> research (demand characteristics)</w:t>
      </w:r>
    </w:p>
    <w:p w14:paraId="6C598127" w14:textId="77777777" w:rsidR="00552DF5" w:rsidRDefault="00552DF5" w:rsidP="00101AFF">
      <w:pPr>
        <w:pStyle w:val="ListBullet"/>
        <w:rPr>
          <w:b/>
          <w:bCs/>
        </w:rPr>
      </w:pPr>
      <w:r w:rsidRPr="003237B7">
        <w:rPr>
          <w:b/>
          <w:bCs/>
        </w:rPr>
        <w:t>Controlled Variables:</w:t>
      </w:r>
    </w:p>
    <w:p w14:paraId="40BC9E11" w14:textId="77777777" w:rsidR="003237B7" w:rsidRPr="00A46DED" w:rsidRDefault="00A2777A" w:rsidP="003237B7">
      <w:pPr>
        <w:pStyle w:val="ListBullet"/>
        <w:numPr>
          <w:ilvl w:val="1"/>
          <w:numId w:val="7"/>
        </w:numPr>
        <w:rPr>
          <w:b/>
          <w:bCs/>
        </w:rPr>
      </w:pPr>
      <w:r>
        <w:t xml:space="preserve">The day the questionnaire is </w:t>
      </w:r>
      <w:r w:rsidR="00AC3320">
        <w:t>completed [for both control groups]</w:t>
      </w:r>
    </w:p>
    <w:p w14:paraId="1F08D768" w14:textId="77777777" w:rsidR="001A36A4" w:rsidRPr="000828F1" w:rsidRDefault="00A46DED" w:rsidP="000828F1">
      <w:pPr>
        <w:pStyle w:val="ListBullet"/>
        <w:numPr>
          <w:ilvl w:val="1"/>
          <w:numId w:val="7"/>
        </w:numPr>
        <w:rPr>
          <w:b/>
          <w:bCs/>
        </w:rPr>
      </w:pPr>
      <w:r>
        <w:t xml:space="preserve">The </w:t>
      </w:r>
      <w:r w:rsidR="000828F1">
        <w:t>state/</w:t>
      </w:r>
      <w:r w:rsidR="001A36A4">
        <w:t>conditions</w:t>
      </w:r>
      <w:r w:rsidR="000828F1">
        <w:t xml:space="preserve"> of the</w:t>
      </w:r>
      <w:r w:rsidR="001A36A4">
        <w:t xml:space="preserve"> room they complete the questionnaire in</w:t>
      </w:r>
    </w:p>
    <w:p w14:paraId="313C7378" w14:textId="77777777" w:rsidR="00046CE2" w:rsidRDefault="00046CE2" w:rsidP="00046CE2">
      <w:pPr>
        <w:pStyle w:val="Heading2"/>
        <w:pBdr>
          <w:top w:val="single" w:sz="24" w:space="31" w:color="2A2A2A" w:themeColor="text2"/>
        </w:pBdr>
        <w:rPr>
          <w:color w:val="002FE0"/>
        </w:rPr>
      </w:pPr>
      <w:r>
        <w:rPr>
          <w:color w:val="002FE0"/>
        </w:rPr>
        <w:t>Data</w:t>
      </w:r>
    </w:p>
    <w:p w14:paraId="77268F64" w14:textId="77777777" w:rsidR="00070E98" w:rsidRDefault="008B2456" w:rsidP="008B2456">
      <w:r>
        <w:t xml:space="preserve">The data collected for this research will be </w:t>
      </w:r>
      <w:r w:rsidR="00297EA1">
        <w:t>subjective</w:t>
      </w:r>
      <w:r w:rsidR="00D7423C">
        <w:t xml:space="preserve">. Because the research aims to analyse </w:t>
      </w:r>
      <w:r w:rsidR="00440168">
        <w:t>the</w:t>
      </w:r>
      <w:r w:rsidR="00176BE2">
        <w:t xml:space="preserve"> </w:t>
      </w:r>
      <w:r w:rsidR="00A57B0C">
        <w:t>conditions</w:t>
      </w:r>
      <w:r w:rsidR="00176BE2">
        <w:t xml:space="preserve"> of the participant</w:t>
      </w:r>
      <w:r w:rsidR="007510C3">
        <w:t>s</w:t>
      </w:r>
      <w:r w:rsidR="00BB39A8">
        <w:t xml:space="preserve">; looking at the quality of their </w:t>
      </w:r>
      <w:r w:rsidR="00626457">
        <w:t xml:space="preserve">feelings, perceptions and concerns </w:t>
      </w:r>
      <w:r w:rsidR="00626457">
        <w:lastRenderedPageBreak/>
        <w:t xml:space="preserve">through the </w:t>
      </w:r>
      <w:r w:rsidR="000C609E">
        <w:t>Eyseneck Personality Questionnaire</w:t>
      </w:r>
      <w:r w:rsidR="008120B8">
        <w:t xml:space="preserve">. </w:t>
      </w:r>
      <w:r w:rsidR="00D54D9F">
        <w:t xml:space="preserve">An advantage of </w:t>
      </w:r>
      <w:r w:rsidR="001C40DA">
        <w:t>subjective data</w:t>
      </w:r>
      <w:r w:rsidR="002A5580">
        <w:t xml:space="preserve"> is</w:t>
      </w:r>
      <w:r w:rsidR="001C40DA">
        <w:t xml:space="preserve"> that it</w:t>
      </w:r>
      <w:r w:rsidR="007524D4">
        <w:t xml:space="preserve"> is usually a low in cost and burden </w:t>
      </w:r>
      <w:r w:rsidR="0082448F">
        <w:t xml:space="preserve">form of </w:t>
      </w:r>
      <w:r w:rsidR="000D0067">
        <w:t xml:space="preserve">data collection </w:t>
      </w:r>
      <w:r w:rsidR="007524D4">
        <w:t>for both the participant</w:t>
      </w:r>
      <w:r w:rsidR="0082448F">
        <w:t xml:space="preserve"> and the researcher</w:t>
      </w:r>
      <w:r w:rsidR="000D0067">
        <w:t>. Meanwhile, a weakness</w:t>
      </w:r>
      <w:r w:rsidR="00B67675">
        <w:t xml:space="preserve"> is that it is</w:t>
      </w:r>
      <w:r w:rsidR="00F12973">
        <w:t xml:space="preserve"> not accurate </w:t>
      </w:r>
      <w:r w:rsidR="004664C6">
        <w:t>for capturing low-intensity and unstructured activity</w:t>
      </w:r>
      <w:r w:rsidR="002D4428">
        <w:t>.</w:t>
      </w:r>
      <w:r w:rsidR="000D0067">
        <w:t xml:space="preserve"> </w:t>
      </w:r>
      <w:r w:rsidR="008120B8">
        <w:t xml:space="preserve">The data that is collected will also be </w:t>
      </w:r>
      <w:r w:rsidR="00445D87">
        <w:t xml:space="preserve">measured </w:t>
      </w:r>
      <w:r w:rsidR="00A679E5">
        <w:t xml:space="preserve">as </w:t>
      </w:r>
      <w:r w:rsidR="0098204E">
        <w:t>quantitative</w:t>
      </w:r>
      <w:r w:rsidR="00A679E5">
        <w:t xml:space="preserve"> data. As the rese</w:t>
      </w:r>
      <w:r w:rsidR="005523DA">
        <w:t>arch will gathe</w:t>
      </w:r>
      <w:r w:rsidR="001D68FA">
        <w:t xml:space="preserve">r the level of extroversion as well as reviewing the answers provided by the participants in the questionnaire. </w:t>
      </w:r>
      <w:r w:rsidR="002774C4">
        <w:t>This</w:t>
      </w:r>
      <w:r w:rsidR="0006286F">
        <w:t xml:space="preserve"> data collection method has both advantages and disadvantages. One of these advantages is that </w:t>
      </w:r>
      <w:r w:rsidR="00617816">
        <w:t xml:space="preserve">having qualitative data allows the researcher to focus more on </w:t>
      </w:r>
      <w:r w:rsidR="00070E98">
        <w:t xml:space="preserve">the frequency </w:t>
      </w:r>
      <w:r w:rsidR="00186894">
        <w:t xml:space="preserve">and how common the </w:t>
      </w:r>
      <w:r w:rsidR="00FE415D">
        <w:t xml:space="preserve">patterns and results </w:t>
      </w:r>
      <w:r w:rsidR="00FC28B5">
        <w:t xml:space="preserve">are. </w:t>
      </w:r>
      <w:r w:rsidR="00494860">
        <w:t xml:space="preserve">On the other hand, a disadvantage is that the researcher is unable to look at the </w:t>
      </w:r>
      <w:r w:rsidR="009404F4">
        <w:t xml:space="preserve">results in more detail and </w:t>
      </w:r>
      <w:r w:rsidR="00077C32">
        <w:t xml:space="preserve">find more reason behind the scores of the participants. </w:t>
      </w:r>
      <w:r w:rsidR="002D4428">
        <w:t>After the participants have complete their questionnaire</w:t>
      </w:r>
      <w:r w:rsidR="006061D1">
        <w:t xml:space="preserve">, </w:t>
      </w:r>
      <w:r w:rsidR="009C0B03">
        <w:t>their level of extraversion will be calculated</w:t>
      </w:r>
      <w:r w:rsidR="003B2426">
        <w:t xml:space="preserve"> and </w:t>
      </w:r>
      <w:r w:rsidR="00972E56">
        <w:t>concluded. Their score will be out of 24. The higher the participants score</w:t>
      </w:r>
      <w:r w:rsidR="009A6A08">
        <w:t xml:space="preserve">, the more </w:t>
      </w:r>
      <w:r w:rsidR="00030883">
        <w:t>extroverted</w:t>
      </w:r>
      <w:r w:rsidR="009A6A08">
        <w:t xml:space="preserve"> they are. The results will then be put onto a </w:t>
      </w:r>
      <w:r w:rsidR="00030883">
        <w:t>table as seen below.</w:t>
      </w:r>
    </w:p>
    <w:p w14:paraId="1D57F680" w14:textId="77777777" w:rsidR="001A2BF3" w:rsidRDefault="001A2BF3" w:rsidP="008B2456"/>
    <w:tbl>
      <w:tblPr>
        <w:tblStyle w:val="GridTable6Colorful-Accent2"/>
        <w:tblW w:w="11161" w:type="dxa"/>
        <w:tblInd w:w="-717" w:type="dxa"/>
        <w:tblLook w:val="04A0" w:firstRow="1" w:lastRow="0" w:firstColumn="1" w:lastColumn="0" w:noHBand="0" w:noVBand="1"/>
      </w:tblPr>
      <w:tblGrid>
        <w:gridCol w:w="2757"/>
        <w:gridCol w:w="2836"/>
        <w:gridCol w:w="2758"/>
        <w:gridCol w:w="2810"/>
      </w:tblGrid>
      <w:tr w:rsidR="006E5101" w14:paraId="3F42E436" w14:textId="77777777" w:rsidTr="001A2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52985A0D" w14:textId="77777777" w:rsidR="006E5101" w:rsidRDefault="007719E6" w:rsidP="008B2456">
            <w:r>
              <w:t xml:space="preserve">INITIALS OF </w:t>
            </w:r>
            <w:r w:rsidR="006E5101">
              <w:t>EXTROVERTS WITH SOCIAL ANXIETY</w:t>
            </w:r>
          </w:p>
        </w:tc>
        <w:tc>
          <w:tcPr>
            <w:tcW w:w="2836" w:type="dxa"/>
          </w:tcPr>
          <w:p w14:paraId="39C37E7D" w14:textId="77777777" w:rsidR="006E5101" w:rsidRDefault="006E5101" w:rsidP="008B24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LEVEL OF EXTROVERSION (X/24)</w:t>
            </w:r>
          </w:p>
        </w:tc>
        <w:tc>
          <w:tcPr>
            <w:tcW w:w="2758" w:type="dxa"/>
          </w:tcPr>
          <w:p w14:paraId="1BD84C1E" w14:textId="77777777" w:rsidR="006E5101" w:rsidRDefault="007719E6" w:rsidP="002C657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INITIALS OF </w:t>
            </w:r>
            <w:r w:rsidR="006E5101">
              <w:t>EXTROVERTS WITHOUT SOCIAL ANXIETY</w:t>
            </w:r>
          </w:p>
        </w:tc>
        <w:tc>
          <w:tcPr>
            <w:tcW w:w="2810" w:type="dxa"/>
          </w:tcPr>
          <w:p w14:paraId="53ECD20B" w14:textId="77777777" w:rsidR="006E5101" w:rsidRDefault="006E5101" w:rsidP="002C657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LEVEL OF EXTRAVERSION (X/24)</w:t>
            </w:r>
          </w:p>
        </w:tc>
      </w:tr>
      <w:tr w:rsidR="006E5101" w14:paraId="0C79F731" w14:textId="77777777" w:rsidTr="001A2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0439BAE5" w14:textId="77777777" w:rsidR="006E5101" w:rsidRPr="00C3039A" w:rsidRDefault="00C41C01" w:rsidP="008B2456">
            <w:pPr>
              <w:rPr>
                <w:b w:val="0"/>
                <w:bCs w:val="0"/>
              </w:rPr>
            </w:pPr>
            <w:r w:rsidRPr="00C3039A">
              <w:rPr>
                <w:b w:val="0"/>
                <w:bCs w:val="0"/>
              </w:rPr>
              <w:t>EK</w:t>
            </w:r>
          </w:p>
        </w:tc>
        <w:tc>
          <w:tcPr>
            <w:tcW w:w="2836" w:type="dxa"/>
          </w:tcPr>
          <w:p w14:paraId="35C39D69" w14:textId="77777777" w:rsidR="006E5101" w:rsidRDefault="00AD17F2" w:rsidP="008B2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X </w:t>
            </w:r>
            <w:r w:rsidRPr="00BD5C77">
              <w:rPr>
                <w:sz w:val="20"/>
                <w:szCs w:val="20"/>
              </w:rPr>
              <w:t xml:space="preserve">(level of extraversion </w:t>
            </w:r>
            <w:r w:rsidR="00766CCE" w:rsidRPr="00BD5C77">
              <w:rPr>
                <w:sz w:val="20"/>
                <w:szCs w:val="20"/>
              </w:rPr>
              <w:t>from</w:t>
            </w:r>
            <w:r w:rsidRPr="00BD5C77">
              <w:rPr>
                <w:sz w:val="20"/>
                <w:szCs w:val="20"/>
              </w:rPr>
              <w:t xml:space="preserve"> </w:t>
            </w:r>
            <w:r w:rsidR="00C8422F" w:rsidRPr="00BD5C77">
              <w:rPr>
                <w:sz w:val="20"/>
                <w:szCs w:val="20"/>
              </w:rPr>
              <w:t>0-24)</w:t>
            </w:r>
          </w:p>
        </w:tc>
        <w:tc>
          <w:tcPr>
            <w:tcW w:w="2758" w:type="dxa"/>
          </w:tcPr>
          <w:p w14:paraId="2C7AA428" w14:textId="77777777" w:rsidR="006E5101" w:rsidRDefault="00C3039A" w:rsidP="002C65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</w:t>
            </w:r>
          </w:p>
        </w:tc>
        <w:tc>
          <w:tcPr>
            <w:tcW w:w="2810" w:type="dxa"/>
          </w:tcPr>
          <w:p w14:paraId="77F8524B" w14:textId="77777777" w:rsidR="006E5101" w:rsidRDefault="00AD17F2" w:rsidP="002C65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6E5101" w14:paraId="798A4682" w14:textId="77777777" w:rsidTr="001A2BF3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3E0CD4AA" w14:textId="77777777" w:rsidR="006E5101" w:rsidRPr="00C3039A" w:rsidRDefault="00C41C01" w:rsidP="008B2456">
            <w:pPr>
              <w:rPr>
                <w:b w:val="0"/>
                <w:bCs w:val="0"/>
              </w:rPr>
            </w:pPr>
            <w:r w:rsidRPr="00C3039A">
              <w:rPr>
                <w:b w:val="0"/>
                <w:bCs w:val="0"/>
              </w:rPr>
              <w:t>MF</w:t>
            </w:r>
          </w:p>
        </w:tc>
        <w:tc>
          <w:tcPr>
            <w:tcW w:w="2836" w:type="dxa"/>
          </w:tcPr>
          <w:p w14:paraId="0D474AA3" w14:textId="77777777" w:rsidR="006E5101" w:rsidRDefault="00AD17F2" w:rsidP="008B2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758" w:type="dxa"/>
          </w:tcPr>
          <w:p w14:paraId="030710A2" w14:textId="77777777" w:rsidR="006E5101" w:rsidRDefault="00C3039A" w:rsidP="002C657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DK</w:t>
            </w:r>
          </w:p>
        </w:tc>
        <w:tc>
          <w:tcPr>
            <w:tcW w:w="2810" w:type="dxa"/>
          </w:tcPr>
          <w:p w14:paraId="4115B9EB" w14:textId="77777777" w:rsidR="006E5101" w:rsidRDefault="00AD17F2" w:rsidP="002C657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6E5101" w14:paraId="746A3F2E" w14:textId="77777777" w:rsidTr="001A2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48BFEDC6" w14:textId="77777777" w:rsidR="006E5101" w:rsidRPr="00C3039A" w:rsidRDefault="00C41C01" w:rsidP="008B2456">
            <w:pPr>
              <w:rPr>
                <w:b w:val="0"/>
                <w:bCs w:val="0"/>
              </w:rPr>
            </w:pPr>
            <w:r w:rsidRPr="00C3039A">
              <w:rPr>
                <w:b w:val="0"/>
                <w:bCs w:val="0"/>
              </w:rPr>
              <w:t>LJ</w:t>
            </w:r>
          </w:p>
        </w:tc>
        <w:tc>
          <w:tcPr>
            <w:tcW w:w="2836" w:type="dxa"/>
          </w:tcPr>
          <w:p w14:paraId="0611AB36" w14:textId="77777777" w:rsidR="006E5101" w:rsidRDefault="00AD17F2" w:rsidP="008B2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758" w:type="dxa"/>
          </w:tcPr>
          <w:p w14:paraId="6EE1E7C5" w14:textId="77777777" w:rsidR="006E5101" w:rsidRDefault="00C3039A" w:rsidP="002C65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</w:t>
            </w:r>
          </w:p>
        </w:tc>
        <w:tc>
          <w:tcPr>
            <w:tcW w:w="2810" w:type="dxa"/>
          </w:tcPr>
          <w:p w14:paraId="6B855066" w14:textId="77777777" w:rsidR="006E5101" w:rsidRDefault="00AD17F2" w:rsidP="002C65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6E5101" w14:paraId="4923433D" w14:textId="77777777" w:rsidTr="001A2BF3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2B06B7BB" w14:textId="77777777" w:rsidR="006E5101" w:rsidRPr="00C3039A" w:rsidRDefault="00C41C01" w:rsidP="008B2456">
            <w:pPr>
              <w:rPr>
                <w:b w:val="0"/>
                <w:bCs w:val="0"/>
              </w:rPr>
            </w:pPr>
            <w:r w:rsidRPr="00C3039A">
              <w:rPr>
                <w:b w:val="0"/>
                <w:bCs w:val="0"/>
              </w:rPr>
              <w:t>SW</w:t>
            </w:r>
          </w:p>
        </w:tc>
        <w:tc>
          <w:tcPr>
            <w:tcW w:w="2836" w:type="dxa"/>
          </w:tcPr>
          <w:p w14:paraId="3BC349B1" w14:textId="77777777" w:rsidR="006E5101" w:rsidRDefault="00AD17F2" w:rsidP="008B2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758" w:type="dxa"/>
          </w:tcPr>
          <w:p w14:paraId="4DEECD16" w14:textId="77777777" w:rsidR="006E5101" w:rsidRDefault="00C3039A" w:rsidP="002C657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TP</w:t>
            </w:r>
          </w:p>
        </w:tc>
        <w:tc>
          <w:tcPr>
            <w:tcW w:w="2810" w:type="dxa"/>
          </w:tcPr>
          <w:p w14:paraId="5D3EB143" w14:textId="77777777" w:rsidR="006E5101" w:rsidRDefault="00AD17F2" w:rsidP="002C657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6E5101" w14:paraId="2E97410B" w14:textId="77777777" w:rsidTr="001A2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68D74437" w14:textId="77777777" w:rsidR="006E5101" w:rsidRPr="00C3039A" w:rsidRDefault="00C41C01" w:rsidP="008B2456">
            <w:pPr>
              <w:rPr>
                <w:b w:val="0"/>
                <w:bCs w:val="0"/>
              </w:rPr>
            </w:pPr>
            <w:r w:rsidRPr="00C3039A">
              <w:rPr>
                <w:b w:val="0"/>
                <w:bCs w:val="0"/>
              </w:rPr>
              <w:t>PF</w:t>
            </w:r>
          </w:p>
        </w:tc>
        <w:tc>
          <w:tcPr>
            <w:tcW w:w="2836" w:type="dxa"/>
          </w:tcPr>
          <w:p w14:paraId="2560CFA5" w14:textId="77777777" w:rsidR="006E5101" w:rsidRDefault="00AD17F2" w:rsidP="008B2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758" w:type="dxa"/>
          </w:tcPr>
          <w:p w14:paraId="0E0AA25E" w14:textId="77777777" w:rsidR="006E5101" w:rsidRDefault="00C3039A" w:rsidP="002C65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MM</w:t>
            </w:r>
          </w:p>
        </w:tc>
        <w:tc>
          <w:tcPr>
            <w:tcW w:w="2810" w:type="dxa"/>
          </w:tcPr>
          <w:p w14:paraId="4903B72E" w14:textId="77777777" w:rsidR="006E5101" w:rsidRDefault="00AD17F2" w:rsidP="002C65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6E5101" w14:paraId="2EAE5513" w14:textId="77777777" w:rsidTr="001A2BF3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7BA71AF5" w14:textId="77777777" w:rsidR="006E5101" w:rsidRPr="00C3039A" w:rsidRDefault="00C41C01" w:rsidP="008B2456">
            <w:pPr>
              <w:rPr>
                <w:b w:val="0"/>
                <w:bCs w:val="0"/>
              </w:rPr>
            </w:pPr>
            <w:r w:rsidRPr="00C3039A">
              <w:rPr>
                <w:b w:val="0"/>
                <w:bCs w:val="0"/>
              </w:rPr>
              <w:t>AZ</w:t>
            </w:r>
          </w:p>
        </w:tc>
        <w:tc>
          <w:tcPr>
            <w:tcW w:w="2836" w:type="dxa"/>
          </w:tcPr>
          <w:p w14:paraId="54C232A5" w14:textId="77777777" w:rsidR="006E5101" w:rsidRDefault="00AD17F2" w:rsidP="008B2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758" w:type="dxa"/>
          </w:tcPr>
          <w:p w14:paraId="391DD7B5" w14:textId="77777777" w:rsidR="006E5101" w:rsidRDefault="00AD17F2" w:rsidP="002C657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</w:t>
            </w:r>
          </w:p>
        </w:tc>
        <w:tc>
          <w:tcPr>
            <w:tcW w:w="2810" w:type="dxa"/>
          </w:tcPr>
          <w:p w14:paraId="48E90695" w14:textId="77777777" w:rsidR="006E5101" w:rsidRDefault="00AD17F2" w:rsidP="002C657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6E5101" w14:paraId="0467981A" w14:textId="77777777" w:rsidTr="001A2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710296A9" w14:textId="77777777" w:rsidR="006E5101" w:rsidRPr="00C3039A" w:rsidRDefault="00C41C01" w:rsidP="008B2456">
            <w:pPr>
              <w:rPr>
                <w:b w:val="0"/>
                <w:bCs w:val="0"/>
              </w:rPr>
            </w:pPr>
            <w:r w:rsidRPr="00C3039A">
              <w:rPr>
                <w:b w:val="0"/>
                <w:bCs w:val="0"/>
              </w:rPr>
              <w:t>IG</w:t>
            </w:r>
          </w:p>
        </w:tc>
        <w:tc>
          <w:tcPr>
            <w:tcW w:w="2836" w:type="dxa"/>
          </w:tcPr>
          <w:p w14:paraId="0B5ACCA8" w14:textId="77777777" w:rsidR="006E5101" w:rsidRDefault="00AD17F2" w:rsidP="008B2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758" w:type="dxa"/>
          </w:tcPr>
          <w:p w14:paraId="3569F4DE" w14:textId="77777777" w:rsidR="006E5101" w:rsidRDefault="00AD17F2" w:rsidP="002C65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</w:t>
            </w:r>
          </w:p>
        </w:tc>
        <w:tc>
          <w:tcPr>
            <w:tcW w:w="2810" w:type="dxa"/>
          </w:tcPr>
          <w:p w14:paraId="3CE3A617" w14:textId="77777777" w:rsidR="006E5101" w:rsidRDefault="00AD17F2" w:rsidP="002C65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1542C576" w14:textId="77777777" w:rsidR="008D0699" w:rsidRDefault="00A33DEF" w:rsidP="008B2456">
      <w:pPr>
        <w:rPr>
          <w:color w:val="365B71" w:themeColor="accent2" w:themeShade="BF"/>
        </w:rPr>
      </w:pPr>
      <w:r w:rsidRPr="00A33DEF">
        <w:rPr>
          <w:color w:val="365B71" w:themeColor="accent2" w:themeShade="BF"/>
        </w:rPr>
        <w:t xml:space="preserve">+43 more participant results </w:t>
      </w:r>
    </w:p>
    <w:p w14:paraId="3D9DF332" w14:textId="77777777" w:rsidR="001A2BF3" w:rsidRDefault="001A2BF3" w:rsidP="008B2456">
      <w:pPr>
        <w:rPr>
          <w:color w:val="365B71" w:themeColor="accent2" w:themeShade="BF"/>
        </w:rPr>
      </w:pPr>
    </w:p>
    <w:p w14:paraId="6F8788E6" w14:textId="77777777" w:rsidR="001A2BF3" w:rsidRPr="00A33DEF" w:rsidRDefault="001A2BF3" w:rsidP="008B2456">
      <w:pPr>
        <w:rPr>
          <w:color w:val="365B71" w:themeColor="accent2" w:themeShade="BF"/>
        </w:rPr>
      </w:pPr>
    </w:p>
    <w:p w14:paraId="3D9BC130" w14:textId="77777777" w:rsidR="003F5393" w:rsidRDefault="003F5393" w:rsidP="003F5393">
      <w:pPr>
        <w:pStyle w:val="Heading2"/>
        <w:rPr>
          <w:color w:val="0006EB"/>
        </w:rPr>
      </w:pPr>
    </w:p>
    <w:p w14:paraId="1B4F1BFE" w14:textId="77777777" w:rsidR="003F5393" w:rsidRDefault="006F6F40" w:rsidP="003F5393">
      <w:pPr>
        <w:pStyle w:val="Heading2"/>
        <w:rPr>
          <w:color w:val="0006EB"/>
        </w:rPr>
      </w:pPr>
      <w:r>
        <w:rPr>
          <w:color w:val="0006EB"/>
        </w:rPr>
        <w:t>Ethical Considerations</w:t>
      </w:r>
    </w:p>
    <w:p w14:paraId="44F192AD" w14:textId="77777777" w:rsidR="006F6F40" w:rsidRDefault="006F6F40" w:rsidP="006F6F40">
      <w:r>
        <w:t>Like any research, this research will require</w:t>
      </w:r>
      <w:r w:rsidR="00761A18">
        <w:t xml:space="preserve"> the researcher to consider a number of e</w:t>
      </w:r>
      <w:r w:rsidR="00391F4E">
        <w:t xml:space="preserve">thics. In order </w:t>
      </w:r>
      <w:r w:rsidR="0028313E">
        <w:t xml:space="preserve">for </w:t>
      </w:r>
      <w:r w:rsidR="00391F4E">
        <w:t>the research to be considered ethical, the researcher must consider the following:</w:t>
      </w:r>
    </w:p>
    <w:p w14:paraId="0294C18E" w14:textId="77777777" w:rsidR="00391F4E" w:rsidRDefault="00D539D3" w:rsidP="00391F4E">
      <w:pPr>
        <w:pStyle w:val="ListParagraph"/>
        <w:numPr>
          <w:ilvl w:val="0"/>
          <w:numId w:val="8"/>
        </w:numPr>
      </w:pPr>
      <w:r>
        <w:t xml:space="preserve">Informed consent: This is essential as the </w:t>
      </w:r>
      <w:r w:rsidR="004F59AB">
        <w:t xml:space="preserve">participants should be aware of the </w:t>
      </w:r>
      <w:r w:rsidR="00206F70">
        <w:t>fact that</w:t>
      </w:r>
      <w:r w:rsidR="004F59AB">
        <w:t xml:space="preserve"> they are being included in a research</w:t>
      </w:r>
      <w:r w:rsidR="00DE4574">
        <w:t xml:space="preserve">. The </w:t>
      </w:r>
      <w:r w:rsidR="008A216F">
        <w:t>participants</w:t>
      </w:r>
      <w:r w:rsidR="00DE4574">
        <w:t xml:space="preserve"> ar</w:t>
      </w:r>
      <w:r w:rsidR="008A216F">
        <w:t xml:space="preserve">e also going to be given an adequate amount of detail that will ensure that they are aware of the experiment but </w:t>
      </w:r>
      <w:r w:rsidR="00F368B0">
        <w:t>also</w:t>
      </w:r>
      <w:r w:rsidR="008A216F">
        <w:t xml:space="preserve"> </w:t>
      </w:r>
      <w:r w:rsidR="00F368B0">
        <w:t>blocking</w:t>
      </w:r>
      <w:r w:rsidR="008A216F">
        <w:t xml:space="preserve"> the chance of </w:t>
      </w:r>
      <w:r w:rsidR="00F368B0">
        <w:t>any</w:t>
      </w:r>
      <w:r w:rsidR="008A216F">
        <w:t xml:space="preserve"> bias.</w:t>
      </w:r>
      <w:r w:rsidR="00DE4574">
        <w:t xml:space="preserve"> Thus, participants will be provided with a consent form th</w:t>
      </w:r>
      <w:r w:rsidR="008A216F">
        <w:t>a</w:t>
      </w:r>
      <w:r w:rsidR="00DE4574">
        <w:t xml:space="preserve">t is mandatory in order to </w:t>
      </w:r>
      <w:r w:rsidR="008A216F">
        <w:t xml:space="preserve">partake in the research. </w:t>
      </w:r>
    </w:p>
    <w:p w14:paraId="1FD21BBC" w14:textId="77777777" w:rsidR="004F59AB" w:rsidRDefault="00206F70" w:rsidP="00391F4E">
      <w:pPr>
        <w:pStyle w:val="ListParagraph"/>
        <w:numPr>
          <w:ilvl w:val="0"/>
          <w:numId w:val="8"/>
        </w:numPr>
      </w:pPr>
      <w:r>
        <w:t xml:space="preserve">Confidentiality: It is important to ensure that participants’ information is being kept confidential; hence why </w:t>
      </w:r>
      <w:r w:rsidR="00DE4574">
        <w:t xml:space="preserve">the results table will only include their initials. </w:t>
      </w:r>
    </w:p>
    <w:p w14:paraId="5A7EC926" w14:textId="77777777" w:rsidR="008A216F" w:rsidRDefault="00B043C1" w:rsidP="00391F4E">
      <w:pPr>
        <w:pStyle w:val="ListParagraph"/>
        <w:numPr>
          <w:ilvl w:val="0"/>
          <w:numId w:val="8"/>
        </w:numPr>
      </w:pPr>
      <w:r>
        <w:t>Withdrawal right</w:t>
      </w:r>
      <w:r w:rsidR="0099763C">
        <w:t>s</w:t>
      </w:r>
      <w:r>
        <w:t xml:space="preserve">: All participants will be informed of their right to withdraw from the research at any point in time. This can be </w:t>
      </w:r>
      <w:r w:rsidR="00FC6A9D">
        <w:t>before, during or even after the questionnaire is completed.</w:t>
      </w:r>
    </w:p>
    <w:p w14:paraId="4CF79D15" w14:textId="77777777" w:rsidR="00FC6A9D" w:rsidRDefault="00FC6A9D" w:rsidP="00FC6A9D">
      <w:pPr>
        <w:pStyle w:val="Heading2"/>
        <w:rPr>
          <w:color w:val="0006EB"/>
        </w:rPr>
      </w:pPr>
    </w:p>
    <w:p w14:paraId="52520625" w14:textId="77777777" w:rsidR="00FC6A9D" w:rsidRDefault="00FC6A9D" w:rsidP="00FC6A9D">
      <w:pPr>
        <w:pStyle w:val="Heading2"/>
        <w:rPr>
          <w:color w:val="0006EB"/>
        </w:rPr>
      </w:pPr>
      <w:r>
        <w:rPr>
          <w:color w:val="0006EB"/>
        </w:rPr>
        <w:t>Reliability and Validity</w:t>
      </w:r>
    </w:p>
    <w:p w14:paraId="2FC29947" w14:textId="77777777" w:rsidR="00FC6A9D" w:rsidRDefault="0054165F" w:rsidP="00FC6A9D">
      <w:r>
        <w:t xml:space="preserve">This research is </w:t>
      </w:r>
      <w:r w:rsidR="00920EE5">
        <w:t>not going to ensure reliability as the</w:t>
      </w:r>
      <w:r w:rsidR="006E78DF">
        <w:t xml:space="preserve"> participants will only complete the questionnaire once. </w:t>
      </w:r>
      <w:r w:rsidR="00C67430">
        <w:t xml:space="preserve">This research will not </w:t>
      </w:r>
      <w:r w:rsidR="00C52F80">
        <w:t xml:space="preserve">demonstrate the extent to which the result can be </w:t>
      </w:r>
      <w:r w:rsidR="00F97F8D">
        <w:t>duplicated if the research was to</w:t>
      </w:r>
      <w:r w:rsidR="00B47B71">
        <w:t xml:space="preserve"> be repeated under the same conditions. On the other </w:t>
      </w:r>
      <w:r w:rsidR="00914841">
        <w:t xml:space="preserve">hand, the research </w:t>
      </w:r>
      <w:r w:rsidR="005B11F3">
        <w:t xml:space="preserve">ensures validity as the research and the results measure what they aim to measure. </w:t>
      </w:r>
      <w:r w:rsidR="00127728">
        <w:t xml:space="preserve">To establish validity, the researcher </w:t>
      </w:r>
      <w:r w:rsidR="00F47581">
        <w:t xml:space="preserve">is to check how well the results correspond to established or previous </w:t>
      </w:r>
      <w:r w:rsidR="00DB1843">
        <w:t>theories as well as other measures of the same or a similar concept.</w:t>
      </w:r>
      <w:r w:rsidR="00D74625">
        <w:t xml:space="preserve"> This data collection method is founded on the theory o</w:t>
      </w:r>
      <w:r w:rsidR="004F7C9D">
        <w:t>f</w:t>
      </w:r>
      <w:r w:rsidR="00D74625">
        <w:t xml:space="preserve"> Eyseneck as the questionnaire that the participants are completing </w:t>
      </w:r>
      <w:r w:rsidR="00F26A02">
        <w:t>is designed by him</w:t>
      </w:r>
      <w:r w:rsidR="00C26FF7">
        <w:t xml:space="preserve">self. </w:t>
      </w:r>
    </w:p>
    <w:p w14:paraId="577EF87B" w14:textId="77777777" w:rsidR="00F26A02" w:rsidRDefault="00F26A02" w:rsidP="00F26A02">
      <w:pPr>
        <w:pStyle w:val="Heading2"/>
        <w:rPr>
          <w:color w:val="0006EB"/>
        </w:rPr>
      </w:pPr>
    </w:p>
    <w:p w14:paraId="3D0F6FA9" w14:textId="77777777" w:rsidR="00F26A02" w:rsidRDefault="00C426ED" w:rsidP="00F26A02">
      <w:pPr>
        <w:pStyle w:val="Heading2"/>
        <w:rPr>
          <w:color w:val="0006EB"/>
        </w:rPr>
      </w:pPr>
      <w:r>
        <w:rPr>
          <w:color w:val="0006EB"/>
        </w:rPr>
        <w:t>Conclusion</w:t>
      </w:r>
    </w:p>
    <w:p w14:paraId="143B6C3B" w14:textId="77777777" w:rsidR="00C426ED" w:rsidRDefault="007D15CB" w:rsidP="00C426ED">
      <w:r>
        <w:t>Although the research looks at the clear correlation between extraversion and social anxiety,</w:t>
      </w:r>
      <w:r w:rsidR="00F877D5">
        <w:t xml:space="preserve"> there can be a number of limitations found within this. The limi</w:t>
      </w:r>
      <w:r w:rsidR="00F02AD6">
        <w:t xml:space="preserve">tations of this research are the absence of reliability. This </w:t>
      </w:r>
      <w:r w:rsidR="00D26EFE">
        <w:t>research</w:t>
      </w:r>
      <w:r w:rsidR="00F02AD6">
        <w:t xml:space="preserve"> does not ensure the same patterns if repeated under the same </w:t>
      </w:r>
      <w:r w:rsidR="00D26EFE">
        <w:t>conditions. Thus, this research may not be used as a future reference</w:t>
      </w:r>
      <w:r w:rsidR="007513BC">
        <w:t xml:space="preserve"> or a publication for another study. </w:t>
      </w:r>
      <w:r w:rsidR="00697BD6">
        <w:t xml:space="preserve">The research also could have included more participants </w:t>
      </w:r>
      <w:r w:rsidR="005A55AB">
        <w:t xml:space="preserve">as it would help prevent </w:t>
      </w:r>
      <w:r w:rsidR="00B1659C">
        <w:t xml:space="preserve">having extreme or biased individuals. </w:t>
      </w:r>
      <w:r w:rsidR="0092464D">
        <w:t xml:space="preserve">Regardless of this, the research may still potentially be </w:t>
      </w:r>
      <w:r w:rsidR="00D610E4">
        <w:t xml:space="preserve">used </w:t>
      </w:r>
      <w:r w:rsidR="00DA20BB">
        <w:t xml:space="preserve">to look at how </w:t>
      </w:r>
      <w:r w:rsidR="005B597C">
        <w:t xml:space="preserve">extroverts may be </w:t>
      </w:r>
      <w:r w:rsidR="00A614EE">
        <w:t>affected by variables such as social anxiety</w:t>
      </w:r>
      <w:r w:rsidR="0030138B">
        <w:t xml:space="preserve">. Other researchers are able to use this experiment to examine the </w:t>
      </w:r>
      <w:r w:rsidR="00BE704A">
        <w:t>relationship between the personality trait</w:t>
      </w:r>
      <w:r w:rsidR="0030138B">
        <w:t xml:space="preserve"> </w:t>
      </w:r>
      <w:r w:rsidR="00BE704A">
        <w:t xml:space="preserve">and </w:t>
      </w:r>
      <w:r w:rsidR="00E72CD0">
        <w:t xml:space="preserve">variable; how they may influence or affect each other in certain context. This study may also help with any researchers who plan on using the Eyseneck Personality Questionnaire as a tool to measure any other </w:t>
      </w:r>
      <w:r w:rsidR="00971E67">
        <w:t xml:space="preserve">personality traits in which are included in the questionnaire. </w:t>
      </w:r>
    </w:p>
    <w:p w14:paraId="46B3D200" w14:textId="77777777" w:rsidR="00971E67" w:rsidRDefault="00971E67" w:rsidP="00971E67">
      <w:pPr>
        <w:pStyle w:val="Heading2"/>
        <w:rPr>
          <w:color w:val="0006EB"/>
        </w:rPr>
      </w:pPr>
    </w:p>
    <w:p w14:paraId="7B8C172C" w14:textId="77777777" w:rsidR="00971E67" w:rsidRDefault="00971E67" w:rsidP="00971E67">
      <w:pPr>
        <w:pStyle w:val="Heading2"/>
        <w:rPr>
          <w:color w:val="0006EB"/>
        </w:rPr>
      </w:pPr>
      <w:r>
        <w:rPr>
          <w:color w:val="0006EB"/>
        </w:rPr>
        <w:t>References</w:t>
      </w:r>
    </w:p>
    <w:p w14:paraId="4861F6A2" w14:textId="77777777" w:rsidR="00423F0A" w:rsidRPr="001A2BF3" w:rsidRDefault="00423F0A" w:rsidP="00423F0A">
      <w:r w:rsidRPr="001A2BF3">
        <w:rPr>
          <w:color w:val="000000"/>
          <w:shd w:val="clear" w:color="auto" w:fill="FFFFFF"/>
        </w:rPr>
        <w:t>Socialsci.libretexts.org. 2020.</w:t>
      </w:r>
      <w:r w:rsidRPr="001A2BF3">
        <w:rPr>
          <w:rStyle w:val="apple-converted-space"/>
          <w:color w:val="000000"/>
          <w:shd w:val="clear" w:color="auto" w:fill="FFFFFF"/>
        </w:rPr>
        <w:t> </w:t>
      </w:r>
      <w:r w:rsidRPr="001A2BF3">
        <w:rPr>
          <w:i/>
          <w:iCs/>
          <w:color w:val="000000"/>
        </w:rPr>
        <w:t>10.7: Paul Costa And Robert Mccrae And The Five-Factor Model Of Personality - Social Sci Libretexts</w:t>
      </w:r>
      <w:r w:rsidRPr="001A2BF3">
        <w:rPr>
          <w:color w:val="000000"/>
          <w:shd w:val="clear" w:color="auto" w:fill="FFFFFF"/>
        </w:rPr>
        <w:t>. [online] Available at: &lt;https://socialsci.libretexts.org/Bookshelves/Psychology/Book%3A_Personality_Theory_in_a_Cultural_Context_(Kelland)/10%3A_Trait_Theories_of_Personality/10.07%3A_Paul_Costa_and_Robert_McCrae_and_the_Five-Factor_Model_of_Personality&gt; [Accessed 7 August 2020].</w:t>
      </w:r>
    </w:p>
    <w:p w14:paraId="713F843C" w14:textId="77777777" w:rsidR="00423F0A" w:rsidRPr="001A2BF3" w:rsidRDefault="00423F0A" w:rsidP="00423F0A"/>
    <w:p w14:paraId="2CC0D467" w14:textId="77777777" w:rsidR="00423F0A" w:rsidRPr="001A2BF3" w:rsidRDefault="00423F0A" w:rsidP="00423F0A">
      <w:r w:rsidRPr="001A2BF3">
        <w:rPr>
          <w:color w:val="000000"/>
          <w:shd w:val="clear" w:color="auto" w:fill="FFFFFF"/>
        </w:rPr>
        <w:t>2020. [online] Available at: &lt;https://www.researchgate.net/figure/Strengths-and-weaknesses-of-subjective-and-objective-methods-of-assessing-physical_tbl1_226880310&gt; [Accessed 10 August 2020].</w:t>
      </w:r>
    </w:p>
    <w:p w14:paraId="7CA14EC1" w14:textId="77777777" w:rsidR="00971E67" w:rsidRPr="001A2BF3" w:rsidRDefault="00971E67" w:rsidP="00971E67"/>
    <w:p w14:paraId="53572C10" w14:textId="77777777" w:rsidR="00423F0A" w:rsidRPr="001A2BF3" w:rsidRDefault="00423F0A" w:rsidP="00423F0A">
      <w:r w:rsidRPr="001A2BF3">
        <w:rPr>
          <w:color w:val="000000"/>
          <w:shd w:val="clear" w:color="auto" w:fill="FFFFFF"/>
        </w:rPr>
        <w:t>Study.com. 2020. [online] Available at: &lt;https://study.com/academy/lesson/nonscientific-and-scientific-research-definitions-and-differences.html&gt; [Accessed 9 August 2020].</w:t>
      </w:r>
    </w:p>
    <w:p w14:paraId="524235A8" w14:textId="77777777" w:rsidR="00423F0A" w:rsidRPr="001A2BF3" w:rsidRDefault="00423F0A" w:rsidP="00971E67"/>
    <w:p w14:paraId="511151AF" w14:textId="77777777" w:rsidR="00E83D5A" w:rsidRPr="001A2BF3" w:rsidRDefault="00E83D5A" w:rsidP="00E83D5A">
      <w:r w:rsidRPr="001A2BF3">
        <w:rPr>
          <w:color w:val="000000"/>
          <w:shd w:val="clear" w:color="auto" w:fill="FFFFFF"/>
        </w:rPr>
        <w:t>Diener, E., Lucas, R. and Cummings, J., 2020.</w:t>
      </w:r>
      <w:r w:rsidRPr="001A2BF3">
        <w:rPr>
          <w:rStyle w:val="apple-converted-space"/>
          <w:color w:val="000000"/>
          <w:shd w:val="clear" w:color="auto" w:fill="FFFFFF"/>
        </w:rPr>
        <w:t> </w:t>
      </w:r>
      <w:r w:rsidRPr="001A2BF3">
        <w:rPr>
          <w:i/>
          <w:iCs/>
          <w:color w:val="000000"/>
        </w:rPr>
        <w:t>16.1 Personality Traits</w:t>
      </w:r>
      <w:r w:rsidRPr="001A2BF3">
        <w:rPr>
          <w:color w:val="000000"/>
          <w:shd w:val="clear" w:color="auto" w:fill="FFFFFF"/>
        </w:rPr>
        <w:t>. [online] Openpress.usask.ca. Available at: &lt;https://openpress.usask.ca/introductiontopsychology/chapter/personality-traits/&gt; [Accessed 7 August 2020].</w:t>
      </w:r>
    </w:p>
    <w:p w14:paraId="207796BE" w14:textId="77777777" w:rsidR="00E83D5A" w:rsidRPr="001A2BF3" w:rsidRDefault="00E83D5A" w:rsidP="00971E67"/>
    <w:p w14:paraId="26DECDA4" w14:textId="77777777" w:rsidR="00E83D5A" w:rsidRPr="001A2BF3" w:rsidRDefault="00E83D5A" w:rsidP="00E83D5A">
      <w:r w:rsidRPr="001A2BF3">
        <w:rPr>
          <w:color w:val="000000"/>
          <w:shd w:val="clear" w:color="auto" w:fill="FFFFFF"/>
        </w:rPr>
        <w:t>Medium. 2020.</w:t>
      </w:r>
      <w:r w:rsidRPr="001A2BF3">
        <w:rPr>
          <w:rStyle w:val="apple-converted-space"/>
          <w:color w:val="000000"/>
          <w:shd w:val="clear" w:color="auto" w:fill="FFFFFF"/>
        </w:rPr>
        <w:t> </w:t>
      </w:r>
      <w:r w:rsidRPr="001A2BF3">
        <w:rPr>
          <w:i/>
          <w:iCs/>
          <w:color w:val="000000"/>
        </w:rPr>
        <w:t>Differences Between Quantitative, Qualitative, Objective And Subjective Data</w:t>
      </w:r>
      <w:r w:rsidRPr="001A2BF3">
        <w:rPr>
          <w:color w:val="000000"/>
          <w:shd w:val="clear" w:color="auto" w:fill="FFFFFF"/>
        </w:rPr>
        <w:t>. [online] Available at: &lt;https://medium.com/@heidar/differences-between-quantitative-qualitative-objective-and-subjective-data-56df96dc0fc8&gt; [Accessed 10 August 2020].</w:t>
      </w:r>
    </w:p>
    <w:p w14:paraId="4C83E584" w14:textId="77777777" w:rsidR="00E83D5A" w:rsidRPr="001A2BF3" w:rsidRDefault="00E83D5A" w:rsidP="00971E67"/>
    <w:p w14:paraId="7B08EA17" w14:textId="77777777" w:rsidR="0029622A" w:rsidRPr="001A2BF3" w:rsidRDefault="0029622A" w:rsidP="0029622A">
      <w:r w:rsidRPr="001A2BF3">
        <w:rPr>
          <w:color w:val="000000"/>
          <w:shd w:val="clear" w:color="auto" w:fill="FFFFFF"/>
        </w:rPr>
        <w:t>Verywell Mind. 2020.</w:t>
      </w:r>
      <w:r w:rsidRPr="001A2BF3">
        <w:rPr>
          <w:rStyle w:val="apple-converted-space"/>
          <w:color w:val="000000"/>
          <w:shd w:val="clear" w:color="auto" w:fill="FFFFFF"/>
        </w:rPr>
        <w:t> </w:t>
      </w:r>
      <w:r w:rsidRPr="001A2BF3">
        <w:rPr>
          <w:i/>
          <w:iCs/>
          <w:color w:val="000000"/>
        </w:rPr>
        <w:t>Different Types Of Variables Used In Studying Psychology Hypotheses</w:t>
      </w:r>
      <w:r w:rsidRPr="001A2BF3">
        <w:rPr>
          <w:color w:val="000000"/>
          <w:shd w:val="clear" w:color="auto" w:fill="FFFFFF"/>
        </w:rPr>
        <w:t>. [online] Available at: &lt;https://www.verywellmind.com/what-is-a-variable-2795789&gt; [Accessed 11 August 2020].</w:t>
      </w:r>
    </w:p>
    <w:p w14:paraId="20097F33" w14:textId="77777777" w:rsidR="00E83D5A" w:rsidRPr="001A2BF3" w:rsidRDefault="00E83D5A" w:rsidP="00971E67"/>
    <w:p w14:paraId="27619155" w14:textId="77777777" w:rsidR="0029622A" w:rsidRPr="001A2BF3" w:rsidRDefault="0029622A" w:rsidP="0029622A">
      <w:r w:rsidRPr="001A2BF3">
        <w:rPr>
          <w:color w:val="000000"/>
          <w:shd w:val="clear" w:color="auto" w:fill="FFFFFF"/>
        </w:rPr>
        <w:t>Febi Assessment. 2020.</w:t>
      </w:r>
      <w:r w:rsidRPr="001A2BF3">
        <w:rPr>
          <w:rStyle w:val="apple-converted-space"/>
          <w:color w:val="000000"/>
          <w:shd w:val="clear" w:color="auto" w:fill="FFFFFF"/>
        </w:rPr>
        <w:t> </w:t>
      </w:r>
      <w:r w:rsidRPr="001A2BF3">
        <w:rPr>
          <w:i/>
          <w:iCs/>
          <w:color w:val="000000"/>
        </w:rPr>
        <w:t>Eysenck’S Personality Inventory (EPI) (Extroversion/Introversion) - Febi Assessment</w:t>
      </w:r>
      <w:r w:rsidRPr="001A2BF3">
        <w:rPr>
          <w:color w:val="000000"/>
          <w:shd w:val="clear" w:color="auto" w:fill="FFFFFF"/>
        </w:rPr>
        <w:t>. [online] Available at: &lt;https://febiassessment.com/test/eysencks-personality-inventory-epi-extroversionintroversion/&gt; [Accessed 7 August 2020].</w:t>
      </w:r>
    </w:p>
    <w:p w14:paraId="6511407E" w14:textId="77777777" w:rsidR="0029622A" w:rsidRPr="001A2BF3" w:rsidRDefault="0029622A" w:rsidP="00971E67"/>
    <w:p w14:paraId="61E42113" w14:textId="77777777" w:rsidR="0029622A" w:rsidRPr="001A2BF3" w:rsidRDefault="0029622A" w:rsidP="0029622A">
      <w:r w:rsidRPr="001A2BF3">
        <w:rPr>
          <w:color w:val="000000"/>
          <w:shd w:val="clear" w:color="auto" w:fill="FFFFFF"/>
        </w:rPr>
        <w:t>Mcleod, S., 2020.</w:t>
      </w:r>
      <w:r w:rsidRPr="001A2BF3">
        <w:rPr>
          <w:rStyle w:val="apple-converted-space"/>
          <w:color w:val="000000"/>
          <w:shd w:val="clear" w:color="auto" w:fill="FFFFFF"/>
        </w:rPr>
        <w:t> </w:t>
      </w:r>
      <w:r w:rsidRPr="001A2BF3">
        <w:rPr>
          <w:i/>
          <w:iCs/>
          <w:color w:val="000000"/>
        </w:rPr>
        <w:t>Correlation Definitions, Examples &amp; Interpretation | Simply Psychology</w:t>
      </w:r>
      <w:r w:rsidRPr="001A2BF3">
        <w:rPr>
          <w:color w:val="000000"/>
          <w:shd w:val="clear" w:color="auto" w:fill="FFFFFF"/>
        </w:rPr>
        <w:t>. [online] Simplypsychology.org. Available at: &lt;https://www.simplypsychology.org/correlation.html&gt; [Accessed 7 August 2020].</w:t>
      </w:r>
    </w:p>
    <w:p w14:paraId="07D5C70C" w14:textId="77777777" w:rsidR="00971E67" w:rsidRPr="001A2BF3" w:rsidRDefault="00971E67" w:rsidP="00C426ED"/>
    <w:p w14:paraId="2F41D57A" w14:textId="77777777" w:rsidR="00C55EC7" w:rsidRPr="001A2BF3" w:rsidRDefault="00C55EC7" w:rsidP="00C55EC7">
      <w:r w:rsidRPr="001A2BF3">
        <w:rPr>
          <w:color w:val="000000"/>
          <w:shd w:val="clear" w:color="auto" w:fill="FFFFFF"/>
        </w:rPr>
        <w:t>Scribbr. 2020.</w:t>
      </w:r>
      <w:r w:rsidRPr="001A2BF3">
        <w:rPr>
          <w:rStyle w:val="apple-converted-space"/>
          <w:color w:val="000000"/>
          <w:shd w:val="clear" w:color="auto" w:fill="FFFFFF"/>
        </w:rPr>
        <w:t> </w:t>
      </w:r>
      <w:r w:rsidRPr="001A2BF3">
        <w:rPr>
          <w:i/>
          <w:iCs/>
          <w:color w:val="000000"/>
        </w:rPr>
        <w:t>Reliability Vs Validity In Research | Differences, Types And Examples</w:t>
      </w:r>
      <w:r w:rsidRPr="001A2BF3">
        <w:rPr>
          <w:color w:val="000000"/>
          <w:shd w:val="clear" w:color="auto" w:fill="FFFFFF"/>
        </w:rPr>
        <w:t>. [online] Available at: &lt;https://www.scribbr.com/methodology/reliability-vs-validity/&gt; [Accessed 11 August 2020].</w:t>
      </w:r>
    </w:p>
    <w:p w14:paraId="0BA7730E" w14:textId="77777777" w:rsidR="00F26A02" w:rsidRPr="001A2BF3" w:rsidRDefault="00F26A02" w:rsidP="00FC6A9D"/>
    <w:p w14:paraId="31F5895F" w14:textId="77777777" w:rsidR="00C55EC7" w:rsidRPr="001A2BF3" w:rsidRDefault="00C55EC7" w:rsidP="00C55EC7">
      <w:r w:rsidRPr="001A2BF3">
        <w:rPr>
          <w:color w:val="000000"/>
          <w:shd w:val="clear" w:color="auto" w:fill="FFFFFF"/>
        </w:rPr>
        <w:t>Hydrocephalus Association. 2020.</w:t>
      </w:r>
      <w:r w:rsidRPr="001A2BF3">
        <w:rPr>
          <w:rStyle w:val="apple-converted-space"/>
          <w:color w:val="000000"/>
          <w:shd w:val="clear" w:color="auto" w:fill="FFFFFF"/>
        </w:rPr>
        <w:t> </w:t>
      </w:r>
      <w:r w:rsidRPr="001A2BF3">
        <w:rPr>
          <w:i/>
          <w:iCs/>
          <w:color w:val="000000"/>
        </w:rPr>
        <w:t>Research 101: The Importance Of Sample Size | Hydrocephalus Association</w:t>
      </w:r>
      <w:r w:rsidRPr="001A2BF3">
        <w:rPr>
          <w:color w:val="000000"/>
          <w:shd w:val="clear" w:color="auto" w:fill="FFFFFF"/>
        </w:rPr>
        <w:t>. [online] Available at: &lt;https://www.hydroassoc.org/research-101-the-importance-of-sample-size/&gt; [Accessed 11 August 2020].</w:t>
      </w:r>
    </w:p>
    <w:p w14:paraId="33A3DE93" w14:textId="77777777" w:rsidR="00C55EC7" w:rsidRPr="001A2BF3" w:rsidRDefault="00C55EC7" w:rsidP="00FC6A9D"/>
    <w:p w14:paraId="309E77CF" w14:textId="77777777" w:rsidR="00FC6894" w:rsidRPr="001A2BF3" w:rsidRDefault="00FC6894" w:rsidP="00FC6894">
      <w:r w:rsidRPr="001A2BF3">
        <w:rPr>
          <w:color w:val="000000"/>
          <w:shd w:val="clear" w:color="auto" w:fill="FFFFFF"/>
        </w:rPr>
        <w:t>Spacey, J., 2020.</w:t>
      </w:r>
      <w:r w:rsidRPr="001A2BF3">
        <w:rPr>
          <w:rStyle w:val="apple-converted-space"/>
          <w:color w:val="000000"/>
          <w:shd w:val="clear" w:color="auto" w:fill="FFFFFF"/>
        </w:rPr>
        <w:t> </w:t>
      </w:r>
      <w:r w:rsidRPr="001A2BF3">
        <w:rPr>
          <w:i/>
          <w:iCs/>
          <w:color w:val="000000"/>
        </w:rPr>
        <w:t>5 Types Of Extraneous Variables</w:t>
      </w:r>
      <w:r w:rsidRPr="001A2BF3">
        <w:rPr>
          <w:color w:val="000000"/>
          <w:shd w:val="clear" w:color="auto" w:fill="FFFFFF"/>
        </w:rPr>
        <w:t>. [online] Simplicable. Available at: &lt;https://simplicable.com/new/extraneous-variables&gt; [Accessed 9 August 2020].</w:t>
      </w:r>
    </w:p>
    <w:p w14:paraId="4A6701D6" w14:textId="77777777" w:rsidR="00C55EC7" w:rsidRPr="001A2BF3" w:rsidRDefault="00C55EC7" w:rsidP="00FC6A9D"/>
    <w:p w14:paraId="6CBE4D13" w14:textId="77777777" w:rsidR="00FC6894" w:rsidRPr="001A2BF3" w:rsidRDefault="00FC6894" w:rsidP="00FC6894">
      <w:r w:rsidRPr="001A2BF3">
        <w:rPr>
          <w:color w:val="000000"/>
          <w:shd w:val="clear" w:color="auto" w:fill="FFFFFF"/>
        </w:rPr>
        <w:t>ThoughtCo. 2020.</w:t>
      </w:r>
      <w:r w:rsidRPr="001A2BF3">
        <w:rPr>
          <w:rStyle w:val="apple-converted-space"/>
          <w:color w:val="000000"/>
          <w:shd w:val="clear" w:color="auto" w:fill="FFFFFF"/>
        </w:rPr>
        <w:t> </w:t>
      </w:r>
      <w:r w:rsidRPr="001A2BF3">
        <w:rPr>
          <w:i/>
          <w:iCs/>
          <w:color w:val="000000"/>
        </w:rPr>
        <w:t>What Is A Dependent Variable In An Experiment?</w:t>
      </w:r>
      <w:r w:rsidRPr="001A2BF3">
        <w:rPr>
          <w:color w:val="000000"/>
          <w:shd w:val="clear" w:color="auto" w:fill="FFFFFF"/>
        </w:rPr>
        <w:t>. [online] Available at: &lt;https://www.thoughtco.com/what-is-a-dependent-variable-606108&gt; [Accessed 7 August 2020].</w:t>
      </w:r>
    </w:p>
    <w:p w14:paraId="5B9FC60A" w14:textId="77777777" w:rsidR="00FC6894" w:rsidRPr="001A2BF3" w:rsidRDefault="00FC6894" w:rsidP="00FC6A9D"/>
    <w:p w14:paraId="1B7D5C74" w14:textId="77777777" w:rsidR="00FC6A9D" w:rsidRPr="001A2BF3" w:rsidRDefault="00FC6A9D" w:rsidP="00FC6A9D"/>
    <w:p w14:paraId="33509A6B" w14:textId="77777777" w:rsidR="003F5393" w:rsidRPr="001A2BF3" w:rsidRDefault="003F5393" w:rsidP="003F5393"/>
    <w:p w14:paraId="3640D144" w14:textId="77777777" w:rsidR="003F5393" w:rsidRPr="001A2BF3" w:rsidRDefault="003F5393" w:rsidP="007D7287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sectPr w:rsidR="003F5393" w:rsidRPr="001A2BF3">
      <w:footerReference w:type="default" r:id="rId9"/>
      <w:pgSz w:w="11907" w:h="16839" w:code="9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36434E" w14:textId="77777777" w:rsidR="00153DED" w:rsidRDefault="00153DED">
      <w:r>
        <w:separator/>
      </w:r>
    </w:p>
  </w:endnote>
  <w:endnote w:type="continuationSeparator" w:id="0">
    <w:p w14:paraId="221D8F68" w14:textId="77777777" w:rsidR="00153DED" w:rsidRDefault="00153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72893270"/>
      <w:docPartObj>
        <w:docPartGallery w:val="Page Numbers (Top of Page)"/>
        <w:docPartUnique/>
      </w:docPartObj>
    </w:sdtPr>
    <w:sdtEndPr/>
    <w:sdtContent>
      <w:p w14:paraId="65FA43D4" w14:textId="77777777" w:rsidR="00524387" w:rsidRDefault="00CB7D2E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2</w:t>
        </w:r>
        <w:r>
          <w:rPr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F3A973" w14:textId="77777777" w:rsidR="00153DED" w:rsidRDefault="00153DED">
      <w:r>
        <w:separator/>
      </w:r>
    </w:p>
  </w:footnote>
  <w:footnote w:type="continuationSeparator" w:id="0">
    <w:p w14:paraId="3BDCD359" w14:textId="77777777" w:rsidR="00153DED" w:rsidRDefault="00153D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6C7362E"/>
    <w:multiLevelType w:val="hybridMultilevel"/>
    <w:tmpl w:val="0062EE2C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0A419E"/>
    <w:multiLevelType w:val="hybridMultilevel"/>
    <w:tmpl w:val="02B645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8B"/>
    <w:rsid w:val="00011849"/>
    <w:rsid w:val="00030883"/>
    <w:rsid w:val="0003501B"/>
    <w:rsid w:val="00036888"/>
    <w:rsid w:val="0004270B"/>
    <w:rsid w:val="00046A49"/>
    <w:rsid w:val="00046CE2"/>
    <w:rsid w:val="00050813"/>
    <w:rsid w:val="000552C4"/>
    <w:rsid w:val="0006286F"/>
    <w:rsid w:val="000645D6"/>
    <w:rsid w:val="00070E98"/>
    <w:rsid w:val="000722FB"/>
    <w:rsid w:val="00077C32"/>
    <w:rsid w:val="000828F1"/>
    <w:rsid w:val="00095827"/>
    <w:rsid w:val="000A0976"/>
    <w:rsid w:val="000C2782"/>
    <w:rsid w:val="000C609E"/>
    <w:rsid w:val="000D0067"/>
    <w:rsid w:val="000D2E62"/>
    <w:rsid w:val="000E0470"/>
    <w:rsid w:val="000F6F20"/>
    <w:rsid w:val="00101AFF"/>
    <w:rsid w:val="001028C6"/>
    <w:rsid w:val="001150E1"/>
    <w:rsid w:val="00127728"/>
    <w:rsid w:val="001279CC"/>
    <w:rsid w:val="00140788"/>
    <w:rsid w:val="00153DED"/>
    <w:rsid w:val="00156178"/>
    <w:rsid w:val="00176BE2"/>
    <w:rsid w:val="00180AEB"/>
    <w:rsid w:val="00186894"/>
    <w:rsid w:val="00193FFC"/>
    <w:rsid w:val="00195EF3"/>
    <w:rsid w:val="001A2BF3"/>
    <w:rsid w:val="001A3027"/>
    <w:rsid w:val="001A36A4"/>
    <w:rsid w:val="001B4889"/>
    <w:rsid w:val="001C40DA"/>
    <w:rsid w:val="001D4E5B"/>
    <w:rsid w:val="001D68FA"/>
    <w:rsid w:val="001E264C"/>
    <w:rsid w:val="001F010D"/>
    <w:rsid w:val="001F2B31"/>
    <w:rsid w:val="001F3D39"/>
    <w:rsid w:val="00205AAA"/>
    <w:rsid w:val="00206966"/>
    <w:rsid w:val="00206F70"/>
    <w:rsid w:val="00213F25"/>
    <w:rsid w:val="00224C15"/>
    <w:rsid w:val="00254E5D"/>
    <w:rsid w:val="00255B68"/>
    <w:rsid w:val="0025626E"/>
    <w:rsid w:val="002656C3"/>
    <w:rsid w:val="002774C4"/>
    <w:rsid w:val="00280603"/>
    <w:rsid w:val="0028313E"/>
    <w:rsid w:val="00285AE9"/>
    <w:rsid w:val="00287B0A"/>
    <w:rsid w:val="00293B1F"/>
    <w:rsid w:val="0029502E"/>
    <w:rsid w:val="0029622A"/>
    <w:rsid w:val="00297EA1"/>
    <w:rsid w:val="002A5580"/>
    <w:rsid w:val="002B15C2"/>
    <w:rsid w:val="002B2851"/>
    <w:rsid w:val="002C6571"/>
    <w:rsid w:val="002D0D69"/>
    <w:rsid w:val="002D4428"/>
    <w:rsid w:val="0030138B"/>
    <w:rsid w:val="003237B7"/>
    <w:rsid w:val="003312DB"/>
    <w:rsid w:val="00333491"/>
    <w:rsid w:val="00362CD7"/>
    <w:rsid w:val="00391F4E"/>
    <w:rsid w:val="00393899"/>
    <w:rsid w:val="003B11B7"/>
    <w:rsid w:val="003B2426"/>
    <w:rsid w:val="003B330B"/>
    <w:rsid w:val="003D3823"/>
    <w:rsid w:val="003F5393"/>
    <w:rsid w:val="00404405"/>
    <w:rsid w:val="00423F0A"/>
    <w:rsid w:val="00440168"/>
    <w:rsid w:val="00445D87"/>
    <w:rsid w:val="0046406C"/>
    <w:rsid w:val="004664C6"/>
    <w:rsid w:val="00473DDA"/>
    <w:rsid w:val="00476BAE"/>
    <w:rsid w:val="00491699"/>
    <w:rsid w:val="00494860"/>
    <w:rsid w:val="004951FE"/>
    <w:rsid w:val="004A3EC5"/>
    <w:rsid w:val="004A6D76"/>
    <w:rsid w:val="004C1421"/>
    <w:rsid w:val="004E454F"/>
    <w:rsid w:val="004F59AB"/>
    <w:rsid w:val="004F7C9D"/>
    <w:rsid w:val="005049AC"/>
    <w:rsid w:val="005169F8"/>
    <w:rsid w:val="00524387"/>
    <w:rsid w:val="005264D6"/>
    <w:rsid w:val="00535F3A"/>
    <w:rsid w:val="0054165F"/>
    <w:rsid w:val="005433C9"/>
    <w:rsid w:val="00545CE0"/>
    <w:rsid w:val="005523DA"/>
    <w:rsid w:val="00552DF5"/>
    <w:rsid w:val="005605C1"/>
    <w:rsid w:val="005845AA"/>
    <w:rsid w:val="00585126"/>
    <w:rsid w:val="005949B5"/>
    <w:rsid w:val="005A00F6"/>
    <w:rsid w:val="005A55AB"/>
    <w:rsid w:val="005A5C64"/>
    <w:rsid w:val="005A6751"/>
    <w:rsid w:val="005B11F3"/>
    <w:rsid w:val="005B597C"/>
    <w:rsid w:val="005C1C6F"/>
    <w:rsid w:val="005D1AD2"/>
    <w:rsid w:val="005D5A06"/>
    <w:rsid w:val="005E18E5"/>
    <w:rsid w:val="00602482"/>
    <w:rsid w:val="006061D1"/>
    <w:rsid w:val="0060629A"/>
    <w:rsid w:val="00613BE8"/>
    <w:rsid w:val="00617816"/>
    <w:rsid w:val="00617AB8"/>
    <w:rsid w:val="00626457"/>
    <w:rsid w:val="00650426"/>
    <w:rsid w:val="00657D45"/>
    <w:rsid w:val="0067694C"/>
    <w:rsid w:val="006769DD"/>
    <w:rsid w:val="00681554"/>
    <w:rsid w:val="00697BD6"/>
    <w:rsid w:val="006A180E"/>
    <w:rsid w:val="006A59DA"/>
    <w:rsid w:val="006B71AA"/>
    <w:rsid w:val="006C1C72"/>
    <w:rsid w:val="006D52B2"/>
    <w:rsid w:val="006E5101"/>
    <w:rsid w:val="006E78DF"/>
    <w:rsid w:val="006F6F40"/>
    <w:rsid w:val="007150D3"/>
    <w:rsid w:val="0072479A"/>
    <w:rsid w:val="007510C3"/>
    <w:rsid w:val="007513BC"/>
    <w:rsid w:val="00752062"/>
    <w:rsid w:val="007524D4"/>
    <w:rsid w:val="00761A18"/>
    <w:rsid w:val="00762692"/>
    <w:rsid w:val="00766CCE"/>
    <w:rsid w:val="0076713E"/>
    <w:rsid w:val="00770A6F"/>
    <w:rsid w:val="007719E6"/>
    <w:rsid w:val="007853C4"/>
    <w:rsid w:val="007B3B09"/>
    <w:rsid w:val="007C2F75"/>
    <w:rsid w:val="007C59D5"/>
    <w:rsid w:val="007D15CB"/>
    <w:rsid w:val="007D63B2"/>
    <w:rsid w:val="007D7287"/>
    <w:rsid w:val="00803F08"/>
    <w:rsid w:val="008065DB"/>
    <w:rsid w:val="008120B8"/>
    <w:rsid w:val="0082448F"/>
    <w:rsid w:val="00826FBB"/>
    <w:rsid w:val="008337A4"/>
    <w:rsid w:val="00833850"/>
    <w:rsid w:val="00844D3E"/>
    <w:rsid w:val="00857F36"/>
    <w:rsid w:val="00857F89"/>
    <w:rsid w:val="008627F4"/>
    <w:rsid w:val="00897A03"/>
    <w:rsid w:val="008A216F"/>
    <w:rsid w:val="008A2C57"/>
    <w:rsid w:val="008B2456"/>
    <w:rsid w:val="008B405A"/>
    <w:rsid w:val="008B5C02"/>
    <w:rsid w:val="008B6E8C"/>
    <w:rsid w:val="008C14F9"/>
    <w:rsid w:val="008D0699"/>
    <w:rsid w:val="008E1525"/>
    <w:rsid w:val="008F4829"/>
    <w:rsid w:val="00914841"/>
    <w:rsid w:val="00916BA2"/>
    <w:rsid w:val="00916C78"/>
    <w:rsid w:val="00920EE5"/>
    <w:rsid w:val="0092464D"/>
    <w:rsid w:val="009404F4"/>
    <w:rsid w:val="00971E67"/>
    <w:rsid w:val="00972E56"/>
    <w:rsid w:val="0097318F"/>
    <w:rsid w:val="0098204E"/>
    <w:rsid w:val="00991CD5"/>
    <w:rsid w:val="0099763C"/>
    <w:rsid w:val="009A028B"/>
    <w:rsid w:val="009A418D"/>
    <w:rsid w:val="009A6A08"/>
    <w:rsid w:val="009A70C3"/>
    <w:rsid w:val="009C0B03"/>
    <w:rsid w:val="009D002F"/>
    <w:rsid w:val="009D3ADA"/>
    <w:rsid w:val="00A23BF9"/>
    <w:rsid w:val="00A2777A"/>
    <w:rsid w:val="00A33DEF"/>
    <w:rsid w:val="00A46DED"/>
    <w:rsid w:val="00A57B0C"/>
    <w:rsid w:val="00A614EE"/>
    <w:rsid w:val="00A64DEB"/>
    <w:rsid w:val="00A679E5"/>
    <w:rsid w:val="00A85175"/>
    <w:rsid w:val="00A93397"/>
    <w:rsid w:val="00AA3FC4"/>
    <w:rsid w:val="00AA420E"/>
    <w:rsid w:val="00AC3320"/>
    <w:rsid w:val="00AC4CB1"/>
    <w:rsid w:val="00AC779A"/>
    <w:rsid w:val="00AC7A8D"/>
    <w:rsid w:val="00AC7F5F"/>
    <w:rsid w:val="00AD17F2"/>
    <w:rsid w:val="00AD3B72"/>
    <w:rsid w:val="00AD717E"/>
    <w:rsid w:val="00AE0126"/>
    <w:rsid w:val="00AE6AC7"/>
    <w:rsid w:val="00AF37BF"/>
    <w:rsid w:val="00B043C1"/>
    <w:rsid w:val="00B1659C"/>
    <w:rsid w:val="00B204AD"/>
    <w:rsid w:val="00B25B4A"/>
    <w:rsid w:val="00B3214C"/>
    <w:rsid w:val="00B45F2B"/>
    <w:rsid w:val="00B47B71"/>
    <w:rsid w:val="00B67675"/>
    <w:rsid w:val="00B716C3"/>
    <w:rsid w:val="00B72867"/>
    <w:rsid w:val="00B73587"/>
    <w:rsid w:val="00B804BB"/>
    <w:rsid w:val="00B87FFA"/>
    <w:rsid w:val="00BA3123"/>
    <w:rsid w:val="00BA7204"/>
    <w:rsid w:val="00BA7545"/>
    <w:rsid w:val="00BB3995"/>
    <w:rsid w:val="00BB39A8"/>
    <w:rsid w:val="00BD5C77"/>
    <w:rsid w:val="00BE704A"/>
    <w:rsid w:val="00BF3EE7"/>
    <w:rsid w:val="00C02413"/>
    <w:rsid w:val="00C26FF7"/>
    <w:rsid w:val="00C3039A"/>
    <w:rsid w:val="00C3394A"/>
    <w:rsid w:val="00C33B99"/>
    <w:rsid w:val="00C36708"/>
    <w:rsid w:val="00C41C01"/>
    <w:rsid w:val="00C426ED"/>
    <w:rsid w:val="00C5203B"/>
    <w:rsid w:val="00C52F80"/>
    <w:rsid w:val="00C55EC7"/>
    <w:rsid w:val="00C60504"/>
    <w:rsid w:val="00C67430"/>
    <w:rsid w:val="00C8422F"/>
    <w:rsid w:val="00C84921"/>
    <w:rsid w:val="00C84F1B"/>
    <w:rsid w:val="00C907D3"/>
    <w:rsid w:val="00C96114"/>
    <w:rsid w:val="00CB7D2E"/>
    <w:rsid w:val="00CE06A9"/>
    <w:rsid w:val="00CE324F"/>
    <w:rsid w:val="00CE7BBD"/>
    <w:rsid w:val="00CF4261"/>
    <w:rsid w:val="00D032BB"/>
    <w:rsid w:val="00D043AB"/>
    <w:rsid w:val="00D13892"/>
    <w:rsid w:val="00D26EFE"/>
    <w:rsid w:val="00D36B64"/>
    <w:rsid w:val="00D426DD"/>
    <w:rsid w:val="00D52012"/>
    <w:rsid w:val="00D539D3"/>
    <w:rsid w:val="00D54D9F"/>
    <w:rsid w:val="00D60DDD"/>
    <w:rsid w:val="00D610E4"/>
    <w:rsid w:val="00D71BAB"/>
    <w:rsid w:val="00D7423C"/>
    <w:rsid w:val="00D74625"/>
    <w:rsid w:val="00D81862"/>
    <w:rsid w:val="00D91314"/>
    <w:rsid w:val="00DA20BB"/>
    <w:rsid w:val="00DB0256"/>
    <w:rsid w:val="00DB1843"/>
    <w:rsid w:val="00DB42B2"/>
    <w:rsid w:val="00DC3C16"/>
    <w:rsid w:val="00DD0716"/>
    <w:rsid w:val="00DE2328"/>
    <w:rsid w:val="00DE4574"/>
    <w:rsid w:val="00E322E8"/>
    <w:rsid w:val="00E4550B"/>
    <w:rsid w:val="00E55FF0"/>
    <w:rsid w:val="00E66EF6"/>
    <w:rsid w:val="00E72CD0"/>
    <w:rsid w:val="00E8239E"/>
    <w:rsid w:val="00E83D5A"/>
    <w:rsid w:val="00E84D9C"/>
    <w:rsid w:val="00E9098B"/>
    <w:rsid w:val="00EA3841"/>
    <w:rsid w:val="00EB34E2"/>
    <w:rsid w:val="00EB3722"/>
    <w:rsid w:val="00EC0B28"/>
    <w:rsid w:val="00ED4C74"/>
    <w:rsid w:val="00ED70A4"/>
    <w:rsid w:val="00EF4EBC"/>
    <w:rsid w:val="00F02AD6"/>
    <w:rsid w:val="00F12973"/>
    <w:rsid w:val="00F26A02"/>
    <w:rsid w:val="00F368B0"/>
    <w:rsid w:val="00F41CF3"/>
    <w:rsid w:val="00F47581"/>
    <w:rsid w:val="00F47A7C"/>
    <w:rsid w:val="00F51D12"/>
    <w:rsid w:val="00F74CAF"/>
    <w:rsid w:val="00F83306"/>
    <w:rsid w:val="00F83740"/>
    <w:rsid w:val="00F877D5"/>
    <w:rsid w:val="00F95A9D"/>
    <w:rsid w:val="00F97F8D"/>
    <w:rsid w:val="00FB35D4"/>
    <w:rsid w:val="00FB67B3"/>
    <w:rsid w:val="00FC28B5"/>
    <w:rsid w:val="00FC554C"/>
    <w:rsid w:val="00FC6894"/>
    <w:rsid w:val="00FC6A9D"/>
    <w:rsid w:val="00FD0877"/>
    <w:rsid w:val="00FE415D"/>
    <w:rsid w:val="00FF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EBFC95"/>
  <w15:chartTrackingRefBased/>
  <w15:docId w15:val="{12B858FF-CFEF-432E-B1BE-3C8298DB8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F0A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pageBreakBefore/>
      <w:spacing w:after="3600"/>
      <w:contextualSpacing/>
      <w:outlineLvl w:val="0"/>
    </w:pPr>
    <w:rPr>
      <w:rFonts w:asciiTheme="majorHAnsi" w:eastAsiaTheme="majorEastAsia" w:hAnsiTheme="majorHAnsi" w:cstheme="majorBidi"/>
      <w:b/>
      <w:color w:val="2A2A2A" w:themeColor="text2"/>
      <w:sz w:val="11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320"/>
      <w:contextualSpacing/>
      <w:outlineLvl w:val="2"/>
    </w:pPr>
    <w:rPr>
      <w:rFonts w:asciiTheme="majorHAnsi" w:eastAsiaTheme="majorEastAsia" w:hAnsiTheme="majorHAnsi" w:cstheme="majorBidi"/>
      <w:b/>
      <w:color w:val="2A2A2A" w:themeColor="text2"/>
      <w:sz w:val="36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20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  <w:sz w:val="36"/>
      <w:szCs w:val="22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  <w:szCs w:val="22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  <w:szCs w:val="22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/>
      <w:contextualSpacing/>
      <w:outlineLvl w:val="6"/>
    </w:pPr>
    <w:rPr>
      <w:rFonts w:asciiTheme="majorHAnsi" w:eastAsiaTheme="majorEastAsia" w:hAnsiTheme="majorHAnsi" w:cstheme="majorBidi"/>
      <w:b/>
      <w:iCs/>
      <w:color w:val="2A2A2A" w:themeColor="text2"/>
      <w:sz w:val="32"/>
      <w:szCs w:val="22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32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eastAsiaTheme="minorHAnsi" w:hAnsiTheme="minorHAnsi" w:cstheme="minorBidi"/>
      <w:b/>
      <w:color w:val="2A2A2A" w:themeColor="text2"/>
      <w:sz w:val="46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 w:line="312" w:lineRule="auto"/>
    </w:pPr>
    <w:rPr>
      <w:rFonts w:asciiTheme="minorHAnsi" w:eastAsiaTheme="minorHAnsi" w:hAnsiTheme="minorHAnsi" w:cstheme="minorBidi"/>
      <w:color w:val="2A2A2A" w:themeColor="text2"/>
      <w:sz w:val="22"/>
      <w:szCs w:val="22"/>
      <w:lang w:eastAsia="ja-JP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 w:line="312" w:lineRule="auto"/>
      <w:contextualSpacing/>
    </w:pPr>
    <w:rPr>
      <w:rFonts w:asciiTheme="minorHAnsi" w:eastAsiaTheme="minorHAnsi" w:hAnsiTheme="minorHAnsi" w:cstheme="minorBidi"/>
      <w:b/>
      <w:iCs/>
      <w:color w:val="2A2A2A" w:themeColor="text2"/>
      <w:sz w:val="56"/>
      <w:szCs w:val="22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312" w:lineRule="auto"/>
      <w:contextualSpacing/>
    </w:pPr>
    <w:rPr>
      <w:rFonts w:asciiTheme="minorHAnsi" w:eastAsiaTheme="minorHAnsi" w:hAnsiTheme="minorHAnsi" w:cstheme="minorBidi"/>
      <w:i/>
      <w:iCs/>
      <w:color w:val="2A2A2A" w:themeColor="text2"/>
      <w:sz w:val="22"/>
      <w:szCs w:val="18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/>
      <w:contextualSpacing/>
    </w:pPr>
    <w:rPr>
      <w:rFonts w:asciiTheme="majorHAnsi" w:eastAsiaTheme="majorEastAsia" w:hAnsiTheme="majorHAnsi" w:cstheme="majorBidi"/>
      <w:b/>
      <w:color w:val="2A2A2A" w:themeColor="text2"/>
      <w:kern w:val="28"/>
      <w:sz w:val="140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/>
      <w:contextualSpacing/>
    </w:pPr>
    <w:rPr>
      <w:rFonts w:asciiTheme="minorHAnsi" w:eastAsiaTheme="minorEastAsia" w:hAnsiTheme="minorHAnsi" w:cstheme="minorBidi"/>
      <w:b/>
      <w:color w:val="E09B3B" w:themeColor="accent1"/>
      <w:sz w:val="56"/>
      <w:szCs w:val="22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 w:line="312" w:lineRule="auto"/>
      <w:contextualSpacing/>
    </w:pPr>
    <w:rPr>
      <w:rFonts w:asciiTheme="minorHAnsi" w:eastAsiaTheme="minorHAnsi" w:hAnsiTheme="minorHAnsi" w:cstheme="minorBidi"/>
      <w:iCs/>
      <w:color w:val="2A2A2A" w:themeColor="text2"/>
      <w:sz w:val="60"/>
      <w:szCs w:val="22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rPr>
      <w:rFonts w:asciiTheme="minorHAnsi" w:eastAsiaTheme="minorHAnsi" w:hAnsiTheme="minorHAnsi" w:cstheme="minorBidi"/>
      <w:color w:val="2A2A2A" w:themeColor="text2"/>
      <w:sz w:val="22"/>
      <w:szCs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 w:line="312" w:lineRule="auto"/>
    </w:pPr>
    <w:rPr>
      <w:rFonts w:asciiTheme="minorHAnsi" w:eastAsiaTheme="minorHAnsi" w:hAnsiTheme="minorHAnsi" w:cstheme="minorBidi"/>
      <w:color w:val="2A2A2A" w:themeColor="text2"/>
      <w:sz w:val="22"/>
      <w:szCs w:val="22"/>
      <w:lang w:eastAsia="ja-JP"/>
    </w:rPr>
  </w:style>
  <w:style w:type="paragraph" w:styleId="BlockText">
    <w:name w:val="Block Text"/>
    <w:basedOn w:val="Normal"/>
    <w:uiPriority w:val="31"/>
    <w:unhideWhenUsed/>
    <w:pPr>
      <w:spacing w:before="360" w:after="360" w:line="312" w:lineRule="auto"/>
    </w:pPr>
    <w:rPr>
      <w:rFonts w:asciiTheme="minorHAnsi" w:eastAsiaTheme="minorEastAsia" w:hAnsiTheme="minorHAnsi" w:cstheme="minorBidi"/>
      <w:iCs/>
      <w:color w:val="3E3E3E" w:themeColor="text2" w:themeTint="E6"/>
      <w:sz w:val="28"/>
      <w:szCs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206966"/>
    <w:rPr>
      <w:color w:val="847B9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9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53C4"/>
    <w:rPr>
      <w:color w:val="487B97" w:themeColor="followedHyperlink"/>
      <w:u w:val="single"/>
    </w:rPr>
  </w:style>
  <w:style w:type="character" w:customStyle="1" w:styleId="topic-highlight">
    <w:name w:val="topic-highlight"/>
    <w:basedOn w:val="DefaultParagraphFont"/>
    <w:rsid w:val="006769DD"/>
  </w:style>
  <w:style w:type="character" w:customStyle="1" w:styleId="apple-converted-space">
    <w:name w:val="apple-converted-space"/>
    <w:basedOn w:val="DefaultParagraphFont"/>
    <w:rsid w:val="006769DD"/>
  </w:style>
  <w:style w:type="paragraph" w:styleId="ListParagraph">
    <w:name w:val="List Paragraph"/>
    <w:basedOn w:val="Normal"/>
    <w:uiPriority w:val="34"/>
    <w:unhideWhenUsed/>
    <w:qFormat/>
    <w:rsid w:val="007D7287"/>
    <w:pPr>
      <w:spacing w:after="200" w:line="312" w:lineRule="auto"/>
      <w:ind w:left="720"/>
      <w:contextualSpacing/>
    </w:pPr>
    <w:rPr>
      <w:rFonts w:asciiTheme="minorHAnsi" w:eastAsiaTheme="minorHAnsi" w:hAnsiTheme="minorHAnsi" w:cstheme="minorBidi"/>
      <w:color w:val="2A2A2A" w:themeColor="text2"/>
      <w:sz w:val="22"/>
      <w:szCs w:val="22"/>
      <w:lang w:eastAsia="ja-JP"/>
    </w:rPr>
  </w:style>
  <w:style w:type="table" w:styleId="PlainTable3">
    <w:name w:val="Plain Table 3"/>
    <w:basedOn w:val="TableNormal"/>
    <w:uiPriority w:val="43"/>
    <w:rsid w:val="00AC7A8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AC7A8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C7A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AC7A8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3">
    <w:name w:val="Grid Table 1 Light Accent 3"/>
    <w:basedOn w:val="TableNormal"/>
    <w:uiPriority w:val="46"/>
    <w:rsid w:val="00AC7A8D"/>
    <w:pPr>
      <w:spacing w:after="0" w:line="240" w:lineRule="auto"/>
    </w:pPr>
    <w:tblPr>
      <w:tblStyleRowBandSize w:val="1"/>
      <w:tblStyleColBandSize w:val="1"/>
      <w:tblBorders>
        <w:top w:val="single" w:sz="4" w:space="0" w:color="CDCAD5" w:themeColor="accent3" w:themeTint="66"/>
        <w:left w:val="single" w:sz="4" w:space="0" w:color="CDCAD5" w:themeColor="accent3" w:themeTint="66"/>
        <w:bottom w:val="single" w:sz="4" w:space="0" w:color="CDCAD5" w:themeColor="accent3" w:themeTint="66"/>
        <w:right w:val="single" w:sz="4" w:space="0" w:color="CDCAD5" w:themeColor="accent3" w:themeTint="66"/>
        <w:insideH w:val="single" w:sz="4" w:space="0" w:color="CDCAD5" w:themeColor="accent3" w:themeTint="66"/>
        <w:insideV w:val="single" w:sz="4" w:space="0" w:color="CDCA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5AF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AF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C7A8D"/>
    <w:pPr>
      <w:spacing w:after="0" w:line="240" w:lineRule="auto"/>
    </w:pPr>
    <w:tblPr>
      <w:tblStyleRowBandSize w:val="1"/>
      <w:tblStyleColBandSize w:val="1"/>
      <w:tblBorders>
        <w:top w:val="single" w:sz="4" w:space="0" w:color="F2D6B0" w:themeColor="accent1" w:themeTint="66"/>
        <w:left w:val="single" w:sz="4" w:space="0" w:color="F2D6B0" w:themeColor="accent1" w:themeTint="66"/>
        <w:bottom w:val="single" w:sz="4" w:space="0" w:color="F2D6B0" w:themeColor="accent1" w:themeTint="66"/>
        <w:right w:val="single" w:sz="4" w:space="0" w:color="F2D6B0" w:themeColor="accent1" w:themeTint="66"/>
        <w:insideH w:val="single" w:sz="4" w:space="0" w:color="F2D6B0" w:themeColor="accent1" w:themeTint="66"/>
        <w:insideV w:val="single" w:sz="4" w:space="0" w:color="F2D6B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CC28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CC28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C7A8D"/>
    <w:pPr>
      <w:spacing w:after="0" w:line="240" w:lineRule="auto"/>
    </w:pPr>
    <w:tblPr>
      <w:tblStyleRowBandSize w:val="1"/>
      <w:tblStyleColBandSize w:val="1"/>
      <w:tblBorders>
        <w:top w:val="single" w:sz="4" w:space="0" w:color="EFC0C0" w:themeColor="accent4" w:themeTint="66"/>
        <w:left w:val="single" w:sz="4" w:space="0" w:color="EFC0C0" w:themeColor="accent4" w:themeTint="66"/>
        <w:bottom w:val="single" w:sz="4" w:space="0" w:color="EFC0C0" w:themeColor="accent4" w:themeTint="66"/>
        <w:right w:val="single" w:sz="4" w:space="0" w:color="EFC0C0" w:themeColor="accent4" w:themeTint="66"/>
        <w:insideH w:val="single" w:sz="4" w:space="0" w:color="EFC0C0" w:themeColor="accent4" w:themeTint="66"/>
        <w:insideV w:val="single" w:sz="4" w:space="0" w:color="EFC0C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8A1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A1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C7A8D"/>
    <w:pPr>
      <w:spacing w:after="0" w:line="240" w:lineRule="auto"/>
    </w:pPr>
    <w:tblPr>
      <w:tblStyleRowBandSize w:val="1"/>
      <w:tblStyleColBandSize w:val="1"/>
      <w:tblBorders>
        <w:top w:val="single" w:sz="4" w:space="0" w:color="99DDD2" w:themeColor="accent5" w:themeTint="66"/>
        <w:left w:val="single" w:sz="4" w:space="0" w:color="99DDD2" w:themeColor="accent5" w:themeTint="66"/>
        <w:bottom w:val="single" w:sz="4" w:space="0" w:color="99DDD2" w:themeColor="accent5" w:themeTint="66"/>
        <w:right w:val="single" w:sz="4" w:space="0" w:color="99DDD2" w:themeColor="accent5" w:themeTint="66"/>
        <w:insideH w:val="single" w:sz="4" w:space="0" w:color="99DDD2" w:themeColor="accent5" w:themeTint="66"/>
        <w:insideV w:val="single" w:sz="4" w:space="0" w:color="99DD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6CBB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CBB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C7A8D"/>
    <w:pPr>
      <w:spacing w:after="0" w:line="240" w:lineRule="auto"/>
    </w:pPr>
    <w:tblPr>
      <w:tblStyleRowBandSize w:val="1"/>
      <w:tblStyleColBandSize w:val="1"/>
      <w:tblBorders>
        <w:top w:val="single" w:sz="4" w:space="0" w:color="B1CBDA" w:themeColor="accent2" w:themeTint="66"/>
        <w:left w:val="single" w:sz="4" w:space="0" w:color="B1CBDA" w:themeColor="accent2" w:themeTint="66"/>
        <w:bottom w:val="single" w:sz="4" w:space="0" w:color="B1CBDA" w:themeColor="accent2" w:themeTint="66"/>
        <w:right w:val="single" w:sz="4" w:space="0" w:color="B1CBDA" w:themeColor="accent2" w:themeTint="66"/>
        <w:insideH w:val="single" w:sz="4" w:space="0" w:color="B1CBDA" w:themeColor="accent2" w:themeTint="66"/>
        <w:insideV w:val="single" w:sz="4" w:space="0" w:color="B1CBD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AB1C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B1C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AC7A8D"/>
    <w:pPr>
      <w:spacing w:after="0" w:line="240" w:lineRule="auto"/>
    </w:pPr>
    <w:tblPr>
      <w:tblStyleRowBandSize w:val="1"/>
      <w:tblStyleColBandSize w:val="1"/>
      <w:tblBorders>
        <w:top w:val="single" w:sz="2" w:space="0" w:color="8AB1C7" w:themeColor="accent2" w:themeTint="99"/>
        <w:bottom w:val="single" w:sz="2" w:space="0" w:color="8AB1C7" w:themeColor="accent2" w:themeTint="99"/>
        <w:insideH w:val="single" w:sz="2" w:space="0" w:color="8AB1C7" w:themeColor="accent2" w:themeTint="99"/>
        <w:insideV w:val="single" w:sz="2" w:space="0" w:color="8AB1C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B1C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B1C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5EC" w:themeFill="accent2" w:themeFillTint="33"/>
      </w:tcPr>
    </w:tblStylePr>
    <w:tblStylePr w:type="band1Horz">
      <w:tblPr/>
      <w:tcPr>
        <w:shd w:val="clear" w:color="auto" w:fill="D7E5EC" w:themeFill="accent2" w:themeFillTint="33"/>
      </w:tcPr>
    </w:tblStylePr>
  </w:style>
  <w:style w:type="table" w:styleId="GridTable3">
    <w:name w:val="Grid Table 3"/>
    <w:basedOn w:val="TableNormal"/>
    <w:uiPriority w:val="48"/>
    <w:rsid w:val="00AC7A8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">
    <w:name w:val="Grid Table 4"/>
    <w:basedOn w:val="TableNormal"/>
    <w:uiPriority w:val="49"/>
    <w:rsid w:val="00B7286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5">
    <w:name w:val="Grid Table 5 Dark Accent 5"/>
    <w:basedOn w:val="TableNormal"/>
    <w:uiPriority w:val="50"/>
    <w:rsid w:val="00B728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EE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807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807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807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8073" w:themeFill="accent5"/>
      </w:tcPr>
    </w:tblStylePr>
    <w:tblStylePr w:type="band1Vert">
      <w:tblPr/>
      <w:tcPr>
        <w:shd w:val="clear" w:color="auto" w:fill="99DDD2" w:themeFill="accent5" w:themeFillTint="66"/>
      </w:tcPr>
    </w:tblStylePr>
    <w:tblStylePr w:type="band1Horz">
      <w:tblPr/>
      <w:tcPr>
        <w:shd w:val="clear" w:color="auto" w:fill="99DDD2" w:themeFill="accent5" w:themeFillTint="66"/>
      </w:tcPr>
    </w:tblStylePr>
  </w:style>
  <w:style w:type="table" w:styleId="GridTable6Colorful-Accent2">
    <w:name w:val="Grid Table 6 Colorful Accent 2"/>
    <w:basedOn w:val="TableNormal"/>
    <w:uiPriority w:val="51"/>
    <w:rsid w:val="006E5101"/>
    <w:pPr>
      <w:spacing w:after="0" w:line="240" w:lineRule="auto"/>
    </w:pPr>
    <w:rPr>
      <w:color w:val="365B71" w:themeColor="accent2" w:themeShade="BF"/>
    </w:rPr>
    <w:tblPr>
      <w:tblStyleRowBandSize w:val="1"/>
      <w:tblStyleColBandSize w:val="1"/>
      <w:tblBorders>
        <w:top w:val="single" w:sz="4" w:space="0" w:color="8AB1C7" w:themeColor="accent2" w:themeTint="99"/>
        <w:left w:val="single" w:sz="4" w:space="0" w:color="8AB1C7" w:themeColor="accent2" w:themeTint="99"/>
        <w:bottom w:val="single" w:sz="4" w:space="0" w:color="8AB1C7" w:themeColor="accent2" w:themeTint="99"/>
        <w:right w:val="single" w:sz="4" w:space="0" w:color="8AB1C7" w:themeColor="accent2" w:themeTint="99"/>
        <w:insideH w:val="single" w:sz="4" w:space="0" w:color="8AB1C7" w:themeColor="accent2" w:themeTint="99"/>
        <w:insideV w:val="single" w:sz="4" w:space="0" w:color="8AB1C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AB1C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B1C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5EC" w:themeFill="accent2" w:themeFillTint="33"/>
      </w:tcPr>
    </w:tblStylePr>
    <w:tblStylePr w:type="band1Horz">
      <w:tblPr/>
      <w:tcPr>
        <w:shd w:val="clear" w:color="auto" w:fill="D7E5EC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topics/social-sciences/sociabil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aily.com/releases/2020/04/200429144925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h\Downloads\Relationship%20between%20extraversion%20and%20depression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Relationship between extraversion and depression</Template>
  <TotalTime>2</TotalTime>
  <Pages>6</Pages>
  <Words>1955</Words>
  <Characters>11146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sarahdavey.yoga@gmail.com</cp:lastModifiedBy>
  <cp:revision>1</cp:revision>
  <dcterms:created xsi:type="dcterms:W3CDTF">2020-08-24T04:27:00Z</dcterms:created>
  <dcterms:modified xsi:type="dcterms:W3CDTF">2020-08-24T04:29:00Z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