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D3" w:rsidRDefault="00777A5E" w:rsidP="00962ED3">
      <w:pPr>
        <w:spacing w:after="200" w:line="276" w:lineRule="auto"/>
        <w:rPr>
          <w:rFonts w:ascii="Arial" w:hAnsi="Arial" w:cs="Arial"/>
        </w:rPr>
      </w:pPr>
      <w:r w:rsidRPr="00777A5E">
        <w:rPr>
          <w:rFonts w:ascii="Arial" w:hAnsi="Arial" w:cs="Arial"/>
          <w:b/>
          <w:noProof/>
          <w:color w:val="FF0000"/>
          <w:sz w:val="44"/>
          <w:szCs w:val="44"/>
          <w:lang w:eastAsia="en-AU"/>
        </w:rPr>
        <w:t>MARKING GUIDE</w:t>
      </w: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PSYCHOLOGY ATAR 20</w:t>
      </w:r>
      <w:r w:rsidR="00BE0385">
        <w:rPr>
          <w:rFonts w:ascii="Arial" w:hAnsi="Arial" w:cs="Arial"/>
          <w:b/>
          <w:sz w:val="32"/>
          <w:szCs w:val="32"/>
        </w:rPr>
        <w:t>22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BE0385" w:rsidRDefault="00BE0385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7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Developmental </w:t>
      </w:r>
      <w:r w:rsidR="00BE0385">
        <w:rPr>
          <w:rFonts w:ascii="Arial" w:hAnsi="Arial" w:cs="Arial"/>
          <w:b/>
          <w:sz w:val="32"/>
          <w:szCs w:val="32"/>
        </w:rPr>
        <w:t xml:space="preserve">and Social </w:t>
      </w:r>
      <w:r>
        <w:rPr>
          <w:rFonts w:ascii="Arial" w:hAnsi="Arial" w:cs="Arial"/>
          <w:b/>
          <w:sz w:val="32"/>
          <w:szCs w:val="32"/>
        </w:rPr>
        <w:t>Psychology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Topic test</w:t>
      </w:r>
    </w:p>
    <w:p w:rsidR="00962ED3" w:rsidRDefault="00F24196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(Weighting:  7.5</w:t>
      </w:r>
      <w:r w:rsidR="00962ED3">
        <w:rPr>
          <w:rFonts w:ascii="Arial" w:hAnsi="Arial" w:cs="Arial"/>
          <w:b/>
          <w:sz w:val="28"/>
          <w:szCs w:val="28"/>
        </w:rPr>
        <w:t>%)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 minutes</w:t>
      </w:r>
    </w:p>
    <w:p w:rsidR="00962ED3" w:rsidRDefault="00962ED3" w:rsidP="00962ED3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962ED3" w:rsidTr="00962ED3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Developmental </w:t>
            </w:r>
            <w:proofErr w:type="spellStart"/>
            <w:r>
              <w:rPr>
                <w:rFonts w:ascii="Arial" w:eastAsia="Times New Roman" w:hAnsi="Arial" w:cs="Arial"/>
                <w:bCs/>
              </w:rPr>
              <w:t>Psyc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Social </w:t>
            </w:r>
            <w:proofErr w:type="spellStart"/>
            <w:r>
              <w:rPr>
                <w:rFonts w:ascii="Arial" w:eastAsia="Times New Roman" w:hAnsi="Arial" w:cs="Arial"/>
                <w:bCs/>
              </w:rPr>
              <w:t>Psyc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29532E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24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4C028B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Extended Response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EB5B0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17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 MARKS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EB5B0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61</w:t>
            </w:r>
            <w:bookmarkStart w:id="0" w:name="_GoBack"/>
            <w:bookmarkEnd w:id="0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62ED3" w:rsidRDefault="00962ED3" w:rsidP="00962ED3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b/>
          <w:bCs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C26F85" w:rsidRDefault="00C26F85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29532E" w:rsidRPr="0029532E" w:rsidRDefault="0029532E" w:rsidP="0029532E">
      <w:pPr>
        <w:spacing w:after="100" w:afterAutospacing="1" w:line="240" w:lineRule="auto"/>
        <w:rPr>
          <w:rFonts w:cstheme="minorHAnsi"/>
          <w:b/>
          <w:sz w:val="28"/>
        </w:rPr>
      </w:pPr>
      <w:r w:rsidRPr="0029532E">
        <w:rPr>
          <w:rFonts w:cstheme="minorHAnsi"/>
          <w:b/>
          <w:sz w:val="28"/>
        </w:rPr>
        <w:lastRenderedPageBreak/>
        <w:t>Part 1 – Developmental Psychology (20 Marks)</w:t>
      </w:r>
    </w:p>
    <w:p w:rsidR="00AE51E8" w:rsidRPr="00AE51E8" w:rsidRDefault="00AE51E8" w:rsidP="00AE51E8">
      <w:pPr>
        <w:pStyle w:val="ListParagraph"/>
        <w:numPr>
          <w:ilvl w:val="0"/>
          <w:numId w:val="6"/>
        </w:numPr>
        <w:spacing w:after="100" w:afterAutospacing="1" w:line="240" w:lineRule="auto"/>
        <w:ind w:left="360"/>
        <w:rPr>
          <w:rFonts w:cstheme="minorHAnsi"/>
        </w:rPr>
      </w:pPr>
      <w:r w:rsidRPr="00AE51E8">
        <w:rPr>
          <w:rFonts w:cstheme="minorHAnsi"/>
        </w:rPr>
        <w:t xml:space="preserve">Give </w:t>
      </w:r>
      <w:r w:rsidR="00BE0385">
        <w:rPr>
          <w:rFonts w:cstheme="minorHAnsi"/>
        </w:rPr>
        <w:t>two</w:t>
      </w:r>
      <w:r w:rsidR="00DC35DB" w:rsidRPr="00AE51E8">
        <w:rPr>
          <w:rFonts w:cstheme="minorHAnsi"/>
        </w:rPr>
        <w:t xml:space="preserve"> </w:t>
      </w:r>
      <w:r w:rsidR="005C54AD">
        <w:rPr>
          <w:rFonts w:cstheme="minorHAnsi"/>
        </w:rPr>
        <w:t xml:space="preserve">specific </w:t>
      </w:r>
      <w:r w:rsidR="00DC35DB" w:rsidRPr="00AE51E8">
        <w:rPr>
          <w:rFonts w:cstheme="minorHAnsi"/>
        </w:rPr>
        <w:t>examples of</w:t>
      </w:r>
      <w:r w:rsidR="00BA2A4C" w:rsidRPr="00AE51E8">
        <w:rPr>
          <w:rFonts w:cstheme="minorHAnsi"/>
        </w:rPr>
        <w:t xml:space="preserve"> how an individual</w:t>
      </w:r>
      <w:r w:rsidR="00D933A7" w:rsidRPr="00AE51E8">
        <w:rPr>
          <w:rFonts w:cstheme="minorHAnsi"/>
        </w:rPr>
        <w:t>’</w:t>
      </w:r>
      <w:r w:rsidR="000A6C7C">
        <w:rPr>
          <w:rFonts w:cstheme="minorHAnsi"/>
        </w:rPr>
        <w:t>s physical development could</w:t>
      </w:r>
      <w:r w:rsidR="00BA2A4C" w:rsidRPr="00AE51E8">
        <w:rPr>
          <w:rFonts w:cstheme="minorHAnsi"/>
        </w:rPr>
        <w:t xml:space="preserve"> influence their social </w:t>
      </w:r>
      <w:r w:rsidR="00203BAC" w:rsidRPr="00AE51E8">
        <w:rPr>
          <w:rFonts w:cstheme="minorHAnsi"/>
        </w:rPr>
        <w:t xml:space="preserve">and emotional </w:t>
      </w:r>
      <w:r w:rsidR="0005588C" w:rsidRPr="00AE51E8">
        <w:rPr>
          <w:rFonts w:cstheme="minorHAnsi"/>
        </w:rPr>
        <w:t>de</w:t>
      </w:r>
      <w:r w:rsidR="000A33D1" w:rsidRPr="00AE51E8">
        <w:rPr>
          <w:rFonts w:cstheme="minorHAnsi"/>
        </w:rPr>
        <w:t xml:space="preserve">velopment in adolescence. </w:t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6E1107" w:rsidRPr="00AE51E8">
        <w:rPr>
          <w:rFonts w:cstheme="minorHAnsi"/>
        </w:rPr>
        <w:tab/>
      </w:r>
      <w:r w:rsidR="00FC0658" w:rsidRPr="00AE51E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03BAC" w:rsidRPr="00AE51E8">
        <w:rPr>
          <w:rFonts w:cstheme="minorHAnsi"/>
        </w:rPr>
        <w:t>(</w:t>
      </w:r>
      <w:r w:rsidR="00BE0385">
        <w:rPr>
          <w:rFonts w:cstheme="minorHAnsi"/>
        </w:rPr>
        <w:t>4</w:t>
      </w:r>
      <w:r w:rsidR="00BA2A4C" w:rsidRPr="00AE51E8">
        <w:rPr>
          <w:rFonts w:cstheme="minorHAnsi"/>
        </w:rPr>
        <w:t xml:space="preserve"> </w:t>
      </w:r>
      <w:r w:rsidR="008A429D" w:rsidRPr="00AE51E8">
        <w:rPr>
          <w:rFonts w:cstheme="minorHAnsi"/>
        </w:rPr>
        <w:t>marks</w:t>
      </w:r>
      <w:r w:rsidR="00203BAC" w:rsidRPr="00AE51E8">
        <w:rPr>
          <w:rFonts w:cstheme="minorHAnsi"/>
        </w:rPr>
        <w:t>)</w:t>
      </w:r>
      <w:r w:rsidR="00FC0658" w:rsidRPr="00AE51E8">
        <w:rPr>
          <w:rFonts w:cstheme="minorHAnsi"/>
        </w:rPr>
        <w:t xml:space="preserve"> </w:t>
      </w:r>
    </w:p>
    <w:p w:rsidR="0069497C" w:rsidRPr="0069497C" w:rsidRDefault="0069497C" w:rsidP="0069497C">
      <w:pPr>
        <w:pStyle w:val="ListParagraph"/>
        <w:numPr>
          <w:ilvl w:val="0"/>
          <w:numId w:val="15"/>
        </w:numPr>
        <w:rPr>
          <w:color w:val="FF0000"/>
        </w:rPr>
      </w:pPr>
      <w:r w:rsidRPr="0069497C">
        <w:rPr>
          <w:b/>
          <w:color w:val="FF0000"/>
        </w:rPr>
        <w:t>*note – must be during adolescence, must be a scenario</w:t>
      </w:r>
      <w:r>
        <w:rPr>
          <w:b/>
          <w:color w:val="FF0000"/>
        </w:rPr>
        <w:t>, must relate to social and emotional outcomes</w:t>
      </w:r>
      <w:r w:rsidRPr="0069497C">
        <w:rPr>
          <w:color w:val="FF0000"/>
        </w:rPr>
        <w:tab/>
      </w:r>
      <w:r w:rsidRPr="0069497C">
        <w:rPr>
          <w:color w:val="FF0000"/>
        </w:rPr>
        <w:tab/>
      </w:r>
    </w:p>
    <w:p w:rsidR="0069497C" w:rsidRDefault="0069497C" w:rsidP="0069497C">
      <w:pPr>
        <w:pStyle w:val="ListParagraph"/>
        <w:spacing w:line="360" w:lineRule="auto"/>
        <w:rPr>
          <w:b/>
          <w:color w:val="FF0000"/>
        </w:rPr>
      </w:pPr>
      <w:r w:rsidRPr="0069497C">
        <w:rPr>
          <w:b/>
          <w:color w:val="FF0000"/>
        </w:rPr>
        <w:t xml:space="preserve">Examples: </w:t>
      </w:r>
    </w:p>
    <w:p w:rsidR="0069497C" w:rsidRPr="0069497C" w:rsidRDefault="0069497C" w:rsidP="0069497C">
      <w:pPr>
        <w:pStyle w:val="ListParagraph"/>
        <w:numPr>
          <w:ilvl w:val="0"/>
          <w:numId w:val="15"/>
        </w:numPr>
        <w:spacing w:line="360" w:lineRule="auto"/>
        <w:rPr>
          <w:b/>
          <w:color w:val="FF0000"/>
        </w:rPr>
      </w:pPr>
      <w:r>
        <w:rPr>
          <w:b/>
          <w:color w:val="FF0000"/>
        </w:rPr>
        <w:t>Acne – embarrassed, less social contact, withdrawn</w:t>
      </w:r>
    </w:p>
    <w:p w:rsidR="0069497C" w:rsidRPr="0069497C" w:rsidRDefault="0069497C" w:rsidP="0069497C">
      <w:pPr>
        <w:pStyle w:val="ListParagraph"/>
        <w:numPr>
          <w:ilvl w:val="0"/>
          <w:numId w:val="15"/>
        </w:numPr>
        <w:spacing w:line="360" w:lineRule="auto"/>
        <w:rPr>
          <w:b/>
          <w:color w:val="FF0000"/>
        </w:rPr>
      </w:pPr>
      <w:r w:rsidRPr="0069497C">
        <w:rPr>
          <w:b/>
          <w:color w:val="FF0000"/>
        </w:rPr>
        <w:t xml:space="preserve">Short </w:t>
      </w:r>
      <w:r>
        <w:rPr>
          <w:b/>
          <w:color w:val="FF0000"/>
        </w:rPr>
        <w:t>person</w:t>
      </w:r>
      <w:r w:rsidRPr="0069497C">
        <w:rPr>
          <w:b/>
          <w:color w:val="FF0000"/>
        </w:rPr>
        <w:t xml:space="preserve"> – picked on, bullied, retreats into ones</w:t>
      </w:r>
      <w:r>
        <w:rPr>
          <w:b/>
          <w:color w:val="FF0000"/>
        </w:rPr>
        <w:t>elf</w:t>
      </w:r>
    </w:p>
    <w:p w:rsidR="0069497C" w:rsidRDefault="0069497C" w:rsidP="0069497C">
      <w:pPr>
        <w:pStyle w:val="ListParagraph"/>
        <w:numPr>
          <w:ilvl w:val="0"/>
          <w:numId w:val="15"/>
        </w:numPr>
        <w:spacing w:line="360" w:lineRule="auto"/>
        <w:rPr>
          <w:b/>
          <w:color w:val="FF0000"/>
        </w:rPr>
      </w:pPr>
      <w:r w:rsidRPr="0069497C">
        <w:rPr>
          <w:b/>
          <w:color w:val="FF0000"/>
        </w:rPr>
        <w:t>Overweight</w:t>
      </w:r>
      <w:r>
        <w:rPr>
          <w:b/>
          <w:color w:val="FF0000"/>
        </w:rPr>
        <w:t xml:space="preserve"> </w:t>
      </w:r>
      <w:r w:rsidRPr="0069497C">
        <w:rPr>
          <w:b/>
          <w:color w:val="FF0000"/>
        </w:rPr>
        <w:t xml:space="preserve">– </w:t>
      </w:r>
      <w:proofErr w:type="spellStart"/>
      <w:r w:rsidRPr="0069497C">
        <w:rPr>
          <w:b/>
          <w:color w:val="FF0000"/>
        </w:rPr>
        <w:t>self conscious</w:t>
      </w:r>
      <w:proofErr w:type="spellEnd"/>
      <w:r w:rsidRPr="0069497C">
        <w:rPr>
          <w:b/>
          <w:color w:val="FF0000"/>
        </w:rPr>
        <w:t xml:space="preserve">, low </w:t>
      </w:r>
      <w:proofErr w:type="spellStart"/>
      <w:proofErr w:type="gramStart"/>
      <w:r w:rsidRPr="0069497C">
        <w:rPr>
          <w:b/>
          <w:color w:val="FF0000"/>
        </w:rPr>
        <w:t>self esteem</w:t>
      </w:r>
      <w:proofErr w:type="spellEnd"/>
      <w:proofErr w:type="gramEnd"/>
      <w:r w:rsidRPr="0069497C">
        <w:rPr>
          <w:b/>
          <w:color w:val="FF0000"/>
        </w:rPr>
        <w:t xml:space="preserve">, poor </w:t>
      </w:r>
      <w:proofErr w:type="spellStart"/>
      <w:r w:rsidRPr="0069497C">
        <w:rPr>
          <w:b/>
          <w:color w:val="FF0000"/>
        </w:rPr>
        <w:t>self identity</w:t>
      </w:r>
      <w:proofErr w:type="spellEnd"/>
      <w:r w:rsidRPr="0069497C">
        <w:rPr>
          <w:b/>
          <w:color w:val="FF0000"/>
        </w:rPr>
        <w:t>.</w:t>
      </w:r>
    </w:p>
    <w:p w:rsidR="0069497C" w:rsidRPr="0069497C" w:rsidRDefault="0069497C" w:rsidP="0069497C">
      <w:pPr>
        <w:pStyle w:val="ListParagraph"/>
        <w:numPr>
          <w:ilvl w:val="0"/>
          <w:numId w:val="15"/>
        </w:numPr>
        <w:spacing w:line="360" w:lineRule="auto"/>
        <w:rPr>
          <w:b/>
          <w:color w:val="FF0000"/>
        </w:rPr>
      </w:pPr>
      <w:r>
        <w:rPr>
          <w:b/>
          <w:color w:val="FF0000"/>
        </w:rPr>
        <w:t xml:space="preserve">Menstruation – </w:t>
      </w:r>
      <w:proofErr w:type="spellStart"/>
      <w:r>
        <w:rPr>
          <w:b/>
          <w:color w:val="FF0000"/>
        </w:rPr>
        <w:t>self conscious</w:t>
      </w:r>
      <w:proofErr w:type="spellEnd"/>
      <w:r>
        <w:rPr>
          <w:b/>
          <w:color w:val="FF0000"/>
        </w:rPr>
        <w:t>, not participating in same activities, withdrawn</w:t>
      </w:r>
    </w:p>
    <w:p w:rsidR="00BA2A4C" w:rsidRPr="00AE51E8" w:rsidRDefault="00415D9B" w:rsidP="00FC0658">
      <w:pPr>
        <w:pStyle w:val="ListParagraph"/>
        <w:numPr>
          <w:ilvl w:val="0"/>
          <w:numId w:val="6"/>
        </w:numPr>
        <w:ind w:left="450" w:hanging="450"/>
        <w:rPr>
          <w:rFonts w:cstheme="minorHAnsi"/>
        </w:rPr>
      </w:pPr>
      <w:r w:rsidRPr="00AE51E8">
        <w:rPr>
          <w:rFonts w:cstheme="minorHAnsi"/>
        </w:rPr>
        <w:t>Name</w:t>
      </w:r>
      <w:r w:rsidR="005632DD" w:rsidRPr="00AE51E8">
        <w:rPr>
          <w:rFonts w:cstheme="minorHAnsi"/>
        </w:rPr>
        <w:t xml:space="preserve"> one quantitative and one qualitative </w:t>
      </w:r>
      <w:r w:rsidR="00AE51E8" w:rsidRPr="00AE51E8">
        <w:rPr>
          <w:rFonts w:cstheme="minorHAnsi"/>
        </w:rPr>
        <w:t xml:space="preserve">method of data collection that we can use to </w:t>
      </w:r>
      <w:r w:rsidR="005632DD" w:rsidRPr="00AE51E8">
        <w:rPr>
          <w:rFonts w:cstheme="minorHAnsi"/>
        </w:rPr>
        <w:t>measure deve</w:t>
      </w:r>
      <w:r w:rsidR="0005588C" w:rsidRPr="00AE51E8">
        <w:rPr>
          <w:rFonts w:cstheme="minorHAnsi"/>
        </w:rPr>
        <w:t xml:space="preserve">lopmental change in children. </w:t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7F0588" w:rsidRP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05588C" w:rsidRPr="00AE51E8">
        <w:rPr>
          <w:rFonts w:cstheme="minorHAnsi"/>
        </w:rPr>
        <w:t>(</w:t>
      </w:r>
      <w:r w:rsidRPr="00AE51E8">
        <w:rPr>
          <w:rFonts w:cstheme="minorHAnsi"/>
        </w:rPr>
        <w:t>2</w:t>
      </w:r>
      <w:r w:rsidR="000F5467" w:rsidRPr="00AE51E8">
        <w:rPr>
          <w:rFonts w:cstheme="minorHAnsi"/>
        </w:rPr>
        <w:t xml:space="preserve"> marks</w:t>
      </w:r>
      <w:r w:rsidR="005632DD" w:rsidRPr="00AE51E8">
        <w:rPr>
          <w:rFonts w:cstheme="minorHAnsi"/>
        </w:rPr>
        <w:t>)</w:t>
      </w:r>
    </w:p>
    <w:p w:rsidR="008A429D" w:rsidRPr="00AE51E8" w:rsidRDefault="008A429D" w:rsidP="00AE51E8">
      <w:pPr>
        <w:pStyle w:val="ListParagraph"/>
        <w:ind w:hanging="360"/>
        <w:rPr>
          <w:rFonts w:cstheme="minorHAnsi"/>
        </w:rPr>
      </w:pPr>
    </w:p>
    <w:p w:rsidR="00E33ECC" w:rsidRPr="00E33ECC" w:rsidRDefault="00E33ECC" w:rsidP="00E33ECC">
      <w:pPr>
        <w:pStyle w:val="ListParagraph"/>
        <w:spacing w:line="360" w:lineRule="auto"/>
        <w:rPr>
          <w:color w:val="FF0000"/>
        </w:rPr>
      </w:pPr>
      <w:r w:rsidRPr="00E33ECC">
        <w:rPr>
          <w:b/>
          <w:color w:val="FF0000"/>
        </w:rPr>
        <w:t>Qualitative</w:t>
      </w:r>
      <w:r>
        <w:rPr>
          <w:b/>
          <w:color w:val="FF0000"/>
        </w:rPr>
        <w:t xml:space="preserve"> </w:t>
      </w:r>
      <w:r>
        <w:rPr>
          <w:color w:val="FF0000"/>
        </w:rPr>
        <w:t>-</w:t>
      </w:r>
      <w:r w:rsidRPr="00E33ECC">
        <w:rPr>
          <w:color w:val="FF0000"/>
        </w:rPr>
        <w:t xml:space="preserve"> Observations, case studies, anecdotal evidence. </w:t>
      </w:r>
    </w:p>
    <w:p w:rsidR="00E33ECC" w:rsidRPr="00E33ECC" w:rsidRDefault="00E33ECC" w:rsidP="00E33ECC">
      <w:pPr>
        <w:pStyle w:val="ListParagraph"/>
        <w:spacing w:line="360" w:lineRule="auto"/>
        <w:rPr>
          <w:color w:val="FF0000"/>
        </w:rPr>
      </w:pPr>
      <w:r w:rsidRPr="00E33ECC">
        <w:rPr>
          <w:b/>
          <w:color w:val="FF0000"/>
        </w:rPr>
        <w:t>Quantitative</w:t>
      </w:r>
      <w:r w:rsidRPr="00E33ECC">
        <w:rPr>
          <w:color w:val="FF0000"/>
        </w:rPr>
        <w:t>.  Measurements of height and weight, surveys, question</w:t>
      </w:r>
      <w:r>
        <w:rPr>
          <w:color w:val="FF0000"/>
        </w:rPr>
        <w:t>n</w:t>
      </w:r>
      <w:r w:rsidRPr="00E33ECC">
        <w:rPr>
          <w:color w:val="FF0000"/>
        </w:rPr>
        <w:t xml:space="preserve">aires, </w:t>
      </w:r>
      <w:proofErr w:type="spellStart"/>
      <w:r w:rsidRPr="00E33ECC">
        <w:rPr>
          <w:color w:val="FF0000"/>
        </w:rPr>
        <w:t>likert</w:t>
      </w:r>
      <w:proofErr w:type="spellEnd"/>
      <w:r w:rsidRPr="00E33ECC">
        <w:rPr>
          <w:color w:val="FF0000"/>
        </w:rPr>
        <w:t xml:space="preserve"> scales.</w:t>
      </w:r>
    </w:p>
    <w:p w:rsidR="006641B2" w:rsidRPr="00AE51E8" w:rsidRDefault="006641B2" w:rsidP="00FC0658">
      <w:pPr>
        <w:pStyle w:val="ListParagraph"/>
        <w:ind w:left="360" w:hanging="360"/>
        <w:rPr>
          <w:rFonts w:cstheme="minorHAnsi"/>
        </w:rPr>
      </w:pPr>
    </w:p>
    <w:p w:rsidR="006641B2" w:rsidRPr="00AE51E8" w:rsidRDefault="006932D2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t xml:space="preserve">Identify </w:t>
      </w:r>
      <w:r w:rsidR="00053F53">
        <w:rPr>
          <w:rFonts w:cstheme="minorHAnsi"/>
        </w:rPr>
        <w:t xml:space="preserve">the last stage of both </w:t>
      </w:r>
      <w:proofErr w:type="spellStart"/>
      <w:r w:rsidR="00053F53">
        <w:rPr>
          <w:rFonts w:cstheme="minorHAnsi"/>
        </w:rPr>
        <w:t>Parten’s</w:t>
      </w:r>
      <w:proofErr w:type="spellEnd"/>
      <w:r w:rsidR="00053F53">
        <w:rPr>
          <w:rFonts w:cstheme="minorHAnsi"/>
        </w:rPr>
        <w:t xml:space="preserve"> and Piaget’s stages of play. D</w:t>
      </w:r>
      <w:r w:rsidR="000A6C7C">
        <w:rPr>
          <w:rFonts w:cstheme="minorHAnsi"/>
        </w:rPr>
        <w:t xml:space="preserve">escribe the similarities between </w:t>
      </w:r>
      <w:r w:rsidR="00053F53">
        <w:rPr>
          <w:rFonts w:cstheme="minorHAnsi"/>
        </w:rPr>
        <w:t>these stages</w:t>
      </w:r>
      <w:r w:rsidR="00B919D4" w:rsidRPr="00AE51E8">
        <w:rPr>
          <w:rFonts w:cstheme="minorHAnsi"/>
        </w:rPr>
        <w:t>.</w:t>
      </w:r>
      <w:r w:rsidR="00A03136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0A6C7C">
        <w:rPr>
          <w:rFonts w:cstheme="minorHAnsi"/>
        </w:rPr>
        <w:tab/>
      </w:r>
      <w:r w:rsidR="00053F53">
        <w:rPr>
          <w:rFonts w:cstheme="minorHAnsi"/>
        </w:rPr>
        <w:tab/>
      </w:r>
      <w:r w:rsidR="00053F53">
        <w:rPr>
          <w:rFonts w:cstheme="minorHAnsi"/>
        </w:rPr>
        <w:tab/>
      </w:r>
      <w:r w:rsidRPr="00AE51E8">
        <w:rPr>
          <w:rFonts w:cstheme="minorHAnsi"/>
        </w:rPr>
        <w:t>(</w:t>
      </w:r>
      <w:r w:rsidR="00BE0385">
        <w:rPr>
          <w:rFonts w:cstheme="minorHAnsi"/>
        </w:rPr>
        <w:t>3</w:t>
      </w:r>
      <w:r w:rsidR="00A03136" w:rsidRPr="00AE51E8">
        <w:rPr>
          <w:rFonts w:cstheme="minorHAnsi"/>
        </w:rPr>
        <w:t xml:space="preserve"> marks)</w:t>
      </w:r>
    </w:p>
    <w:p w:rsidR="00B919D4" w:rsidRPr="00053F53" w:rsidRDefault="00053F53" w:rsidP="00AE51E8">
      <w:pPr>
        <w:pStyle w:val="ListParagraph"/>
        <w:spacing w:after="0" w:line="480" w:lineRule="auto"/>
        <w:ind w:left="357" w:hanging="357"/>
        <w:rPr>
          <w:rFonts w:cstheme="minorHAnsi"/>
          <w:color w:val="FF0000"/>
        </w:rPr>
      </w:pPr>
      <w:proofErr w:type="spellStart"/>
      <w:r w:rsidRPr="00053F53">
        <w:rPr>
          <w:rFonts w:cstheme="minorHAnsi"/>
          <w:color w:val="FF0000"/>
        </w:rPr>
        <w:t>Parten</w:t>
      </w:r>
      <w:proofErr w:type="spellEnd"/>
      <w:r w:rsidRPr="00053F53">
        <w:rPr>
          <w:rFonts w:cstheme="minorHAnsi"/>
          <w:color w:val="FF0000"/>
        </w:rPr>
        <w:t xml:space="preserve"> – Cooperative</w:t>
      </w:r>
      <w:r>
        <w:rPr>
          <w:rFonts w:cstheme="minorHAnsi"/>
          <w:color w:val="FF0000"/>
        </w:rPr>
        <w:t xml:space="preserve"> play</w:t>
      </w:r>
      <w:r w:rsidR="001E109A">
        <w:rPr>
          <w:rFonts w:cstheme="minorHAnsi"/>
          <w:color w:val="FF0000"/>
        </w:rPr>
        <w:t xml:space="preserve"> (1)</w:t>
      </w:r>
    </w:p>
    <w:p w:rsidR="00053F53" w:rsidRPr="00053F53" w:rsidRDefault="00053F53" w:rsidP="00AE51E8">
      <w:pPr>
        <w:pStyle w:val="ListParagraph"/>
        <w:spacing w:after="0" w:line="480" w:lineRule="auto"/>
        <w:ind w:left="357" w:hanging="357"/>
        <w:rPr>
          <w:rFonts w:cstheme="minorHAnsi"/>
          <w:color w:val="FF0000"/>
        </w:rPr>
      </w:pPr>
      <w:r w:rsidRPr="00053F53">
        <w:rPr>
          <w:rFonts w:cstheme="minorHAnsi"/>
          <w:color w:val="FF0000"/>
        </w:rPr>
        <w:t>Piaget – Play with rules</w:t>
      </w:r>
      <w:r w:rsidR="001E109A">
        <w:rPr>
          <w:rFonts w:cstheme="minorHAnsi"/>
          <w:color w:val="FF0000"/>
        </w:rPr>
        <w:t xml:space="preserve"> (1)</w:t>
      </w:r>
    </w:p>
    <w:p w:rsidR="00053F53" w:rsidRPr="00053F53" w:rsidRDefault="00053F53" w:rsidP="00053F53">
      <w:pPr>
        <w:spacing w:line="240" w:lineRule="auto"/>
        <w:rPr>
          <w:b/>
          <w:color w:val="FF0000"/>
        </w:rPr>
      </w:pPr>
      <w:r w:rsidRPr="00053F53">
        <w:rPr>
          <w:b/>
          <w:color w:val="FF0000"/>
        </w:rPr>
        <w:t>Both play with rules and cooperative play involve more concrete roles and rules which players all communicate and understand (1 mark)</w:t>
      </w:r>
    </w:p>
    <w:p w:rsidR="0029532E" w:rsidRPr="00AE51E8" w:rsidRDefault="0029532E" w:rsidP="00AE51E8">
      <w:pPr>
        <w:pStyle w:val="ListParagraph"/>
        <w:spacing w:after="0" w:line="480" w:lineRule="auto"/>
        <w:ind w:left="357" w:hanging="357"/>
        <w:rPr>
          <w:rFonts w:cstheme="minorHAnsi"/>
        </w:rPr>
      </w:pPr>
    </w:p>
    <w:p w:rsidR="00B50145" w:rsidRPr="00AE51E8" w:rsidRDefault="00B50145" w:rsidP="00B50145">
      <w:pPr>
        <w:pStyle w:val="05Sec2Examqncont"/>
        <w:numPr>
          <w:ilvl w:val="0"/>
          <w:numId w:val="6"/>
        </w:numPr>
        <w:tabs>
          <w:tab w:val="clear" w:pos="567"/>
          <w:tab w:val="clear" w:pos="9639"/>
          <w:tab w:val="left" w:pos="284"/>
          <w:tab w:val="left" w:pos="851"/>
          <w:tab w:val="right" w:pos="9923"/>
        </w:tabs>
        <w:ind w:hanging="720"/>
        <w:jc w:val="left"/>
        <w:rPr>
          <w:rFonts w:asciiTheme="minorHAnsi" w:hAnsiTheme="minorHAnsi" w:cstheme="minorHAnsi"/>
          <w:szCs w:val="24"/>
        </w:rPr>
      </w:pPr>
      <w:r w:rsidRPr="00AE51E8">
        <w:rPr>
          <w:rFonts w:asciiTheme="minorHAnsi" w:hAnsiTheme="minorHAnsi" w:cstheme="minorHAnsi"/>
          <w:color w:val="1D1D1D"/>
          <w:szCs w:val="24"/>
        </w:rPr>
        <w:t xml:space="preserve">For each of the following statements suggest whether it relates to the developmental change of physical, cognitive, </w:t>
      </w:r>
      <w:r w:rsidR="005C54AD">
        <w:rPr>
          <w:rFonts w:asciiTheme="minorHAnsi" w:hAnsiTheme="minorHAnsi" w:cstheme="minorHAnsi"/>
          <w:color w:val="1D1D1D"/>
          <w:szCs w:val="24"/>
        </w:rPr>
        <w:t>social or emotional:</w:t>
      </w:r>
      <w:r w:rsidR="005C54AD">
        <w:rPr>
          <w:rFonts w:asciiTheme="minorHAnsi" w:hAnsiTheme="minorHAnsi" w:cstheme="minorHAnsi"/>
          <w:color w:val="1D1D1D"/>
          <w:szCs w:val="24"/>
        </w:rPr>
        <w:tab/>
        <w:t>(5</w:t>
      </w:r>
      <w:r w:rsidRPr="00AE51E8">
        <w:rPr>
          <w:rFonts w:asciiTheme="minorHAnsi" w:hAnsiTheme="minorHAnsi" w:cstheme="minorHAnsi"/>
          <w:color w:val="1D1D1D"/>
          <w:szCs w:val="24"/>
        </w:rPr>
        <w:t xml:space="preserve"> marks)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reduces fear, anxiety, stress and irritability </w:t>
      </w:r>
      <w:r w:rsidRPr="00AE51E8">
        <w:rPr>
          <w:rFonts w:cstheme="minorHAnsi"/>
        </w:rPr>
        <w:t>_____</w:t>
      </w:r>
      <w:r w:rsidR="004C2270">
        <w:rPr>
          <w:rFonts w:cstheme="minorHAnsi"/>
          <w:color w:val="FF0000"/>
        </w:rPr>
        <w:t>emotional</w:t>
      </w:r>
      <w:r w:rsidRPr="00AE51E8">
        <w:rPr>
          <w:rFonts w:cstheme="minorHAnsi"/>
        </w:rPr>
        <w:t>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>Play increases calmness, resilience and adaptability and ability to deal with surprise and change</w:t>
      </w:r>
      <w:r w:rsidR="004C2270" w:rsidRPr="004C2270">
        <w:rPr>
          <w:rFonts w:cstheme="minorHAnsi"/>
          <w:color w:val="FF0000"/>
        </w:rPr>
        <w:t xml:space="preserve"> </w:t>
      </w:r>
      <w:r w:rsidR="004C2270">
        <w:rPr>
          <w:rFonts w:cstheme="minorHAnsi"/>
          <w:color w:val="FF0000"/>
        </w:rPr>
        <w:t>emotional</w:t>
      </w:r>
      <w:r w:rsidR="004C2270" w:rsidRPr="00AE51E8">
        <w:rPr>
          <w:rFonts w:cstheme="minorHAnsi"/>
        </w:rPr>
        <w:t>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allows for modelling of relationships based on inclusion rather than exclusion. </w:t>
      </w:r>
      <w:r w:rsidR="004C2270" w:rsidRPr="004C2270">
        <w:rPr>
          <w:rFonts w:cstheme="minorHAnsi"/>
          <w:color w:val="FF0000"/>
        </w:rPr>
        <w:t>social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077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increases a range of motion, agility, coordination, balance, flexibility, and fine and gross motor exploration. </w:t>
      </w:r>
      <w:r w:rsidRPr="00AE51E8">
        <w:rPr>
          <w:rFonts w:cstheme="minorHAnsi"/>
        </w:rPr>
        <w:t>_</w:t>
      </w:r>
      <w:r w:rsidR="004C2270" w:rsidRPr="004C2270">
        <w:rPr>
          <w:rFonts w:cstheme="minorHAnsi"/>
          <w:color w:val="FF0000"/>
        </w:rPr>
        <w:t>physical</w:t>
      </w:r>
    </w:p>
    <w:p w:rsidR="006641B2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</w:rPr>
        <w:t xml:space="preserve">Play increases creative </w:t>
      </w:r>
      <w:proofErr w:type="spellStart"/>
      <w:r w:rsidRPr="00AE51E8">
        <w:rPr>
          <w:rFonts w:cstheme="minorHAnsi"/>
        </w:rPr>
        <w:t>thinking.__</w:t>
      </w:r>
      <w:r w:rsidR="004C2270" w:rsidRPr="004C2270">
        <w:rPr>
          <w:rFonts w:cstheme="minorHAnsi"/>
          <w:color w:val="FF0000"/>
        </w:rPr>
        <w:t>cognitive</w:t>
      </w:r>
      <w:proofErr w:type="spellEnd"/>
    </w:p>
    <w:p w:rsidR="00B50145" w:rsidRPr="00AE51E8" w:rsidRDefault="00B50145" w:rsidP="00B5014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</w:rPr>
      </w:pPr>
    </w:p>
    <w:p w:rsidR="003F49A2" w:rsidRPr="00AE51E8" w:rsidRDefault="005B1E8E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lastRenderedPageBreak/>
        <w:t>Piaget identified three key terms when discussing</w:t>
      </w:r>
      <w:r w:rsidR="00B919D4" w:rsidRPr="00AE51E8">
        <w:rPr>
          <w:rFonts w:cstheme="minorHAnsi"/>
        </w:rPr>
        <w:t xml:space="preserve"> cognitive development. </w:t>
      </w:r>
    </w:p>
    <w:p w:rsidR="008A429D" w:rsidRPr="00AE51E8" w:rsidRDefault="00B919D4" w:rsidP="003F49A2">
      <w:pPr>
        <w:pStyle w:val="ListParagraph"/>
        <w:ind w:left="360"/>
        <w:rPr>
          <w:rFonts w:cstheme="minorHAnsi"/>
        </w:rPr>
      </w:pPr>
      <w:r w:rsidRPr="00AE51E8">
        <w:rPr>
          <w:rFonts w:cstheme="minorHAnsi"/>
        </w:rPr>
        <w:t>State and define the three terms</w:t>
      </w:r>
      <w:r w:rsidR="005B1E8E" w:rsidRPr="00AE51E8">
        <w:rPr>
          <w:rFonts w:cstheme="minorHAnsi"/>
        </w:rPr>
        <w:t>.</w:t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Pr="00AE51E8">
        <w:rPr>
          <w:rFonts w:cstheme="minorHAnsi"/>
        </w:rPr>
        <w:tab/>
      </w:r>
      <w:r w:rsidR="00C474C9" w:rsidRPr="00AE51E8">
        <w:rPr>
          <w:rFonts w:cstheme="minorHAnsi"/>
        </w:rPr>
        <w:tab/>
      </w:r>
      <w:r w:rsidR="00BE0385">
        <w:rPr>
          <w:rFonts w:cstheme="minorHAnsi"/>
        </w:rPr>
        <w:t>(</w:t>
      </w:r>
      <w:proofErr w:type="gramStart"/>
      <w:r w:rsidR="00BE0385">
        <w:rPr>
          <w:rFonts w:cstheme="minorHAnsi"/>
        </w:rPr>
        <w:t>3</w:t>
      </w:r>
      <w:proofErr w:type="gramEnd"/>
      <w:r w:rsidR="005B1E8E" w:rsidRPr="00AE51E8">
        <w:rPr>
          <w:rFonts w:cstheme="minorHAnsi"/>
        </w:rPr>
        <w:t xml:space="preserve"> marks)</w:t>
      </w:r>
    </w:p>
    <w:p w:rsidR="005666EF" w:rsidRPr="00AE51E8" w:rsidRDefault="005666EF" w:rsidP="00FC0658">
      <w:pPr>
        <w:pStyle w:val="ListParagraph"/>
        <w:ind w:left="360" w:hanging="360"/>
        <w:rPr>
          <w:rFonts w:cstheme="minorHAnsi"/>
        </w:rPr>
      </w:pPr>
    </w:p>
    <w:p w:rsidR="004C2270" w:rsidRPr="004C2270" w:rsidRDefault="004C2270" w:rsidP="004C2270">
      <w:pPr>
        <w:ind w:firstLine="360"/>
        <w:rPr>
          <w:b/>
          <w:color w:val="FF0000"/>
        </w:rPr>
      </w:pPr>
      <w:r w:rsidRPr="004C2270">
        <w:rPr>
          <w:b/>
          <w:color w:val="FF0000"/>
        </w:rPr>
        <w:t>Schema – mental structures or concepts that help people organise and interpret information</w:t>
      </w:r>
    </w:p>
    <w:p w:rsidR="004C2270" w:rsidRPr="004C2270" w:rsidRDefault="004C2270" w:rsidP="004C2270">
      <w:pPr>
        <w:ind w:firstLine="360"/>
        <w:rPr>
          <w:b/>
          <w:color w:val="FF0000"/>
        </w:rPr>
      </w:pPr>
      <w:r w:rsidRPr="004C2270">
        <w:rPr>
          <w:b/>
          <w:color w:val="FF0000"/>
        </w:rPr>
        <w:t>Assimilation – the current schema takes in a new experience</w:t>
      </w:r>
    </w:p>
    <w:p w:rsidR="004C2270" w:rsidRPr="004C2270" w:rsidRDefault="004C2270" w:rsidP="004C2270">
      <w:pPr>
        <w:ind w:firstLine="360"/>
        <w:rPr>
          <w:b/>
          <w:color w:val="FF0000"/>
        </w:rPr>
      </w:pPr>
      <w:r w:rsidRPr="004C2270">
        <w:rPr>
          <w:b/>
          <w:color w:val="FF0000"/>
        </w:rPr>
        <w:t>Accommodation – schemas change to incorporate new experiences</w:t>
      </w:r>
    </w:p>
    <w:p w:rsidR="0029532E" w:rsidRDefault="0029532E" w:rsidP="0029532E">
      <w:pPr>
        <w:pStyle w:val="ListParagraph"/>
        <w:spacing w:line="480" w:lineRule="auto"/>
        <w:ind w:left="357"/>
        <w:rPr>
          <w:rFonts w:cstheme="minorHAnsi"/>
        </w:rPr>
      </w:pPr>
    </w:p>
    <w:p w:rsidR="0098215D" w:rsidRPr="0029532E" w:rsidRDefault="0098215D" w:rsidP="0029532E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eastAsia="Arial" w:cstheme="minorHAnsi"/>
          <w:color w:val="181717"/>
          <w:lang w:eastAsia="en-AU"/>
        </w:rPr>
      </w:pPr>
      <w:r w:rsidRPr="0029532E">
        <w:rPr>
          <w:rFonts w:eastAsia="Arial" w:cstheme="minorHAnsi"/>
          <w:color w:val="181717"/>
          <w:lang w:eastAsia="en-AU"/>
        </w:rPr>
        <w:t xml:space="preserve">Dana is playing hide-and-seek with her brother Dion (aged three). Dion stands in the </w:t>
      </w:r>
      <w:r w:rsidR="00DD12F7" w:rsidRPr="0029532E">
        <w:rPr>
          <w:rFonts w:eastAsia="Arial" w:cstheme="minorHAnsi"/>
          <w:color w:val="181717"/>
          <w:lang w:eastAsia="en-AU"/>
        </w:rPr>
        <w:t xml:space="preserve">centre of the </w:t>
      </w:r>
      <w:proofErr w:type="gramStart"/>
      <w:r w:rsidRPr="0029532E">
        <w:rPr>
          <w:rFonts w:eastAsia="Arial" w:cstheme="minorHAnsi"/>
          <w:color w:val="181717"/>
          <w:lang w:eastAsia="en-AU"/>
        </w:rPr>
        <w:t>room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and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="00830D42" w:rsidRPr="0029532E">
        <w:rPr>
          <w:rFonts w:eastAsia="Arial" w:cstheme="minorHAnsi"/>
          <w:color w:val="181717"/>
          <w:lang w:eastAsia="en-AU"/>
        </w:rPr>
        <w:t xml:space="preserve">covers </w:t>
      </w:r>
      <w:r w:rsidRPr="0029532E">
        <w:rPr>
          <w:rFonts w:eastAsia="Arial" w:cstheme="minorHAnsi"/>
          <w:color w:val="181717"/>
          <w:lang w:eastAsia="en-AU"/>
        </w:rPr>
        <w:t>his</w:t>
      </w:r>
      <w:r w:rsidR="00830D42" w:rsidRPr="0029532E">
        <w:rPr>
          <w:rFonts w:eastAsia="Arial" w:cstheme="minorHAnsi"/>
          <w:color w:val="181717"/>
          <w:lang w:eastAsia="en-AU"/>
        </w:rPr>
        <w:t xml:space="preserve"> eyes with his hands</w:t>
      </w:r>
      <w:proofErr w:type="gramEnd"/>
      <w:r w:rsidR="00830D42" w:rsidRPr="0029532E">
        <w:rPr>
          <w:rFonts w:eastAsia="Arial" w:cstheme="minorHAnsi"/>
          <w:color w:val="181717"/>
          <w:lang w:eastAsia="en-AU"/>
        </w:rPr>
        <w:t xml:space="preserve"> and says</w:t>
      </w:r>
      <w:r w:rsidR="007F0588" w:rsidRPr="0029532E">
        <w:rPr>
          <w:rFonts w:eastAsia="Arial" w:cstheme="minorHAnsi"/>
          <w:color w:val="181717"/>
          <w:lang w:eastAsia="en-AU"/>
        </w:rPr>
        <w:t xml:space="preserve"> </w:t>
      </w:r>
      <w:r w:rsidR="00DD12F7" w:rsidRPr="0029532E">
        <w:rPr>
          <w:rFonts w:eastAsia="Arial" w:cstheme="minorHAnsi"/>
          <w:color w:val="181717"/>
          <w:lang w:eastAsia="en-AU"/>
        </w:rPr>
        <w:t xml:space="preserve">‘I am hiding’. Explain, </w:t>
      </w:r>
      <w:r w:rsidRPr="0029532E">
        <w:rPr>
          <w:rFonts w:eastAsia="Arial" w:cstheme="minorHAnsi"/>
          <w:color w:val="181717"/>
          <w:lang w:eastAsia="en-AU"/>
        </w:rPr>
        <w:t>why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Dion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believes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that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="00122897" w:rsidRPr="0029532E">
        <w:rPr>
          <w:rFonts w:eastAsia="Arial" w:cstheme="minorHAnsi"/>
          <w:color w:val="181717"/>
          <w:lang w:eastAsia="en-AU"/>
        </w:rPr>
        <w:t xml:space="preserve">he </w:t>
      </w:r>
      <w:r w:rsidRPr="0029532E">
        <w:rPr>
          <w:rFonts w:eastAsia="Arial" w:cstheme="minorHAnsi"/>
          <w:color w:val="181717"/>
          <w:lang w:eastAsia="en-AU"/>
        </w:rPr>
        <w:t>is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‘hiding’,</w:t>
      </w:r>
      <w:r w:rsidR="00DD12F7" w:rsidRPr="0029532E">
        <w:rPr>
          <w:rFonts w:eastAsia="Arial" w:cstheme="minorHAnsi"/>
          <w:color w:val="181717"/>
          <w:lang w:eastAsia="en-AU"/>
        </w:rPr>
        <w:t xml:space="preserve"> referring to the relevant concept from </w:t>
      </w:r>
      <w:r w:rsidRPr="0029532E">
        <w:rPr>
          <w:rFonts w:eastAsia="Arial" w:cstheme="minorHAnsi"/>
          <w:color w:val="181717"/>
          <w:lang w:eastAsia="en-AU"/>
        </w:rPr>
        <w:t>Piaget’s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 xml:space="preserve">theory of cognitive development. </w:t>
      </w:r>
      <w:r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5C54AD" w:rsidRPr="0029532E">
        <w:rPr>
          <w:rFonts w:eastAsia="Arial" w:cstheme="minorHAnsi"/>
          <w:color w:val="181717"/>
          <w:lang w:eastAsia="en-AU"/>
        </w:rPr>
        <w:t>(3</w:t>
      </w:r>
      <w:r w:rsidRPr="0029532E">
        <w:rPr>
          <w:rFonts w:eastAsia="Arial" w:cstheme="minorHAnsi"/>
          <w:color w:val="181717"/>
          <w:lang w:eastAsia="en-AU"/>
        </w:rPr>
        <w:t xml:space="preserve"> marks)</w:t>
      </w:r>
    </w:p>
    <w:p w:rsidR="004C2270" w:rsidRPr="004C2270" w:rsidRDefault="004C2270" w:rsidP="004C2270">
      <w:pPr>
        <w:pStyle w:val="ListParagraph"/>
        <w:spacing w:after="163" w:line="265" w:lineRule="auto"/>
        <w:ind w:right="-4"/>
        <w:rPr>
          <w:rFonts w:eastAsia="Arial" w:cs="Arial"/>
          <w:b/>
          <w:color w:val="FF0000"/>
          <w:lang w:eastAsia="en-AU"/>
        </w:rPr>
      </w:pPr>
      <w:r w:rsidRPr="004C2270">
        <w:rPr>
          <w:rFonts w:eastAsia="Arial" w:cs="Arial"/>
          <w:b/>
          <w:color w:val="FF0000"/>
          <w:lang w:eastAsia="en-AU"/>
        </w:rPr>
        <w:t>Dion is at the pre-operational stage (1 mark)</w:t>
      </w:r>
    </w:p>
    <w:p w:rsidR="004C2270" w:rsidRPr="004C2270" w:rsidRDefault="004C2270" w:rsidP="004C2270">
      <w:pPr>
        <w:pStyle w:val="ListParagraph"/>
        <w:spacing w:after="163" w:line="265" w:lineRule="auto"/>
        <w:ind w:right="-4"/>
        <w:rPr>
          <w:rFonts w:eastAsia="Arial" w:cs="Arial"/>
          <w:b/>
          <w:color w:val="FF0000"/>
          <w:lang w:eastAsia="en-AU"/>
        </w:rPr>
      </w:pPr>
      <w:r w:rsidRPr="004C2270">
        <w:rPr>
          <w:rFonts w:eastAsia="Arial" w:cs="Arial"/>
          <w:b/>
          <w:color w:val="FF0000"/>
          <w:lang w:eastAsia="en-AU"/>
        </w:rPr>
        <w:t xml:space="preserve">He is </w:t>
      </w:r>
      <w:r w:rsidRPr="004C2270">
        <w:rPr>
          <w:rFonts w:eastAsia="Arial" w:cs="Arial"/>
          <w:b/>
          <w:color w:val="FF0000"/>
          <w:u w:val="single"/>
          <w:lang w:eastAsia="en-AU"/>
        </w:rPr>
        <w:t>egocentric</w:t>
      </w:r>
      <w:r w:rsidRPr="004C2270">
        <w:rPr>
          <w:rFonts w:eastAsia="Arial" w:cs="Arial"/>
          <w:b/>
          <w:color w:val="FF0000"/>
          <w:lang w:eastAsia="en-AU"/>
        </w:rPr>
        <w:t xml:space="preserve"> (1 mark</w:t>
      </w:r>
      <w:proofErr w:type="gramStart"/>
      <w:r w:rsidRPr="004C2270">
        <w:rPr>
          <w:rFonts w:eastAsia="Arial" w:cs="Arial"/>
          <w:b/>
          <w:color w:val="FF0000"/>
          <w:lang w:eastAsia="en-AU"/>
        </w:rPr>
        <w:t>) .</w:t>
      </w:r>
      <w:proofErr w:type="gramEnd"/>
      <w:r w:rsidRPr="004C2270">
        <w:rPr>
          <w:rFonts w:eastAsia="Arial" w:cs="Arial"/>
          <w:b/>
          <w:color w:val="FF0000"/>
          <w:lang w:eastAsia="en-AU"/>
        </w:rPr>
        <w:t xml:space="preserve"> Cannot take other’s point of view – If he </w:t>
      </w:r>
      <w:proofErr w:type="gramStart"/>
      <w:r w:rsidRPr="004C2270">
        <w:rPr>
          <w:rFonts w:eastAsia="Arial" w:cs="Arial"/>
          <w:b/>
          <w:color w:val="FF0000"/>
          <w:lang w:eastAsia="en-AU"/>
        </w:rPr>
        <w:t>can’t</w:t>
      </w:r>
      <w:proofErr w:type="gramEnd"/>
      <w:r w:rsidRPr="004C2270">
        <w:rPr>
          <w:rFonts w:eastAsia="Arial" w:cs="Arial"/>
          <w:b/>
          <w:color w:val="FF0000"/>
          <w:lang w:eastAsia="en-AU"/>
        </w:rPr>
        <w:t xml:space="preserve"> see then nobody can see him. (</w:t>
      </w:r>
      <w:proofErr w:type="gramStart"/>
      <w:r w:rsidRPr="004C2270">
        <w:rPr>
          <w:rFonts w:eastAsia="Arial" w:cs="Arial"/>
          <w:b/>
          <w:color w:val="FF0000"/>
          <w:lang w:eastAsia="en-AU"/>
        </w:rPr>
        <w:t>1</w:t>
      </w:r>
      <w:proofErr w:type="gramEnd"/>
      <w:r w:rsidRPr="004C2270">
        <w:rPr>
          <w:rFonts w:eastAsia="Arial" w:cs="Arial"/>
          <w:b/>
          <w:color w:val="FF0000"/>
          <w:lang w:eastAsia="en-AU"/>
        </w:rPr>
        <w:t xml:space="preserve"> mark)</w:t>
      </w:r>
    </w:p>
    <w:p w:rsidR="0029532E" w:rsidRPr="00622256" w:rsidRDefault="0029532E" w:rsidP="00622256">
      <w:pPr>
        <w:spacing w:after="100" w:afterAutospacing="1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Part 2</w:t>
      </w:r>
      <w:r w:rsidRPr="0029532E">
        <w:rPr>
          <w:rFonts w:cstheme="minorHAnsi"/>
          <w:b/>
          <w:sz w:val="28"/>
        </w:rPr>
        <w:t xml:space="preserve"> – </w:t>
      </w:r>
      <w:r>
        <w:rPr>
          <w:rFonts w:cstheme="minorHAnsi"/>
          <w:b/>
          <w:sz w:val="28"/>
        </w:rPr>
        <w:t xml:space="preserve">Social </w:t>
      </w:r>
      <w:r w:rsidRPr="0029532E">
        <w:rPr>
          <w:rFonts w:cstheme="minorHAnsi"/>
          <w:b/>
          <w:sz w:val="28"/>
        </w:rPr>
        <w:t>Psychology (</w:t>
      </w:r>
      <w:r w:rsidR="00215508">
        <w:rPr>
          <w:rFonts w:cstheme="minorHAnsi"/>
          <w:b/>
          <w:sz w:val="28"/>
        </w:rPr>
        <w:t>24</w:t>
      </w:r>
      <w:r w:rsidR="00622256">
        <w:rPr>
          <w:rFonts w:cstheme="minorHAnsi"/>
          <w:b/>
          <w:sz w:val="28"/>
        </w:rPr>
        <w:t xml:space="preserve"> Marks)</w:t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</w:p>
    <w:p w:rsidR="0029532E" w:rsidRPr="00622256" w:rsidRDefault="0029532E" w:rsidP="0062225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t xml:space="preserve">You are in charge of your social netball team and </w:t>
      </w:r>
      <w:proofErr w:type="gramStart"/>
      <w:r w:rsidRPr="00622256">
        <w:rPr>
          <w:rFonts w:ascii="Calibri" w:eastAsia="Calibri" w:hAnsi="Calibri" w:cs="Times New Roman"/>
        </w:rPr>
        <w:t>there have been some displays of negative intergroup behaviour that is affecting your team on the court</w:t>
      </w:r>
      <w:proofErr w:type="gramEnd"/>
      <w:r w:rsidRPr="00622256">
        <w:rPr>
          <w:rFonts w:ascii="Calibri" w:eastAsia="Calibri" w:hAnsi="Calibri" w:cs="Times New Roman"/>
        </w:rPr>
        <w:t xml:space="preserve">. Using your knowledge of competition and cooperation, explain how you </w:t>
      </w:r>
      <w:r w:rsidR="00E72376">
        <w:rPr>
          <w:rFonts w:ascii="Calibri" w:eastAsia="Calibri" w:hAnsi="Calibri" w:cs="Times New Roman"/>
        </w:rPr>
        <w:t xml:space="preserve">would </w:t>
      </w:r>
      <w:r w:rsidRPr="00622256">
        <w:rPr>
          <w:rFonts w:ascii="Calibri" w:eastAsia="Calibri" w:hAnsi="Calibri" w:cs="Times New Roman"/>
        </w:rPr>
        <w:t>improve your team’s intergroup relationships</w:t>
      </w:r>
      <w:r w:rsidR="00E72376">
        <w:rPr>
          <w:rFonts w:ascii="Calibri" w:eastAsia="Calibri" w:hAnsi="Calibri" w:cs="Times New Roman"/>
        </w:rPr>
        <w:t>.</w:t>
      </w:r>
      <w:r w:rsidRPr="00622256">
        <w:rPr>
          <w:rFonts w:ascii="Calibri" w:eastAsia="Calibri" w:hAnsi="Calibri" w:cs="Times New Roman"/>
        </w:rPr>
        <w:t xml:space="preserve"> Use empirical evidence to justify your answer.</w:t>
      </w:r>
      <w:r w:rsidR="00622256" w:rsidRPr="00622256">
        <w:rPr>
          <w:rFonts w:ascii="Calibri" w:eastAsia="Calibri" w:hAnsi="Calibri" w:cs="Times New Roman"/>
          <w:b/>
        </w:rPr>
        <w:t xml:space="preserve"> </w:t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  <w:t>(6 marks)</w:t>
      </w:r>
    </w:p>
    <w:p w:rsidR="004C2270" w:rsidRPr="004C2270" w:rsidRDefault="004C2270" w:rsidP="004C227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>Defines competition – rival trying to outdo each other to achieve a goal</w:t>
      </w:r>
    </w:p>
    <w:p w:rsidR="004C2270" w:rsidRPr="004C2270" w:rsidRDefault="004C2270" w:rsidP="004C227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>Defines cooperation – work together as a group to achieve a goal</w:t>
      </w:r>
    </w:p>
    <w:p w:rsidR="004C2270" w:rsidRPr="004C2270" w:rsidRDefault="004C2270" w:rsidP="004C227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 xml:space="preserve">Identifies that the conflict is </w:t>
      </w:r>
      <w:r w:rsidRPr="004C2270">
        <w:rPr>
          <w:rFonts w:ascii="Calibri" w:eastAsia="Calibri" w:hAnsi="Calibri" w:cs="Times New Roman"/>
          <w:color w:val="FF0000"/>
          <w:u w:val="single"/>
        </w:rPr>
        <w:t xml:space="preserve">between </w:t>
      </w:r>
      <w:r w:rsidRPr="004C2270">
        <w:rPr>
          <w:rFonts w:ascii="Calibri" w:eastAsia="Calibri" w:hAnsi="Calibri" w:cs="Times New Roman"/>
          <w:color w:val="FF0000"/>
        </w:rPr>
        <w:t xml:space="preserve"> different groups</w:t>
      </w:r>
    </w:p>
    <w:p w:rsidR="004C2270" w:rsidRDefault="004C2270" w:rsidP="004C227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>Suggestion to improve –create a common goal for both teams to work together and co-operate</w:t>
      </w:r>
    </w:p>
    <w:p w:rsidR="004C2270" w:rsidRDefault="004C2270" w:rsidP="004C2270">
      <w:p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Evidence:</w:t>
      </w:r>
    </w:p>
    <w:p w:rsidR="004C2270" w:rsidRDefault="004C2270" w:rsidP="004C2270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 xml:space="preserve">Identifies </w:t>
      </w:r>
      <w:proofErr w:type="spellStart"/>
      <w:r>
        <w:rPr>
          <w:rFonts w:ascii="Calibri" w:eastAsia="Calibri" w:hAnsi="Calibri" w:cs="Times New Roman"/>
          <w:color w:val="FF0000"/>
        </w:rPr>
        <w:t>Sherif</w:t>
      </w:r>
      <w:proofErr w:type="spellEnd"/>
      <w:r>
        <w:rPr>
          <w:rFonts w:ascii="Calibri" w:eastAsia="Calibri" w:hAnsi="Calibri" w:cs="Times New Roman"/>
          <w:color w:val="FF0000"/>
        </w:rPr>
        <w:t xml:space="preserve"> – Eagles and Rattlers study and briefly describes conflict</w:t>
      </w:r>
    </w:p>
    <w:p w:rsidR="004C2270" w:rsidRPr="004C2270" w:rsidRDefault="004C2270" w:rsidP="004C2270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States that inter-group hostility was lowered in the study when common goal introduced</w:t>
      </w:r>
    </w:p>
    <w:p w:rsidR="001313A9" w:rsidRPr="0029532E" w:rsidRDefault="001313A9" w:rsidP="0029532E">
      <w:pPr>
        <w:spacing w:line="480" w:lineRule="auto"/>
        <w:rPr>
          <w:rFonts w:ascii="Calibri" w:eastAsia="Calibri" w:hAnsi="Calibri" w:cs="Times New Roman"/>
        </w:rPr>
      </w:pPr>
    </w:p>
    <w:p w:rsidR="0029532E" w:rsidRPr="00622256" w:rsidRDefault="0029532E" w:rsidP="0062225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t xml:space="preserve">Soccer hooliganism can be a consequence of deindividuation. Provide a definition of deindividuation and explain which factors must be present for an individual to </w:t>
      </w:r>
      <w:proofErr w:type="gramStart"/>
      <w:r w:rsidRPr="00622256">
        <w:rPr>
          <w:rFonts w:ascii="Calibri" w:eastAsia="Calibri" w:hAnsi="Calibri" w:cs="Times New Roman"/>
        </w:rPr>
        <w:t xml:space="preserve">become </w:t>
      </w:r>
      <w:proofErr w:type="spellStart"/>
      <w:r w:rsidRPr="00622256">
        <w:rPr>
          <w:rFonts w:ascii="Calibri" w:eastAsia="Calibri" w:hAnsi="Calibri" w:cs="Times New Roman"/>
        </w:rPr>
        <w:t>deindividuated</w:t>
      </w:r>
      <w:proofErr w:type="spellEnd"/>
      <w:proofErr w:type="gramEnd"/>
      <w:r w:rsidRPr="00622256">
        <w:rPr>
          <w:rFonts w:ascii="Calibri" w:eastAsia="Calibri" w:hAnsi="Calibri" w:cs="Times New Roman"/>
        </w:rPr>
        <w:t xml:space="preserve"> in this situation. </w:t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 w:rsidRPr="0029532E">
        <w:rPr>
          <w:rFonts w:ascii="Calibri" w:eastAsia="Calibri" w:hAnsi="Calibri" w:cs="Times New Roman"/>
          <w:b/>
        </w:rPr>
        <w:t>(5 marks)</w:t>
      </w:r>
    </w:p>
    <w:p w:rsidR="00660930" w:rsidRPr="004C2270" w:rsidRDefault="00660930" w:rsidP="0066093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 xml:space="preserve">Defines </w:t>
      </w:r>
      <w:r>
        <w:rPr>
          <w:rFonts w:ascii="Calibri" w:eastAsia="Calibri" w:hAnsi="Calibri" w:cs="Times New Roman"/>
          <w:color w:val="FF0000"/>
        </w:rPr>
        <w:t>deindividuation</w:t>
      </w:r>
      <w:r w:rsidRPr="004C2270">
        <w:rPr>
          <w:rFonts w:ascii="Calibri" w:eastAsia="Calibri" w:hAnsi="Calibri" w:cs="Times New Roman"/>
          <w:color w:val="FF0000"/>
        </w:rPr>
        <w:t xml:space="preserve"> – </w:t>
      </w:r>
      <w:r>
        <w:rPr>
          <w:rFonts w:ascii="Calibri" w:eastAsia="Calibri" w:hAnsi="Calibri" w:cs="Times New Roman"/>
          <w:color w:val="FF0000"/>
        </w:rPr>
        <w:t>abandoning usual restraints to join in group behaviour</w:t>
      </w:r>
    </w:p>
    <w:p w:rsidR="00660930" w:rsidRPr="004C2270" w:rsidRDefault="00660930" w:rsidP="0066093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 xml:space="preserve">Defines </w:t>
      </w:r>
      <w:r>
        <w:rPr>
          <w:rFonts w:ascii="Calibri" w:eastAsia="Calibri" w:hAnsi="Calibri" w:cs="Times New Roman"/>
          <w:color w:val="FF0000"/>
        </w:rPr>
        <w:t>anonymity – sense you cannot be individually identified</w:t>
      </w:r>
    </w:p>
    <w:p w:rsidR="00660930" w:rsidRPr="004C2270" w:rsidRDefault="00660930" w:rsidP="00660930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Defines shift of attention – shift from shift from own thoughts/internal stimuli to external stimuli/the group</w:t>
      </w:r>
    </w:p>
    <w:p w:rsidR="00660930" w:rsidRDefault="00660930" w:rsidP="00660930">
      <w:p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Relates to scenario:</w:t>
      </w:r>
    </w:p>
    <w:p w:rsidR="00660930" w:rsidRDefault="00660930" w:rsidP="00660930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Team uniforms convey sense of anonymity – all dressed the same</w:t>
      </w:r>
    </w:p>
    <w:p w:rsidR="00660930" w:rsidRPr="004C2270" w:rsidRDefault="00660930" w:rsidP="00660930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 xml:space="preserve">The large group </w:t>
      </w:r>
      <w:r w:rsidR="007F6BFB">
        <w:rPr>
          <w:rFonts w:ascii="Calibri" w:eastAsia="Calibri" w:hAnsi="Calibri" w:cs="Times New Roman"/>
          <w:color w:val="FF0000"/>
        </w:rPr>
        <w:t>leads to shift of attention</w:t>
      </w:r>
    </w:p>
    <w:p w:rsidR="0029532E" w:rsidRPr="0029532E" w:rsidRDefault="0029532E" w:rsidP="0029532E">
      <w:pPr>
        <w:spacing w:line="480" w:lineRule="auto"/>
        <w:rPr>
          <w:rFonts w:ascii="Calibri" w:eastAsia="Calibri" w:hAnsi="Calibri" w:cs="Times New Roman"/>
        </w:rPr>
      </w:pPr>
    </w:p>
    <w:p w:rsidR="00622256" w:rsidRDefault="00622256" w:rsidP="001313A9">
      <w:pPr>
        <w:tabs>
          <w:tab w:val="left" w:pos="990"/>
        </w:tabs>
        <w:spacing w:line="240" w:lineRule="auto"/>
        <w:rPr>
          <w:rFonts w:ascii="Calibri" w:eastAsia="Calibri" w:hAnsi="Calibri" w:cs="Times New Roman"/>
        </w:rPr>
      </w:pPr>
    </w:p>
    <w:p w:rsidR="0029532E" w:rsidRPr="00622256" w:rsidRDefault="00622256" w:rsidP="00622256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t xml:space="preserve"> </w:t>
      </w:r>
      <w:r w:rsidR="0029532E" w:rsidRPr="00622256">
        <w:rPr>
          <w:rFonts w:ascii="Calibri" w:eastAsia="Calibri" w:hAnsi="Calibri" w:cs="Times New Roman"/>
        </w:rPr>
        <w:t>Explain the relationship between group size and social loafing. Include a definition of social loafing and empirical research to support your answer.</w:t>
      </w:r>
      <w:r w:rsidRPr="00622256">
        <w:rPr>
          <w:rFonts w:ascii="Calibri" w:eastAsia="Calibri" w:hAnsi="Calibri" w:cs="Times New Roman"/>
        </w:rPr>
        <w:t xml:space="preserve"> </w:t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  <w:b/>
        </w:rPr>
        <w:t>(4 marks)</w:t>
      </w:r>
    </w:p>
    <w:p w:rsidR="00980A6F" w:rsidRPr="004C2270" w:rsidRDefault="00980A6F" w:rsidP="00980A6F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 xml:space="preserve">Definition – an </w:t>
      </w:r>
      <w:r w:rsidRPr="00980A6F">
        <w:rPr>
          <w:rFonts w:ascii="Calibri" w:eastAsia="Calibri" w:hAnsi="Calibri" w:cs="Times New Roman"/>
          <w:color w:val="FF0000"/>
          <w:u w:val="single"/>
        </w:rPr>
        <w:t xml:space="preserve">individual puts in less effort to a task when working in a group </w:t>
      </w:r>
      <w:r>
        <w:rPr>
          <w:rFonts w:ascii="Calibri" w:eastAsia="Calibri" w:hAnsi="Calibri" w:cs="Times New Roman"/>
          <w:color w:val="FF0000"/>
        </w:rPr>
        <w:t>compared to working by themselves (* note – not ‘less effort than others’)</w:t>
      </w:r>
    </w:p>
    <w:p w:rsidR="00980A6F" w:rsidRPr="004C2270" w:rsidRDefault="00980A6F" w:rsidP="00980A6F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Larger group size = more social loafing</w:t>
      </w:r>
    </w:p>
    <w:p w:rsidR="00980A6F" w:rsidRDefault="00980A6F" w:rsidP="00980A6F">
      <w:p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Evidence:</w:t>
      </w:r>
    </w:p>
    <w:p w:rsidR="00980A6F" w:rsidRDefault="00980A6F" w:rsidP="00980A6F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Describe Ingham’s study  – blindfolded and pulling on rope</w:t>
      </w:r>
    </w:p>
    <w:p w:rsidR="00980A6F" w:rsidRPr="004C2270" w:rsidRDefault="00980A6F" w:rsidP="00980A6F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States results – Those who thought they were in a group pulled less hard</w:t>
      </w:r>
    </w:p>
    <w:p w:rsidR="0029532E" w:rsidRPr="00622256" w:rsidRDefault="0029532E" w:rsidP="00622256">
      <w:pPr>
        <w:tabs>
          <w:tab w:val="left" w:pos="990"/>
        </w:tabs>
        <w:spacing w:after="0" w:line="480" w:lineRule="auto"/>
        <w:rPr>
          <w:rFonts w:ascii="Calibri" w:eastAsia="Calibri" w:hAnsi="Calibri" w:cs="Times New Roman"/>
        </w:rPr>
      </w:pP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</w:p>
    <w:p w:rsidR="0029532E" w:rsidRPr="00622256" w:rsidRDefault="0029532E" w:rsidP="00622256">
      <w:pPr>
        <w:pStyle w:val="ListParagraph"/>
        <w:numPr>
          <w:ilvl w:val="0"/>
          <w:numId w:val="14"/>
        </w:numPr>
        <w:tabs>
          <w:tab w:val="left" w:pos="990"/>
        </w:tabs>
        <w:spacing w:line="240" w:lineRule="auto"/>
        <w:rPr>
          <w:rFonts w:ascii="Calibri" w:eastAsia="Calibri" w:hAnsi="Calibri" w:cs="Times New Roman"/>
          <w:i/>
        </w:rPr>
      </w:pPr>
      <w:r w:rsidRPr="00622256">
        <w:rPr>
          <w:rFonts w:ascii="Calibri" w:eastAsia="Calibri" w:hAnsi="Calibri" w:cs="Times New Roman"/>
        </w:rPr>
        <w:t xml:space="preserve">Describe the outcome of the study conducted by </w:t>
      </w:r>
      <w:proofErr w:type="spellStart"/>
      <w:r w:rsidRPr="00622256">
        <w:rPr>
          <w:rFonts w:ascii="Calibri" w:eastAsia="Calibri" w:hAnsi="Calibri" w:cs="Times New Roman"/>
        </w:rPr>
        <w:t>Tajfel</w:t>
      </w:r>
      <w:proofErr w:type="spellEnd"/>
      <w:r w:rsidRPr="00622256">
        <w:rPr>
          <w:rFonts w:ascii="Calibri" w:eastAsia="Calibri" w:hAnsi="Calibri" w:cs="Times New Roman"/>
        </w:rPr>
        <w:t xml:space="preserve"> and Turner (1986). With reference to </w:t>
      </w:r>
      <w:r w:rsidRPr="00622256">
        <w:rPr>
          <w:rFonts w:ascii="Calibri" w:eastAsia="Calibri" w:hAnsi="Calibri" w:cs="Times New Roman"/>
          <w:b/>
        </w:rPr>
        <w:t>social identity</w:t>
      </w:r>
      <w:r w:rsidRPr="00622256">
        <w:rPr>
          <w:rFonts w:ascii="Calibri" w:eastAsia="Calibri" w:hAnsi="Calibri" w:cs="Times New Roman"/>
        </w:rPr>
        <w:t>, describe a scenario of when this could occur in Western Australia.</w:t>
      </w:r>
      <w:r w:rsidR="00622256" w:rsidRPr="00622256">
        <w:rPr>
          <w:rFonts w:ascii="Calibri" w:eastAsia="Calibri" w:hAnsi="Calibri" w:cs="Times New Roman"/>
          <w:b/>
        </w:rPr>
        <w:t xml:space="preserve"> </w:t>
      </w:r>
      <w:r w:rsidR="00622256" w:rsidRPr="0029532E">
        <w:rPr>
          <w:rFonts w:ascii="Calibri" w:eastAsia="Calibri" w:hAnsi="Calibri" w:cs="Times New Roman"/>
          <w:b/>
        </w:rPr>
        <w:t>(5 marks)</w:t>
      </w:r>
    </w:p>
    <w:p w:rsidR="00F93332" w:rsidRPr="004C2270" w:rsidRDefault="00F93332" w:rsidP="00F93332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 w:rsidRPr="004C2270">
        <w:rPr>
          <w:rFonts w:ascii="Calibri" w:eastAsia="Calibri" w:hAnsi="Calibri" w:cs="Times New Roman"/>
          <w:color w:val="FF0000"/>
        </w:rPr>
        <w:t xml:space="preserve">Defines </w:t>
      </w:r>
      <w:r>
        <w:rPr>
          <w:rFonts w:ascii="Calibri" w:eastAsia="Calibri" w:hAnsi="Calibri" w:cs="Times New Roman"/>
          <w:color w:val="FF0000"/>
        </w:rPr>
        <w:t>social identity – aspects of personal identity or self-concept that come from group membership</w:t>
      </w:r>
    </w:p>
    <w:p w:rsidR="00F93332" w:rsidRPr="004C2270" w:rsidRDefault="00F93332" w:rsidP="00F93332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 xml:space="preserve">If you perceive your group as ‘better’ then your </w:t>
      </w:r>
      <w:proofErr w:type="spellStart"/>
      <w:r>
        <w:rPr>
          <w:rFonts w:ascii="Calibri" w:eastAsia="Calibri" w:hAnsi="Calibri" w:cs="Times New Roman"/>
          <w:color w:val="FF0000"/>
        </w:rPr>
        <w:t>self esteem</w:t>
      </w:r>
      <w:proofErr w:type="spellEnd"/>
      <w:r>
        <w:rPr>
          <w:rFonts w:ascii="Calibri" w:eastAsia="Calibri" w:hAnsi="Calibri" w:cs="Times New Roman"/>
          <w:color w:val="FF0000"/>
        </w:rPr>
        <w:t xml:space="preserve"> increases</w:t>
      </w:r>
    </w:p>
    <w:p w:rsidR="00F93332" w:rsidRPr="004C2270" w:rsidRDefault="00F93332" w:rsidP="00F93332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This can lead to prejudice/conflict between in-groups and out-groups</w:t>
      </w:r>
    </w:p>
    <w:p w:rsidR="00F93332" w:rsidRDefault="00435AA3" w:rsidP="00F93332">
      <w:p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1-</w:t>
      </w:r>
      <w:r w:rsidR="00F93332">
        <w:rPr>
          <w:rFonts w:ascii="Calibri" w:eastAsia="Calibri" w:hAnsi="Calibri" w:cs="Times New Roman"/>
          <w:color w:val="FF0000"/>
        </w:rPr>
        <w:t>2 marks for example</w:t>
      </w:r>
      <w:r>
        <w:rPr>
          <w:rFonts w:ascii="Calibri" w:eastAsia="Calibri" w:hAnsi="Calibri" w:cs="Times New Roman"/>
          <w:color w:val="FF0000"/>
        </w:rPr>
        <w:t xml:space="preserve"> in detail</w:t>
      </w:r>
      <w:r w:rsidR="00F93332">
        <w:rPr>
          <w:rFonts w:ascii="Calibri" w:eastAsia="Calibri" w:hAnsi="Calibri" w:cs="Times New Roman"/>
          <w:color w:val="FF0000"/>
        </w:rPr>
        <w:t xml:space="preserve"> (accept relevant response) e.g.</w:t>
      </w:r>
      <w:r w:rsidR="00F93332">
        <w:rPr>
          <w:rFonts w:ascii="Calibri" w:eastAsia="Calibri" w:hAnsi="Calibri" w:cs="Times New Roman"/>
          <w:color w:val="FF0000"/>
        </w:rPr>
        <w:t>:</w:t>
      </w:r>
    </w:p>
    <w:p w:rsidR="00F93332" w:rsidRDefault="00F93332" w:rsidP="00F93332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Sporting teams e.g. Dockers and Eagles</w:t>
      </w:r>
    </w:p>
    <w:p w:rsidR="00F93332" w:rsidRPr="004C2270" w:rsidRDefault="00F93332" w:rsidP="00F93332">
      <w:pPr>
        <w:pStyle w:val="ListParagraph"/>
        <w:numPr>
          <w:ilvl w:val="0"/>
          <w:numId w:val="17"/>
        </w:numPr>
        <w:spacing w:line="240" w:lineRule="auto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FF0000"/>
        </w:rPr>
        <w:t>Rivalry between prestigious schools</w:t>
      </w:r>
    </w:p>
    <w:p w:rsidR="00622256" w:rsidRDefault="00622256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/>
          <w:bCs/>
        </w:rPr>
      </w:pPr>
    </w:p>
    <w:p w:rsidR="0029532E" w:rsidRPr="0029532E" w:rsidRDefault="0029532E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/>
          <w:bCs/>
        </w:rPr>
      </w:pPr>
      <w:r w:rsidRPr="0029532E">
        <w:rPr>
          <w:rFonts w:ascii="Calibri" w:eastAsia="Calibri" w:hAnsi="Calibri" w:cs="Arial"/>
          <w:b/>
          <w:bCs/>
        </w:rPr>
        <w:t>Question 11.                                                                                                                                      (</w:t>
      </w:r>
      <w:proofErr w:type="gramStart"/>
      <w:r w:rsidRPr="0029532E">
        <w:rPr>
          <w:rFonts w:ascii="Calibri" w:eastAsia="Calibri" w:hAnsi="Calibri" w:cs="Arial"/>
          <w:b/>
          <w:bCs/>
        </w:rPr>
        <w:t>4</w:t>
      </w:r>
      <w:proofErr w:type="gramEnd"/>
      <w:r w:rsidRPr="0029532E">
        <w:rPr>
          <w:rFonts w:ascii="Calibri" w:eastAsia="Calibri" w:hAnsi="Calibri" w:cs="Arial"/>
          <w:b/>
          <w:bCs/>
        </w:rPr>
        <w:t xml:space="preserve"> marks)</w:t>
      </w:r>
    </w:p>
    <w:p w:rsidR="0029532E" w:rsidRPr="0029532E" w:rsidRDefault="0029532E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Cs/>
        </w:rPr>
      </w:pPr>
      <w:r w:rsidRPr="0029532E">
        <w:rPr>
          <w:rFonts w:ascii="Calibri" w:eastAsia="Calibri" w:hAnsi="Calibri" w:cs="Arial"/>
          <w:bCs/>
        </w:rPr>
        <w:t xml:space="preserve">In 1968, Jane Elliot conducted what was to become a well-known social experiment, known as the blue-eyes / brown-eyes experiment. Within her </w:t>
      </w:r>
      <w:proofErr w:type="gramStart"/>
      <w:r w:rsidRPr="0029532E">
        <w:rPr>
          <w:rFonts w:ascii="Calibri" w:eastAsia="Calibri" w:hAnsi="Calibri" w:cs="Arial"/>
          <w:bCs/>
        </w:rPr>
        <w:t>experiment</w:t>
      </w:r>
      <w:proofErr w:type="gramEnd"/>
      <w:r w:rsidRPr="0029532E">
        <w:rPr>
          <w:rFonts w:ascii="Calibri" w:eastAsia="Calibri" w:hAnsi="Calibri" w:cs="Arial"/>
          <w:bCs/>
        </w:rPr>
        <w:t xml:space="preserve"> she divided her class of primary aged students into two groups, blue-eyes and brown-eyes. She initially told the brown-eyes they were smarter, faster and better than the blue-eyes and taught the class by comparing the blue-eyes’ behaviour negatively to the brown-eyes. Her experiment demonstrated that prejudice can be learnt, therefore unlearnt.</w:t>
      </w:r>
    </w:p>
    <w:p w:rsidR="0029532E" w:rsidRPr="0029532E" w:rsidRDefault="0029532E" w:rsidP="0029532E">
      <w:pPr>
        <w:tabs>
          <w:tab w:val="left" w:pos="567"/>
          <w:tab w:val="left" w:pos="1120"/>
          <w:tab w:val="left" w:pos="8550"/>
        </w:tabs>
        <w:ind w:right="245"/>
        <w:rPr>
          <w:rFonts w:ascii="Calibri" w:eastAsia="Calibri" w:hAnsi="Calibri" w:cs="Arial"/>
          <w:b/>
        </w:rPr>
      </w:pPr>
      <w:bookmarkStart w:id="1" w:name="_Hlk12822844"/>
    </w:p>
    <w:p w:rsidR="0029532E" w:rsidRPr="0029532E" w:rsidRDefault="0029532E" w:rsidP="0029532E">
      <w:pPr>
        <w:tabs>
          <w:tab w:val="left" w:pos="709"/>
          <w:tab w:val="left" w:pos="8640"/>
        </w:tabs>
        <w:ind w:right="245"/>
        <w:rPr>
          <w:rFonts w:ascii="Calibri" w:eastAsia="Calibri" w:hAnsi="Calibri" w:cs="Arial"/>
          <w:bCs/>
        </w:rPr>
      </w:pPr>
      <w:r w:rsidRPr="0029532E">
        <w:rPr>
          <w:rFonts w:ascii="Calibri" w:eastAsia="Calibri" w:hAnsi="Calibri" w:cs="Arial"/>
          <w:bCs/>
        </w:rPr>
        <w:t>(a)</w:t>
      </w:r>
      <w:r w:rsidRPr="0029532E">
        <w:rPr>
          <w:rFonts w:ascii="Calibri" w:eastAsia="Calibri" w:hAnsi="Calibri" w:cs="Arial"/>
          <w:bCs/>
        </w:rPr>
        <w:tab/>
        <w:t>(</w:t>
      </w:r>
      <w:proofErr w:type="spellStart"/>
      <w:proofErr w:type="gramStart"/>
      <w:r w:rsidRPr="0029532E">
        <w:rPr>
          <w:rFonts w:ascii="Calibri" w:eastAsia="Calibri" w:hAnsi="Calibri" w:cs="Arial"/>
          <w:bCs/>
        </w:rPr>
        <w:t>i</w:t>
      </w:r>
      <w:proofErr w:type="spellEnd"/>
      <w:proofErr w:type="gramEnd"/>
      <w:r w:rsidRPr="0029532E">
        <w:rPr>
          <w:rFonts w:ascii="Calibri" w:eastAsia="Calibri" w:hAnsi="Calibri" w:cs="Arial"/>
          <w:bCs/>
        </w:rPr>
        <w:t xml:space="preserve">)         Elliott’s study created a ‘them’ and ‘us’. What </w:t>
      </w:r>
      <w:proofErr w:type="gramStart"/>
      <w:r w:rsidRPr="0029532E">
        <w:rPr>
          <w:rFonts w:ascii="Calibri" w:eastAsia="Calibri" w:hAnsi="Calibri" w:cs="Arial"/>
          <w:bCs/>
        </w:rPr>
        <w:t>is this process called</w:t>
      </w:r>
      <w:proofErr w:type="gramEnd"/>
      <w:r w:rsidRPr="0029532E">
        <w:rPr>
          <w:rFonts w:ascii="Calibri" w:eastAsia="Calibri" w:hAnsi="Calibri" w:cs="Arial"/>
          <w:bCs/>
        </w:rPr>
        <w:t>? (</w:t>
      </w:r>
      <w:proofErr w:type="gramStart"/>
      <w:r w:rsidRPr="0029532E">
        <w:rPr>
          <w:rFonts w:ascii="Calibri" w:eastAsia="Calibri" w:hAnsi="Calibri" w:cs="Arial"/>
          <w:bCs/>
        </w:rPr>
        <w:t>1</w:t>
      </w:r>
      <w:proofErr w:type="gramEnd"/>
      <w:r w:rsidRPr="0029532E">
        <w:rPr>
          <w:rFonts w:ascii="Calibri" w:eastAsia="Calibri" w:hAnsi="Calibri" w:cs="Arial"/>
          <w:bCs/>
        </w:rPr>
        <w:t xml:space="preserve"> mark)</w:t>
      </w:r>
    </w:p>
    <w:p w:rsidR="0029532E" w:rsidRPr="0029532E" w:rsidRDefault="0029532E" w:rsidP="0029532E">
      <w:pPr>
        <w:tabs>
          <w:tab w:val="left" w:pos="720"/>
          <w:tab w:val="left" w:pos="8640"/>
        </w:tabs>
        <w:ind w:right="245"/>
        <w:rPr>
          <w:rFonts w:ascii="Calibri" w:eastAsia="Calibri" w:hAnsi="Calibri" w:cs="Arial"/>
          <w:bCs/>
        </w:rPr>
      </w:pPr>
    </w:p>
    <w:bookmarkEnd w:id="1"/>
    <w:p w:rsidR="0029532E" w:rsidRPr="003F64D0" w:rsidRDefault="003F64D0" w:rsidP="0029532E">
      <w:pPr>
        <w:spacing w:line="480" w:lineRule="auto"/>
        <w:ind w:left="709" w:right="244"/>
        <w:rPr>
          <w:rFonts w:ascii="Calibri" w:eastAsia="Calibri" w:hAnsi="Calibri" w:cs="Arial"/>
          <w:color w:val="FF0000"/>
        </w:rPr>
      </w:pPr>
      <w:r>
        <w:rPr>
          <w:rFonts w:ascii="Calibri" w:eastAsia="Calibri" w:hAnsi="Calibri" w:cs="Arial"/>
          <w:color w:val="FF0000"/>
        </w:rPr>
        <w:t>Social categorisation (do NOT accept stereotypes)</w:t>
      </w:r>
    </w:p>
    <w:p w:rsidR="0029532E" w:rsidRPr="0029532E" w:rsidRDefault="0029532E" w:rsidP="0029532E">
      <w:pPr>
        <w:tabs>
          <w:tab w:val="left" w:pos="8550"/>
        </w:tabs>
        <w:ind w:left="709" w:right="245" w:hanging="567"/>
        <w:rPr>
          <w:rFonts w:ascii="Calibri" w:eastAsia="Calibri" w:hAnsi="Calibri" w:cs="Arial"/>
        </w:rPr>
      </w:pPr>
      <w:r w:rsidRPr="0029532E">
        <w:rPr>
          <w:rFonts w:ascii="Calibri" w:eastAsia="Calibri" w:hAnsi="Calibri" w:cs="Arial"/>
          <w:bCs/>
        </w:rPr>
        <w:tab/>
        <w:t>(ii)       Define the term self-fulfilling prophecy, identify the in-group and e</w:t>
      </w:r>
      <w:r w:rsidRPr="0029532E">
        <w:rPr>
          <w:rFonts w:ascii="Calibri" w:eastAsia="Calibri" w:hAnsi="Calibri" w:cs="Arial"/>
        </w:rPr>
        <w:t>xplain why Elliot’s experiment could have contributed to this occurring in the in-group.</w:t>
      </w:r>
      <w:r w:rsidRPr="0029532E">
        <w:rPr>
          <w:rFonts w:ascii="Calibri" w:eastAsia="Calibri" w:hAnsi="Calibri" w:cs="Arial"/>
          <w:bCs/>
        </w:rPr>
        <w:t xml:space="preserve"> (</w:t>
      </w:r>
      <w:proofErr w:type="gramStart"/>
      <w:r w:rsidRPr="0029532E">
        <w:rPr>
          <w:rFonts w:ascii="Calibri" w:eastAsia="Calibri" w:hAnsi="Calibri" w:cs="Arial"/>
          <w:bCs/>
        </w:rPr>
        <w:t>3</w:t>
      </w:r>
      <w:proofErr w:type="gramEnd"/>
      <w:r w:rsidRPr="0029532E">
        <w:rPr>
          <w:rFonts w:ascii="Calibri" w:eastAsia="Calibri" w:hAnsi="Calibri" w:cs="Arial"/>
          <w:bCs/>
        </w:rPr>
        <w:t xml:space="preserve"> marks)</w:t>
      </w:r>
    </w:p>
    <w:p w:rsidR="0029532E" w:rsidRPr="0029532E" w:rsidRDefault="0029532E" w:rsidP="0029532E">
      <w:pPr>
        <w:tabs>
          <w:tab w:val="left" w:pos="8550"/>
        </w:tabs>
        <w:ind w:right="245"/>
        <w:rPr>
          <w:rFonts w:ascii="Calibri" w:eastAsia="Calibri" w:hAnsi="Calibri" w:cs="Arial"/>
        </w:rPr>
      </w:pPr>
    </w:p>
    <w:p w:rsidR="0029532E" w:rsidRPr="003F64D0" w:rsidRDefault="003F64D0" w:rsidP="003F64D0">
      <w:pPr>
        <w:pStyle w:val="ListParagraph"/>
        <w:numPr>
          <w:ilvl w:val="0"/>
          <w:numId w:val="18"/>
        </w:numPr>
        <w:spacing w:line="240" w:lineRule="auto"/>
        <w:rPr>
          <w:rFonts w:ascii="Calibri" w:eastAsia="Calibri" w:hAnsi="Calibri" w:cs="Arial"/>
          <w:color w:val="FF0000"/>
        </w:rPr>
      </w:pPr>
      <w:r w:rsidRPr="003F64D0">
        <w:rPr>
          <w:rFonts w:ascii="Calibri" w:eastAsia="Calibri" w:hAnsi="Calibri" w:cs="Arial"/>
          <w:color w:val="FF0000"/>
        </w:rPr>
        <w:t>Definition - A stereotype that becomes true due to the prophecy itself (1)</w:t>
      </w:r>
    </w:p>
    <w:p w:rsidR="003F64D0" w:rsidRPr="003F64D0" w:rsidRDefault="003F64D0" w:rsidP="003F64D0">
      <w:pPr>
        <w:pStyle w:val="ListParagraph"/>
        <w:numPr>
          <w:ilvl w:val="0"/>
          <w:numId w:val="18"/>
        </w:numPr>
        <w:spacing w:line="240" w:lineRule="auto"/>
        <w:rPr>
          <w:rFonts w:ascii="Calibri" w:eastAsia="Calibri" w:hAnsi="Calibri" w:cs="Arial"/>
          <w:color w:val="FF0000"/>
        </w:rPr>
      </w:pPr>
      <w:r w:rsidRPr="003F64D0">
        <w:rPr>
          <w:rFonts w:ascii="Calibri" w:eastAsia="Calibri" w:hAnsi="Calibri" w:cs="Arial"/>
          <w:color w:val="FF0000"/>
        </w:rPr>
        <w:t>Identifies the in-group as brown eyed (1)</w:t>
      </w:r>
    </w:p>
    <w:p w:rsidR="003F64D0" w:rsidRPr="003F64D0" w:rsidRDefault="003F64D0" w:rsidP="003F64D0">
      <w:pPr>
        <w:pStyle w:val="ListParagraph"/>
        <w:numPr>
          <w:ilvl w:val="0"/>
          <w:numId w:val="18"/>
        </w:numPr>
        <w:spacing w:line="240" w:lineRule="auto"/>
        <w:rPr>
          <w:rFonts w:cstheme="minorHAnsi"/>
        </w:rPr>
      </w:pPr>
      <w:r w:rsidRPr="003F64D0">
        <w:rPr>
          <w:rFonts w:cstheme="minorHAnsi"/>
          <w:color w:val="FF0000"/>
        </w:rPr>
        <w:t>Explains the idea of feedback between a belief and behaviour – for example “The belief that they are better influences behaviour (e.g. running faster) which then reinforces the stereotype”</w:t>
      </w:r>
    </w:p>
    <w:p w:rsidR="00AE51E8" w:rsidRDefault="00AE51E8" w:rsidP="000A6C7C">
      <w:pPr>
        <w:spacing w:after="163" w:line="265" w:lineRule="auto"/>
        <w:ind w:right="43"/>
        <w:rPr>
          <w:rFonts w:eastAsia="Arial" w:cstheme="minorHAnsi"/>
          <w:b/>
          <w:color w:val="181717"/>
          <w:lang w:eastAsia="en-AU"/>
        </w:rPr>
      </w:pPr>
    </w:p>
    <w:p w:rsidR="00B947E6" w:rsidRDefault="00B947E6" w:rsidP="000A6C7C">
      <w:pPr>
        <w:spacing w:after="163" w:line="265" w:lineRule="auto"/>
        <w:ind w:right="43"/>
        <w:rPr>
          <w:rFonts w:eastAsia="Arial" w:cstheme="minorHAnsi"/>
          <w:b/>
          <w:color w:val="181717"/>
          <w:lang w:eastAsia="en-AU"/>
        </w:rPr>
      </w:pPr>
    </w:p>
    <w:p w:rsidR="00601E28" w:rsidRPr="00AE51E8" w:rsidRDefault="006766B2" w:rsidP="00A62797">
      <w:pPr>
        <w:keepNext/>
        <w:keepLines/>
        <w:tabs>
          <w:tab w:val="right" w:pos="9423"/>
        </w:tabs>
        <w:spacing w:after="258"/>
        <w:outlineLvl w:val="2"/>
        <w:rPr>
          <w:rFonts w:eastAsia="Arial" w:cstheme="minorHAnsi"/>
          <w:b/>
          <w:color w:val="181717"/>
          <w:lang w:eastAsia="en-AU"/>
        </w:rPr>
      </w:pPr>
      <w:r>
        <w:rPr>
          <w:rFonts w:eastAsia="Arial" w:cstheme="minorHAnsi"/>
          <w:b/>
          <w:color w:val="181717"/>
          <w:lang w:eastAsia="en-AU"/>
        </w:rPr>
        <w:t xml:space="preserve">Question 12 - </w:t>
      </w:r>
      <w:r w:rsidR="00601E28" w:rsidRPr="00AE51E8">
        <w:rPr>
          <w:rFonts w:eastAsia="Arial" w:cstheme="minorHAnsi"/>
          <w:b/>
          <w:color w:val="181717"/>
          <w:lang w:eastAsia="en-AU"/>
        </w:rPr>
        <w:t>Extended answer</w:t>
      </w:r>
      <w:r w:rsidR="0005544D">
        <w:rPr>
          <w:rFonts w:eastAsia="Arial" w:cstheme="minorHAnsi"/>
          <w:b/>
          <w:color w:val="181717"/>
          <w:lang w:eastAsia="en-AU"/>
        </w:rPr>
        <w:tab/>
        <w:t>(17</w:t>
      </w:r>
      <w:r w:rsidR="00601E28" w:rsidRPr="00AE51E8">
        <w:rPr>
          <w:rFonts w:eastAsia="Arial" w:cstheme="minorHAnsi"/>
          <w:b/>
          <w:color w:val="181717"/>
          <w:lang w:eastAsia="en-AU"/>
        </w:rPr>
        <w:t xml:space="preserve"> marks)</w:t>
      </w:r>
    </w:p>
    <w:p w:rsidR="00D00ECA" w:rsidRPr="00AE51E8" w:rsidRDefault="00D00ECA" w:rsidP="00D00ECA">
      <w:pPr>
        <w:spacing w:after="254" w:line="261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Psychologists have researched and theorised about the influence that biological factors and the environment have on the development of intelligence and language.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what twin and adoption studies reveal about the nature and nurture debate in relation to the development of intelligence (as measured by IQ). 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In your response you should:</w:t>
      </w:r>
    </w:p>
    <w:p w:rsidR="00952288" w:rsidRDefault="00952288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Define key terms (2 marks)</w:t>
      </w:r>
    </w:p>
    <w:p w:rsidR="00D00ECA" w:rsidRPr="00AE51E8" w:rsidRDefault="00D00ECA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examples of biological and environmental factors that can influence the </w:t>
      </w:r>
    </w:p>
    <w:p w:rsidR="00D00ECA" w:rsidRPr="00AE51E8" w:rsidRDefault="00D00ECA" w:rsidP="00D00ECA">
      <w:p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        </w:t>
      </w:r>
      <w:proofErr w:type="gramStart"/>
      <w:r w:rsidRPr="00AE51E8">
        <w:rPr>
          <w:rFonts w:eastAsia="Arial" w:cstheme="minorHAnsi"/>
          <w:color w:val="181717"/>
          <w:lang w:eastAsia="en-AU"/>
        </w:rPr>
        <w:t>development</w:t>
      </w:r>
      <w:proofErr w:type="gramEnd"/>
      <w:r w:rsidRPr="00AE51E8">
        <w:rPr>
          <w:rFonts w:eastAsia="Arial" w:cstheme="minorHAnsi"/>
          <w:color w:val="181717"/>
          <w:lang w:eastAsia="en-AU"/>
        </w:rPr>
        <w:t xml:space="preserve"> of intelligence</w:t>
      </w:r>
      <w:r w:rsidR="00952288">
        <w:rPr>
          <w:rFonts w:eastAsia="Arial" w:cstheme="minorHAnsi"/>
          <w:color w:val="181717"/>
          <w:lang w:eastAsia="en-AU"/>
        </w:rPr>
        <w:t xml:space="preserve"> (3 marks)</w:t>
      </w:r>
    </w:p>
    <w:p w:rsidR="00D00ECA" w:rsidRPr="00AE51E8" w:rsidRDefault="00D00ECA" w:rsidP="00D00ECA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describe how twin studies are carried out</w:t>
      </w:r>
      <w:r w:rsidR="00952288"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 w:rsidR="00952288">
        <w:rPr>
          <w:rFonts w:eastAsia="Arial" w:cstheme="minorHAnsi"/>
          <w:color w:val="181717"/>
          <w:lang w:eastAsia="en-AU"/>
        </w:rPr>
        <w:tab/>
      </w:r>
      <w:r w:rsidR="00952288">
        <w:rPr>
          <w:rFonts w:eastAsia="Arial" w:cstheme="minorHAnsi"/>
          <w:color w:val="181717"/>
          <w:lang w:eastAsia="en-AU"/>
        </w:rPr>
        <w:tab/>
        <w:t xml:space="preserve"> (4 marks)</w:t>
      </w:r>
    </w:p>
    <w:p w:rsidR="00952288" w:rsidRDefault="00952288" w:rsidP="00952288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describe how adoption</w:t>
      </w:r>
      <w:r w:rsidRPr="00AE51E8">
        <w:rPr>
          <w:rFonts w:eastAsia="Arial" w:cstheme="minorHAnsi"/>
          <w:color w:val="181717"/>
          <w:lang w:eastAsia="en-AU"/>
        </w:rPr>
        <w:t xml:space="preserve"> studies are carried out</w:t>
      </w:r>
      <w:r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>
        <w:rPr>
          <w:rFonts w:eastAsia="Arial" w:cstheme="minorHAnsi"/>
          <w:color w:val="181717"/>
          <w:lang w:eastAsia="en-AU"/>
        </w:rPr>
        <w:tab/>
        <w:t xml:space="preserve"> (4 marks)</w:t>
      </w:r>
    </w:p>
    <w:p w:rsidR="0005544D" w:rsidRPr="00AE51E8" w:rsidRDefault="0005544D" w:rsidP="00952288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Give a conclusion on the current understanding of IQ development (1 mark)</w:t>
      </w:r>
    </w:p>
    <w:p w:rsidR="00D00ECA" w:rsidRPr="00AE51E8" w:rsidRDefault="00952288" w:rsidP="00D00ECA">
      <w:pPr>
        <w:numPr>
          <w:ilvl w:val="0"/>
          <w:numId w:val="5"/>
        </w:numPr>
        <w:spacing w:after="261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Quality of response (3 marks)</w:t>
      </w: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8"/>
        <w:gridCol w:w="972"/>
      </w:tblGrid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 w:rsidRPr="009C0EDA">
              <w:rPr>
                <w:rFonts w:ascii="Arial" w:hAnsi="Arial"/>
                <w:b/>
              </w:rPr>
              <w:t xml:space="preserve">       Gui</w:t>
            </w:r>
            <w:r>
              <w:rPr>
                <w:rFonts w:ascii="Arial" w:hAnsi="Arial"/>
                <w:b/>
              </w:rPr>
              <w:t>de to Marking Extended Response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 w:rsidRPr="009C0EDA">
              <w:rPr>
                <w:rFonts w:ascii="Arial" w:hAnsi="Arial"/>
                <w:b/>
              </w:rPr>
              <w:t>Marks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 w:rsidRPr="009C0EDA">
              <w:rPr>
                <w:rFonts w:ascii="Arial" w:hAnsi="Arial"/>
                <w:b/>
              </w:rPr>
              <w:t>Definitions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4A5A41" w:rsidRPr="009C0EDA" w:rsidRDefault="000B394A" w:rsidP="001505ED">
            <w:pPr>
              <w:rPr>
                <w:rFonts w:ascii="Arial" w:hAnsi="Arial"/>
              </w:rPr>
            </w:pPr>
            <w:r w:rsidRPr="009C0EDA">
              <w:rPr>
                <w:rFonts w:ascii="Arial" w:hAnsi="Arial"/>
              </w:rPr>
              <w:t>Correct definitions</w:t>
            </w:r>
            <w:r>
              <w:rPr>
                <w:rFonts w:ascii="Arial" w:hAnsi="Arial"/>
              </w:rPr>
              <w:t xml:space="preserve"> (nature and nurture) (1 each)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 w:rsidRPr="009C0EDA">
              <w:rPr>
                <w:rFonts w:ascii="Arial" w:hAnsi="Arial"/>
              </w:rPr>
              <w:t>No definitions.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 w:rsidRPr="009C0EDA">
              <w:rPr>
                <w:rFonts w:ascii="Arial" w:hAnsi="Arial"/>
              </w:rPr>
              <w:t>0</w:t>
            </w:r>
          </w:p>
        </w:tc>
      </w:tr>
      <w:tr w:rsidR="000B394A" w:rsidRPr="00902636" w:rsidTr="001505ED">
        <w:trPr>
          <w:trHeight w:val="281"/>
        </w:trPr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Examples of biological and environmental factors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Comprehensive examples of both, with descriptions</w:t>
            </w:r>
            <w:r w:rsidR="008E2ECD">
              <w:rPr>
                <w:rFonts w:ascii="Arial" w:hAnsi="Arial"/>
              </w:rPr>
              <w:t xml:space="preserve"> </w:t>
            </w:r>
          </w:p>
          <w:p w:rsidR="008E2ECD" w:rsidRPr="004A5A41" w:rsidRDefault="008E2ECD" w:rsidP="001505ED">
            <w:pPr>
              <w:rPr>
                <w:rFonts w:ascii="Arial" w:hAnsi="Arial"/>
                <w:color w:val="2E74B5" w:themeColor="accent1" w:themeShade="BF"/>
              </w:rPr>
            </w:pPr>
            <w:r w:rsidRPr="004A5A41">
              <w:rPr>
                <w:rFonts w:ascii="Arial" w:hAnsi="Arial"/>
                <w:color w:val="2E74B5" w:themeColor="accent1" w:themeShade="BF"/>
              </w:rPr>
              <w:t xml:space="preserve">*Must have: </w:t>
            </w:r>
            <w:r w:rsidRPr="004A5A41">
              <w:rPr>
                <w:rFonts w:ascii="Arial" w:hAnsi="Arial"/>
                <w:color w:val="2E74B5" w:themeColor="accent1" w:themeShade="BF"/>
              </w:rPr>
              <w:t xml:space="preserve">Nature – genes/DNA </w:t>
            </w:r>
          </w:p>
          <w:p w:rsidR="008E2ECD" w:rsidRPr="004A5A41" w:rsidRDefault="008E2ECD" w:rsidP="001505ED">
            <w:pPr>
              <w:rPr>
                <w:rFonts w:ascii="Arial" w:hAnsi="Arial"/>
                <w:color w:val="2E74B5" w:themeColor="accent1" w:themeShade="BF"/>
              </w:rPr>
            </w:pPr>
            <w:r w:rsidRPr="004A5A41">
              <w:rPr>
                <w:rFonts w:ascii="Arial" w:hAnsi="Arial"/>
                <w:color w:val="2E74B5" w:themeColor="accent1" w:themeShade="BF"/>
              </w:rPr>
              <w:t>Examples of nurture– income of parents, schooling, nutrition etc.</w:t>
            </w:r>
          </w:p>
          <w:p w:rsidR="008E2ECD" w:rsidRPr="009C0EDA" w:rsidRDefault="008E2ECD" w:rsidP="001505ED">
            <w:pPr>
              <w:rPr>
                <w:rFonts w:ascii="Arial" w:hAnsi="Arial"/>
              </w:rPr>
            </w:pP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Some examples of both, listed 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Examples of either biological or environmental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RPr="00902636" w:rsidTr="001505ED">
        <w:trPr>
          <w:trHeight w:val="337"/>
        </w:trPr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 w:rsidRPr="009C0EDA">
              <w:rPr>
                <w:rFonts w:ascii="Arial" w:hAnsi="Arial"/>
              </w:rPr>
              <w:t xml:space="preserve">No </w:t>
            </w:r>
            <w:r>
              <w:rPr>
                <w:rFonts w:ascii="Arial" w:hAnsi="Arial"/>
              </w:rPr>
              <w:t>examples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 w:rsidRPr="009C0EDA">
              <w:rPr>
                <w:rFonts w:ascii="Arial" w:hAnsi="Arial"/>
              </w:rPr>
              <w:t>0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A05091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Twin studies 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4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Clear understanding and explaining the methodology</w:t>
            </w:r>
          </w:p>
          <w:p w:rsidR="004A5A41" w:rsidRPr="004A5A41" w:rsidRDefault="004A5A41" w:rsidP="001505ED">
            <w:pPr>
              <w:rPr>
                <w:rFonts w:ascii="Arial" w:hAnsi="Arial"/>
                <w:color w:val="2E74B5" w:themeColor="accent1" w:themeShade="BF"/>
              </w:rPr>
            </w:pPr>
            <w:r w:rsidRPr="004A5A41">
              <w:rPr>
                <w:rFonts w:ascii="Arial" w:hAnsi="Arial"/>
                <w:color w:val="2E74B5" w:themeColor="accent1" w:themeShade="BF"/>
              </w:rPr>
              <w:t>Monozygotic twins’ concordance rates of a trait are determined and compared to dizygotic twins (1)</w:t>
            </w:r>
          </w:p>
          <w:p w:rsidR="004A5A41" w:rsidRPr="009C0EDA" w:rsidRDefault="004A5A41" w:rsidP="001505ED">
            <w:pPr>
              <w:rPr>
                <w:rFonts w:ascii="Arial" w:hAnsi="Arial"/>
              </w:rPr>
            </w:pPr>
            <w:r w:rsidRPr="004A5A41">
              <w:rPr>
                <w:rFonts w:ascii="Arial" w:hAnsi="Arial"/>
                <w:color w:val="2E74B5" w:themeColor="accent1" w:themeShade="BF"/>
              </w:rPr>
              <w:t>Higher concordance rate of MZ twins means larger genetic/nature component (1)</w:t>
            </w:r>
          </w:p>
        </w:tc>
        <w:tc>
          <w:tcPr>
            <w:tcW w:w="972" w:type="dxa"/>
            <w:shd w:val="clear" w:color="auto" w:fill="auto"/>
          </w:tcPr>
          <w:p w:rsidR="000B394A" w:rsidRPr="00993DC5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0B394A" w:rsidRPr="00902636" w:rsidTr="001505ED">
        <w:trPr>
          <w:trHeight w:val="402"/>
        </w:trPr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Describing a specific study</w:t>
            </w:r>
          </w:p>
        </w:tc>
        <w:tc>
          <w:tcPr>
            <w:tcW w:w="972" w:type="dxa"/>
            <w:shd w:val="clear" w:color="auto" w:fill="auto"/>
          </w:tcPr>
          <w:p w:rsidR="000B394A" w:rsidRPr="00A05091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Giving a conclusion for the study</w:t>
            </w:r>
          </w:p>
        </w:tc>
        <w:tc>
          <w:tcPr>
            <w:tcW w:w="972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Not addressed</w:t>
            </w:r>
          </w:p>
        </w:tc>
        <w:tc>
          <w:tcPr>
            <w:tcW w:w="972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0B394A" w:rsidRPr="009C0EDA" w:rsidTr="001505ED">
        <w:tc>
          <w:tcPr>
            <w:tcW w:w="9108" w:type="dxa"/>
            <w:shd w:val="clear" w:color="auto" w:fill="auto"/>
          </w:tcPr>
          <w:p w:rsidR="000B394A" w:rsidRPr="00A05091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Adoption studies 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4</w:t>
            </w:r>
          </w:p>
        </w:tc>
      </w:tr>
      <w:tr w:rsidR="000B394A" w:rsidRPr="00993DC5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Clear understanding and explaining the methodology</w:t>
            </w:r>
          </w:p>
          <w:p w:rsidR="0005544D" w:rsidRPr="0005544D" w:rsidRDefault="0005544D" w:rsidP="001505ED">
            <w:pPr>
              <w:rPr>
                <w:rFonts w:ascii="Arial" w:hAnsi="Arial"/>
                <w:color w:val="2E74B5" w:themeColor="accent1" w:themeShade="BF"/>
              </w:rPr>
            </w:pPr>
            <w:r w:rsidRPr="0005544D">
              <w:rPr>
                <w:rFonts w:ascii="Arial" w:hAnsi="Arial"/>
                <w:color w:val="2E74B5" w:themeColor="accent1" w:themeShade="BF"/>
              </w:rPr>
              <w:t>Concordance rates of trait compared – child and biological parents vs child and adoptive parents (1)</w:t>
            </w:r>
          </w:p>
          <w:p w:rsidR="0005544D" w:rsidRPr="009C0EDA" w:rsidRDefault="0005544D" w:rsidP="001505ED">
            <w:pPr>
              <w:rPr>
                <w:rFonts w:ascii="Arial" w:hAnsi="Arial"/>
              </w:rPr>
            </w:pPr>
            <w:r w:rsidRPr="0005544D">
              <w:rPr>
                <w:rFonts w:ascii="Arial" w:hAnsi="Arial"/>
                <w:color w:val="2E74B5" w:themeColor="accent1" w:themeShade="BF"/>
              </w:rPr>
              <w:t>If more similar to biological parents it indicates more of a genetic component (1)</w:t>
            </w:r>
          </w:p>
        </w:tc>
        <w:tc>
          <w:tcPr>
            <w:tcW w:w="972" w:type="dxa"/>
            <w:shd w:val="clear" w:color="auto" w:fill="auto"/>
          </w:tcPr>
          <w:p w:rsidR="000B394A" w:rsidRPr="00993DC5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1-2</w:t>
            </w:r>
          </w:p>
        </w:tc>
      </w:tr>
      <w:tr w:rsidR="000B394A" w:rsidRPr="00A05091" w:rsidTr="001505ED">
        <w:trPr>
          <w:trHeight w:val="402"/>
        </w:trPr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Describing a specific study</w:t>
            </w:r>
          </w:p>
        </w:tc>
        <w:tc>
          <w:tcPr>
            <w:tcW w:w="972" w:type="dxa"/>
            <w:shd w:val="clear" w:color="auto" w:fill="auto"/>
          </w:tcPr>
          <w:p w:rsidR="000B394A" w:rsidRPr="00A05091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Giving a conclusion for the study</w:t>
            </w:r>
          </w:p>
        </w:tc>
        <w:tc>
          <w:tcPr>
            <w:tcW w:w="972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Tr="001505ED">
        <w:tc>
          <w:tcPr>
            <w:tcW w:w="9108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Not addressed</w:t>
            </w:r>
          </w:p>
        </w:tc>
        <w:tc>
          <w:tcPr>
            <w:tcW w:w="972" w:type="dxa"/>
            <w:shd w:val="clear" w:color="auto" w:fill="auto"/>
          </w:tcPr>
          <w:p w:rsidR="000B394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A05091" w:rsidRDefault="00037E07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Conc</w:t>
            </w:r>
            <w:r w:rsidR="000B394A">
              <w:rPr>
                <w:rFonts w:ascii="Arial" w:hAnsi="Arial"/>
                <w:b/>
              </w:rPr>
              <w:t xml:space="preserve">lusion 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States that there is a genetically determined window (nature) influenced by the environment (nurture)</w:t>
            </w:r>
          </w:p>
        </w:tc>
        <w:tc>
          <w:tcPr>
            <w:tcW w:w="972" w:type="dxa"/>
            <w:shd w:val="clear" w:color="auto" w:fill="auto"/>
          </w:tcPr>
          <w:p w:rsidR="000B394A" w:rsidRPr="00993DC5" w:rsidRDefault="000B394A" w:rsidP="001505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 w:rsidRPr="009C0EDA">
              <w:rPr>
                <w:rFonts w:ascii="Arial" w:hAnsi="Arial"/>
                <w:b/>
              </w:rPr>
              <w:t>Structure</w:t>
            </w:r>
            <w:r>
              <w:rPr>
                <w:rFonts w:ascii="Arial" w:hAnsi="Arial"/>
                <w:b/>
              </w:rPr>
              <w:t>/ Quality of Response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05544D" w:rsidRPr="00902636" w:rsidTr="001505ED">
        <w:tc>
          <w:tcPr>
            <w:tcW w:w="9108" w:type="dxa"/>
            <w:shd w:val="clear" w:color="auto" w:fill="auto"/>
          </w:tcPr>
          <w:p w:rsidR="0005544D" w:rsidRPr="00270337" w:rsidRDefault="0005544D" w:rsidP="0005544D">
            <w:r w:rsidRPr="00270337">
              <w:t>•</w:t>
            </w:r>
            <w:r w:rsidRPr="00270337">
              <w:t xml:space="preserve"> </w:t>
            </w:r>
            <w:r w:rsidRPr="00270337">
              <w:t>A well-structured response with consistent use of appropriate psychological language and correct spelling, grammar and punctuation throughout</w:t>
            </w:r>
          </w:p>
        </w:tc>
        <w:tc>
          <w:tcPr>
            <w:tcW w:w="972" w:type="dxa"/>
            <w:shd w:val="clear" w:color="auto" w:fill="auto"/>
          </w:tcPr>
          <w:p w:rsidR="0005544D" w:rsidRPr="00270337" w:rsidRDefault="0005544D" w:rsidP="0005544D">
            <w:r>
              <w:t>3</w:t>
            </w:r>
          </w:p>
        </w:tc>
      </w:tr>
      <w:tr w:rsidR="0005544D" w:rsidRPr="00902636" w:rsidTr="001505ED">
        <w:trPr>
          <w:trHeight w:val="295"/>
        </w:trPr>
        <w:tc>
          <w:tcPr>
            <w:tcW w:w="9108" w:type="dxa"/>
            <w:shd w:val="clear" w:color="auto" w:fill="auto"/>
          </w:tcPr>
          <w:p w:rsidR="0005544D" w:rsidRPr="00270337" w:rsidRDefault="0005544D" w:rsidP="0005544D">
            <w:r w:rsidRPr="00270337">
              <w:t>•</w:t>
            </w:r>
            <w:r w:rsidRPr="00270337">
              <w:t xml:space="preserve"> </w:t>
            </w:r>
            <w:r w:rsidRPr="00270337">
              <w:t>Satisfactory structure and everyday language with adequate spelling, grammar and punctuation</w:t>
            </w:r>
          </w:p>
        </w:tc>
        <w:tc>
          <w:tcPr>
            <w:tcW w:w="972" w:type="dxa"/>
            <w:shd w:val="clear" w:color="auto" w:fill="auto"/>
          </w:tcPr>
          <w:p w:rsidR="0005544D" w:rsidRPr="00270337" w:rsidRDefault="0005544D" w:rsidP="0005544D">
            <w:r>
              <w:t>2</w:t>
            </w:r>
          </w:p>
        </w:tc>
      </w:tr>
      <w:tr w:rsidR="0005544D" w:rsidRPr="00902636" w:rsidTr="001505ED">
        <w:trPr>
          <w:trHeight w:val="352"/>
        </w:trPr>
        <w:tc>
          <w:tcPr>
            <w:tcW w:w="9108" w:type="dxa"/>
            <w:shd w:val="clear" w:color="auto" w:fill="auto"/>
          </w:tcPr>
          <w:p w:rsidR="0005544D" w:rsidRPr="00270337" w:rsidRDefault="0005544D" w:rsidP="0005544D">
            <w:r w:rsidRPr="00270337">
              <w:t>•</w:t>
            </w:r>
            <w:r w:rsidRPr="00270337">
              <w:t xml:space="preserve"> </w:t>
            </w:r>
            <w:r w:rsidRPr="00270337">
              <w:t xml:space="preserve">Poor Structure </w:t>
            </w:r>
            <w:r>
              <w:t>(</w:t>
            </w:r>
            <w:proofErr w:type="spellStart"/>
            <w:r>
              <w:t>inc.</w:t>
            </w:r>
            <w:proofErr w:type="spellEnd"/>
            <w:r>
              <w:t xml:space="preserve"> dot points) </w:t>
            </w:r>
            <w:r w:rsidRPr="00270337">
              <w:t>with colloquial language and/or poor English expression and/or many spelling/grammar/punctuation errors throughout</w:t>
            </w:r>
          </w:p>
        </w:tc>
        <w:tc>
          <w:tcPr>
            <w:tcW w:w="972" w:type="dxa"/>
            <w:shd w:val="clear" w:color="auto" w:fill="auto"/>
          </w:tcPr>
          <w:p w:rsidR="0005544D" w:rsidRPr="00270337" w:rsidRDefault="0005544D" w:rsidP="0005544D">
            <w:r>
              <w:t>1</w:t>
            </w:r>
          </w:p>
        </w:tc>
      </w:tr>
      <w:tr w:rsidR="000B394A" w:rsidRPr="00902636" w:rsidTr="001505ED">
        <w:tc>
          <w:tcPr>
            <w:tcW w:w="9108" w:type="dxa"/>
            <w:shd w:val="clear" w:color="auto" w:fill="auto"/>
          </w:tcPr>
          <w:p w:rsidR="000B394A" w:rsidRPr="009C0EDA" w:rsidRDefault="000B394A" w:rsidP="001505ED">
            <w:pPr>
              <w:jc w:val="right"/>
              <w:rPr>
                <w:rFonts w:ascii="Arial" w:hAnsi="Arial"/>
                <w:b/>
              </w:rPr>
            </w:pPr>
            <w:r w:rsidRPr="009C0EDA">
              <w:rPr>
                <w:rFonts w:ascii="Arial" w:hAnsi="Arial"/>
                <w:b/>
              </w:rPr>
              <w:t>TOTAL</w:t>
            </w:r>
          </w:p>
        </w:tc>
        <w:tc>
          <w:tcPr>
            <w:tcW w:w="972" w:type="dxa"/>
            <w:shd w:val="clear" w:color="auto" w:fill="auto"/>
          </w:tcPr>
          <w:p w:rsidR="000B394A" w:rsidRPr="009C0EDA" w:rsidRDefault="000B394A" w:rsidP="001505E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/17</w:t>
            </w:r>
          </w:p>
        </w:tc>
      </w:tr>
    </w:tbl>
    <w:p w:rsidR="003E73F4" w:rsidRPr="00AE51E8" w:rsidRDefault="003E73F4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</w:p>
    <w:sectPr w:rsidR="003E73F4" w:rsidRPr="00AE51E8" w:rsidSect="000A6C7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B93"/>
    <w:multiLevelType w:val="hybridMultilevel"/>
    <w:tmpl w:val="10A86ADE"/>
    <w:lvl w:ilvl="0" w:tplc="7DF0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31A1"/>
    <w:multiLevelType w:val="hybridMultilevel"/>
    <w:tmpl w:val="661A83F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4E2E"/>
    <w:multiLevelType w:val="hybridMultilevel"/>
    <w:tmpl w:val="1A767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5A3"/>
    <w:multiLevelType w:val="hybridMultilevel"/>
    <w:tmpl w:val="6B400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6E79"/>
    <w:multiLevelType w:val="hybridMultilevel"/>
    <w:tmpl w:val="04628364"/>
    <w:lvl w:ilvl="0" w:tplc="8F542E8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F2890"/>
    <w:multiLevelType w:val="hybridMultilevel"/>
    <w:tmpl w:val="BB22B5FC"/>
    <w:lvl w:ilvl="0" w:tplc="13307B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E7030"/>
    <w:multiLevelType w:val="hybridMultilevel"/>
    <w:tmpl w:val="A0428440"/>
    <w:lvl w:ilvl="0" w:tplc="F4DC1D2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031A7"/>
    <w:multiLevelType w:val="hybridMultilevel"/>
    <w:tmpl w:val="22E282B4"/>
    <w:lvl w:ilvl="0" w:tplc="AEDCC708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831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708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4F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6CA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C69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D03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96B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132A1"/>
    <w:multiLevelType w:val="hybridMultilevel"/>
    <w:tmpl w:val="049E9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1647F"/>
    <w:multiLevelType w:val="hybridMultilevel"/>
    <w:tmpl w:val="5AE0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2572A"/>
    <w:multiLevelType w:val="hybridMultilevel"/>
    <w:tmpl w:val="0354EE32"/>
    <w:lvl w:ilvl="0" w:tplc="47D0531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E0056"/>
    <w:multiLevelType w:val="hybridMultilevel"/>
    <w:tmpl w:val="19540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54D30"/>
    <w:multiLevelType w:val="hybridMultilevel"/>
    <w:tmpl w:val="49F0F5E6"/>
    <w:lvl w:ilvl="0" w:tplc="2758A4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854E5"/>
    <w:multiLevelType w:val="hybridMultilevel"/>
    <w:tmpl w:val="595A6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D0F58"/>
    <w:multiLevelType w:val="hybridMultilevel"/>
    <w:tmpl w:val="C1986C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A63D8"/>
    <w:multiLevelType w:val="hybridMultilevel"/>
    <w:tmpl w:val="5CBADF0A"/>
    <w:lvl w:ilvl="0" w:tplc="09A438B4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ACA">
      <w:start w:val="1"/>
      <w:numFmt w:val="lowerRoman"/>
      <w:lvlText w:val="(%2)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CC740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D69C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7BF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702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4258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8D852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644CE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5E3934"/>
    <w:multiLevelType w:val="hybridMultilevel"/>
    <w:tmpl w:val="C9509EA0"/>
    <w:lvl w:ilvl="0" w:tplc="68922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5"/>
  </w:num>
  <w:num w:numId="5">
    <w:abstractNumId w:val="7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9"/>
    <w:rsid w:val="00007D5F"/>
    <w:rsid w:val="00037E07"/>
    <w:rsid w:val="00040EE5"/>
    <w:rsid w:val="00053F53"/>
    <w:rsid w:val="0005544D"/>
    <w:rsid w:val="0005588C"/>
    <w:rsid w:val="000A33D1"/>
    <w:rsid w:val="000A6C7C"/>
    <w:rsid w:val="000B394A"/>
    <w:rsid w:val="000F5467"/>
    <w:rsid w:val="00122897"/>
    <w:rsid w:val="001313A9"/>
    <w:rsid w:val="00137BA4"/>
    <w:rsid w:val="001831F1"/>
    <w:rsid w:val="00185069"/>
    <w:rsid w:val="001A5375"/>
    <w:rsid w:val="001C49D9"/>
    <w:rsid w:val="001D26DA"/>
    <w:rsid w:val="001E109A"/>
    <w:rsid w:val="001F20B3"/>
    <w:rsid w:val="001F5D81"/>
    <w:rsid w:val="00203BAC"/>
    <w:rsid w:val="00204EB0"/>
    <w:rsid w:val="00215508"/>
    <w:rsid w:val="00236368"/>
    <w:rsid w:val="0025180D"/>
    <w:rsid w:val="00253ADC"/>
    <w:rsid w:val="0029532E"/>
    <w:rsid w:val="002D5BDD"/>
    <w:rsid w:val="00330F9D"/>
    <w:rsid w:val="00336165"/>
    <w:rsid w:val="0034668C"/>
    <w:rsid w:val="003A24F2"/>
    <w:rsid w:val="003D79C6"/>
    <w:rsid w:val="003E5868"/>
    <w:rsid w:val="003E73F4"/>
    <w:rsid w:val="003F49A2"/>
    <w:rsid w:val="003F64D0"/>
    <w:rsid w:val="00415D9B"/>
    <w:rsid w:val="00435AA3"/>
    <w:rsid w:val="00484446"/>
    <w:rsid w:val="004A5A41"/>
    <w:rsid w:val="004C028B"/>
    <w:rsid w:val="004C2270"/>
    <w:rsid w:val="004E5CFB"/>
    <w:rsid w:val="004F7452"/>
    <w:rsid w:val="00506FDE"/>
    <w:rsid w:val="00542D80"/>
    <w:rsid w:val="005569CF"/>
    <w:rsid w:val="005632DD"/>
    <w:rsid w:val="005666EF"/>
    <w:rsid w:val="00581C5E"/>
    <w:rsid w:val="00584588"/>
    <w:rsid w:val="005B1E8E"/>
    <w:rsid w:val="005B2860"/>
    <w:rsid w:val="005C54AD"/>
    <w:rsid w:val="005F3411"/>
    <w:rsid w:val="00601E28"/>
    <w:rsid w:val="0060374C"/>
    <w:rsid w:val="00622256"/>
    <w:rsid w:val="00660930"/>
    <w:rsid w:val="006641B2"/>
    <w:rsid w:val="00664298"/>
    <w:rsid w:val="00670248"/>
    <w:rsid w:val="006766B2"/>
    <w:rsid w:val="006932D2"/>
    <w:rsid w:val="0069497C"/>
    <w:rsid w:val="006A7A61"/>
    <w:rsid w:val="006E1107"/>
    <w:rsid w:val="00725C0B"/>
    <w:rsid w:val="0073036B"/>
    <w:rsid w:val="00777A5E"/>
    <w:rsid w:val="00790930"/>
    <w:rsid w:val="007F0359"/>
    <w:rsid w:val="007F0588"/>
    <w:rsid w:val="007F6BFB"/>
    <w:rsid w:val="0080651D"/>
    <w:rsid w:val="00830D42"/>
    <w:rsid w:val="008A429D"/>
    <w:rsid w:val="008A7E8F"/>
    <w:rsid w:val="008D4EBB"/>
    <w:rsid w:val="008E2ECD"/>
    <w:rsid w:val="009207BB"/>
    <w:rsid w:val="009442EE"/>
    <w:rsid w:val="00952288"/>
    <w:rsid w:val="00962ED3"/>
    <w:rsid w:val="00980A6F"/>
    <w:rsid w:val="0098215D"/>
    <w:rsid w:val="00983653"/>
    <w:rsid w:val="009B04CB"/>
    <w:rsid w:val="009B347D"/>
    <w:rsid w:val="009D7859"/>
    <w:rsid w:val="009F203B"/>
    <w:rsid w:val="00A03136"/>
    <w:rsid w:val="00A0321D"/>
    <w:rsid w:val="00A62797"/>
    <w:rsid w:val="00A83A14"/>
    <w:rsid w:val="00AD0D51"/>
    <w:rsid w:val="00AE51E8"/>
    <w:rsid w:val="00B16117"/>
    <w:rsid w:val="00B50145"/>
    <w:rsid w:val="00B77C1B"/>
    <w:rsid w:val="00B919D4"/>
    <w:rsid w:val="00B947E6"/>
    <w:rsid w:val="00B97865"/>
    <w:rsid w:val="00BA2A4C"/>
    <w:rsid w:val="00BE0385"/>
    <w:rsid w:val="00C072D0"/>
    <w:rsid w:val="00C26F85"/>
    <w:rsid w:val="00C474C9"/>
    <w:rsid w:val="00C83E0A"/>
    <w:rsid w:val="00CB7BAC"/>
    <w:rsid w:val="00CC0F36"/>
    <w:rsid w:val="00D00ECA"/>
    <w:rsid w:val="00D41BB5"/>
    <w:rsid w:val="00D933A7"/>
    <w:rsid w:val="00DC35DB"/>
    <w:rsid w:val="00DD12F7"/>
    <w:rsid w:val="00E117E9"/>
    <w:rsid w:val="00E13D0F"/>
    <w:rsid w:val="00E33ECC"/>
    <w:rsid w:val="00E72376"/>
    <w:rsid w:val="00E83C1C"/>
    <w:rsid w:val="00EA3280"/>
    <w:rsid w:val="00EB5B07"/>
    <w:rsid w:val="00EB688C"/>
    <w:rsid w:val="00F0658A"/>
    <w:rsid w:val="00F24196"/>
    <w:rsid w:val="00F93332"/>
    <w:rsid w:val="00FB2F1E"/>
    <w:rsid w:val="00FC0658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BCFF"/>
  <w15:docId w15:val="{A08B2FC6-FE10-4132-B0DF-B643F6A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4C9"/>
    <w:pPr>
      <w:keepNext/>
      <w:tabs>
        <w:tab w:val="left" w:pos="540"/>
        <w:tab w:val="center" w:pos="4513"/>
      </w:tabs>
      <w:suppressAutoHyphens/>
      <w:spacing w:after="240" w:line="400" w:lineRule="atLeast"/>
      <w:jc w:val="both"/>
      <w:outlineLvl w:val="0"/>
    </w:pPr>
    <w:rPr>
      <w:rFonts w:ascii="Arial" w:eastAsia="Times New Roman" w:hAnsi="Arial" w:cs="Arial"/>
      <w:b/>
      <w:spacing w:val="-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5069"/>
    <w:rPr>
      <w:b/>
      <w:bCs/>
    </w:rPr>
  </w:style>
  <w:style w:type="character" w:styleId="Emphasis">
    <w:name w:val="Emphasis"/>
    <w:basedOn w:val="DefaultParagraphFont"/>
    <w:uiPriority w:val="20"/>
    <w:qFormat/>
    <w:rsid w:val="0018506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474C9"/>
    <w:rPr>
      <w:rFonts w:ascii="Arial" w:eastAsia="Times New Roman" w:hAnsi="Arial" w:cs="Arial"/>
      <w:b/>
      <w:spacing w:val="-2"/>
      <w:sz w:val="28"/>
      <w:szCs w:val="20"/>
    </w:rPr>
  </w:style>
  <w:style w:type="paragraph" w:customStyle="1" w:styleId="05Sec2Examqncont">
    <w:name w:val="05 Sec 2 Exam qn cont"/>
    <w:basedOn w:val="Normal"/>
    <w:qFormat/>
    <w:rsid w:val="00C474C9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962E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EDWARDS Natalie [Narrogin Senior High School]</cp:lastModifiedBy>
  <cp:revision>23</cp:revision>
  <cp:lastPrinted>2017-06-22T01:36:00Z</cp:lastPrinted>
  <dcterms:created xsi:type="dcterms:W3CDTF">2021-11-29T04:45:00Z</dcterms:created>
  <dcterms:modified xsi:type="dcterms:W3CDTF">2021-11-29T05:20:00Z</dcterms:modified>
</cp:coreProperties>
</file>