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99A8" w14:textId="77777777" w:rsidR="001B7E14" w:rsidRPr="008E0833" w:rsidRDefault="00957F52" w:rsidP="00957F52">
      <w:pPr>
        <w:pBdr>
          <w:top w:val="single" w:sz="12" w:space="1" w:color="auto"/>
          <w:left w:val="single" w:sz="12" w:space="4" w:color="auto"/>
          <w:bottom w:val="single" w:sz="12" w:space="1" w:color="auto"/>
          <w:right w:val="single" w:sz="12" w:space="4" w:color="auto"/>
        </w:pBdr>
        <w:spacing w:after="0"/>
        <w:jc w:val="center"/>
        <w:rPr>
          <w:rFonts w:ascii="Arial" w:hAnsi="Arial" w:cs="Arial"/>
          <w:b/>
          <w:sz w:val="24"/>
          <w:szCs w:val="24"/>
        </w:rPr>
      </w:pPr>
      <w:r w:rsidRPr="008E0833">
        <w:rPr>
          <w:rFonts w:ascii="Arial" w:hAnsi="Arial" w:cs="Arial"/>
          <w:b/>
          <w:sz w:val="24"/>
          <w:szCs w:val="24"/>
        </w:rPr>
        <w:t>Leeming Senior High School</w:t>
      </w:r>
    </w:p>
    <w:p w14:paraId="44759F04" w14:textId="77777777" w:rsidR="00957F52" w:rsidRPr="008E0833" w:rsidRDefault="00957F52" w:rsidP="00703824">
      <w:pPr>
        <w:pBdr>
          <w:top w:val="single" w:sz="12" w:space="1" w:color="auto"/>
          <w:left w:val="single" w:sz="12" w:space="4" w:color="auto"/>
          <w:bottom w:val="single" w:sz="12" w:space="1" w:color="auto"/>
          <w:right w:val="single" w:sz="12" w:space="4" w:color="auto"/>
        </w:pBdr>
        <w:spacing w:after="0"/>
        <w:jc w:val="center"/>
        <w:rPr>
          <w:rFonts w:ascii="Arial" w:hAnsi="Arial" w:cs="Arial"/>
          <w:b/>
          <w:sz w:val="24"/>
          <w:szCs w:val="24"/>
        </w:rPr>
      </w:pPr>
      <w:r w:rsidRPr="008E0833">
        <w:rPr>
          <w:rFonts w:ascii="Arial" w:hAnsi="Arial" w:cs="Arial"/>
          <w:b/>
          <w:sz w:val="24"/>
          <w:szCs w:val="24"/>
        </w:rPr>
        <w:t>Acco</w:t>
      </w:r>
      <w:r w:rsidR="005B6EC3" w:rsidRPr="008E0833">
        <w:rPr>
          <w:rFonts w:ascii="Arial" w:hAnsi="Arial" w:cs="Arial"/>
          <w:b/>
          <w:sz w:val="24"/>
          <w:szCs w:val="24"/>
        </w:rPr>
        <w:t>unting and Finance ATAR (Year 12</w:t>
      </w:r>
      <w:r w:rsidRPr="008E0833">
        <w:rPr>
          <w:rFonts w:ascii="Arial" w:hAnsi="Arial" w:cs="Arial"/>
          <w:b/>
          <w:sz w:val="24"/>
          <w:szCs w:val="24"/>
        </w:rPr>
        <w:t>)</w:t>
      </w:r>
    </w:p>
    <w:p w14:paraId="6F624640" w14:textId="77777777" w:rsidR="00957F52" w:rsidRPr="008E0833" w:rsidRDefault="00957F52" w:rsidP="00703824">
      <w:pPr>
        <w:spacing w:after="0"/>
        <w:jc w:val="both"/>
        <w:rPr>
          <w:rFonts w:ascii="Arial" w:hAnsi="Arial" w:cs="Arial"/>
          <w:sz w:val="20"/>
          <w:szCs w:val="20"/>
        </w:rPr>
      </w:pPr>
    </w:p>
    <w:p w14:paraId="282DF160" w14:textId="77777777" w:rsidR="00152737" w:rsidRPr="008E0833" w:rsidRDefault="005B6EC3" w:rsidP="00703824">
      <w:pPr>
        <w:spacing w:after="0"/>
        <w:jc w:val="center"/>
        <w:rPr>
          <w:rFonts w:ascii="Arial" w:hAnsi="Arial" w:cs="Arial"/>
          <w:b/>
          <w:sz w:val="20"/>
          <w:szCs w:val="20"/>
        </w:rPr>
      </w:pPr>
      <w:r w:rsidRPr="008E0833">
        <w:rPr>
          <w:rFonts w:ascii="Arial" w:hAnsi="Arial" w:cs="Arial"/>
          <w:b/>
          <w:sz w:val="20"/>
          <w:szCs w:val="20"/>
        </w:rPr>
        <w:t>Unit 3</w:t>
      </w:r>
    </w:p>
    <w:p w14:paraId="0591A78D" w14:textId="02492444" w:rsidR="00703824" w:rsidRDefault="000B303E" w:rsidP="00703824">
      <w:pPr>
        <w:spacing w:after="0"/>
        <w:jc w:val="center"/>
        <w:rPr>
          <w:rFonts w:ascii="Arial" w:hAnsi="Arial" w:cs="Arial"/>
          <w:b/>
          <w:sz w:val="20"/>
          <w:szCs w:val="20"/>
        </w:rPr>
      </w:pPr>
      <w:r w:rsidRPr="008E0833">
        <w:rPr>
          <w:rFonts w:ascii="Arial" w:hAnsi="Arial" w:cs="Arial"/>
          <w:b/>
          <w:sz w:val="20"/>
          <w:szCs w:val="20"/>
        </w:rPr>
        <w:t>Task 1</w:t>
      </w:r>
    </w:p>
    <w:p w14:paraId="4B00FB1A" w14:textId="449DBE07" w:rsidR="0090298A" w:rsidRPr="0090298A" w:rsidRDefault="0090298A" w:rsidP="00703824">
      <w:pPr>
        <w:spacing w:after="0"/>
        <w:jc w:val="center"/>
        <w:rPr>
          <w:rFonts w:ascii="Arial" w:hAnsi="Arial" w:cs="Arial"/>
          <w:b/>
          <w:color w:val="FF0000"/>
          <w:sz w:val="20"/>
          <w:szCs w:val="20"/>
        </w:rPr>
      </w:pPr>
      <w:r>
        <w:rPr>
          <w:rFonts w:ascii="Arial" w:hAnsi="Arial" w:cs="Arial"/>
          <w:b/>
          <w:color w:val="FF0000"/>
          <w:sz w:val="20"/>
          <w:szCs w:val="20"/>
        </w:rPr>
        <w:t>Marking Key</w:t>
      </w:r>
    </w:p>
    <w:p w14:paraId="653FD5DF" w14:textId="77777777" w:rsidR="00703824" w:rsidRPr="008E0833" w:rsidRDefault="00703824" w:rsidP="00703824">
      <w:pPr>
        <w:pStyle w:val="Default"/>
        <w:jc w:val="both"/>
        <w:rPr>
          <w:rFonts w:ascii="Arial" w:hAnsi="Arial" w:cs="Arial"/>
          <w:sz w:val="20"/>
          <w:szCs w:val="20"/>
        </w:rPr>
      </w:pPr>
    </w:p>
    <w:p w14:paraId="5CFCB3B6" w14:textId="6E377B5E" w:rsidR="003B638C" w:rsidRPr="008E0833" w:rsidRDefault="003B638C" w:rsidP="00703824">
      <w:pPr>
        <w:pStyle w:val="Default"/>
        <w:jc w:val="both"/>
        <w:rPr>
          <w:rFonts w:ascii="Arial" w:hAnsi="Arial" w:cs="Arial"/>
          <w:sz w:val="20"/>
          <w:szCs w:val="20"/>
        </w:rPr>
      </w:pPr>
      <w:r w:rsidRPr="008E0833">
        <w:rPr>
          <w:rFonts w:ascii="Arial" w:hAnsi="Arial" w:cs="Arial"/>
          <w:b/>
          <w:sz w:val="20"/>
          <w:szCs w:val="20"/>
        </w:rPr>
        <w:t xml:space="preserve">Part </w:t>
      </w:r>
      <w:r w:rsidR="00F36B0C" w:rsidRPr="008E0833">
        <w:rPr>
          <w:rFonts w:ascii="Arial" w:hAnsi="Arial" w:cs="Arial"/>
          <w:b/>
          <w:sz w:val="20"/>
          <w:szCs w:val="20"/>
        </w:rPr>
        <w:t>B – In-Class Validation</w:t>
      </w:r>
      <w:r w:rsidR="00406B1C">
        <w:rPr>
          <w:rFonts w:ascii="Arial" w:hAnsi="Arial" w:cs="Arial"/>
          <w:b/>
          <w:sz w:val="20"/>
          <w:szCs w:val="20"/>
        </w:rPr>
        <w:t xml:space="preserve"> Example Question</w:t>
      </w:r>
    </w:p>
    <w:p w14:paraId="658735F1" w14:textId="55B20552" w:rsidR="003B638C" w:rsidRDefault="003B638C" w:rsidP="00703824">
      <w:pPr>
        <w:pStyle w:val="Default"/>
        <w:jc w:val="both"/>
        <w:rPr>
          <w:rFonts w:ascii="Arial" w:hAnsi="Arial" w:cs="Arial"/>
          <w:sz w:val="20"/>
          <w:szCs w:val="20"/>
        </w:rPr>
      </w:pPr>
    </w:p>
    <w:p w14:paraId="29830F01" w14:textId="38A31859" w:rsidR="00406B1C" w:rsidRDefault="00406B1C" w:rsidP="00406B1C">
      <w:pPr>
        <w:pStyle w:val="Default"/>
        <w:jc w:val="both"/>
        <w:rPr>
          <w:rFonts w:ascii="Arial" w:hAnsi="Arial" w:cs="Arial"/>
          <w:sz w:val="20"/>
          <w:szCs w:val="20"/>
        </w:rPr>
      </w:pPr>
      <w:r>
        <w:rPr>
          <w:rFonts w:ascii="Arial" w:hAnsi="Arial" w:cs="Arial"/>
          <w:sz w:val="20"/>
          <w:szCs w:val="20"/>
        </w:rPr>
        <w:t>Toddlersmart Ltd manufactures a range of toys aimed at preschool children. Three years ago it launched a new electronic toy which, at that time, had no competitors in the market.</w:t>
      </w:r>
    </w:p>
    <w:p w14:paraId="00D80528" w14:textId="54BD853E" w:rsidR="00406B1C" w:rsidRDefault="00406B1C" w:rsidP="00406B1C">
      <w:pPr>
        <w:pStyle w:val="Default"/>
        <w:jc w:val="both"/>
        <w:rPr>
          <w:rFonts w:ascii="Arial" w:hAnsi="Arial" w:cs="Arial"/>
          <w:sz w:val="20"/>
          <w:szCs w:val="20"/>
        </w:rPr>
      </w:pPr>
    </w:p>
    <w:p w14:paraId="05AD8CD2" w14:textId="70896639" w:rsidR="00406B1C" w:rsidRDefault="00406B1C" w:rsidP="00406B1C">
      <w:pPr>
        <w:pStyle w:val="Default"/>
        <w:jc w:val="both"/>
        <w:rPr>
          <w:rFonts w:ascii="Arial" w:hAnsi="Arial" w:cs="Arial"/>
          <w:sz w:val="20"/>
          <w:szCs w:val="20"/>
        </w:rPr>
      </w:pPr>
      <w:r>
        <w:rPr>
          <w:rFonts w:ascii="Arial" w:hAnsi="Arial" w:cs="Arial"/>
          <w:sz w:val="20"/>
          <w:szCs w:val="20"/>
        </w:rPr>
        <w:t>To satisfy demand, two years ago, the company invested $5 million in a new automated manufacturing facility. Operating at full capacity, this allowed the company to manufacture 50% more toys, saving 15% in labour costs and 10% in raw materials, due to less wastage.</w:t>
      </w:r>
    </w:p>
    <w:p w14:paraId="15692CEF" w14:textId="7EED7EDF" w:rsidR="00406B1C" w:rsidRDefault="00406B1C" w:rsidP="00406B1C">
      <w:pPr>
        <w:pStyle w:val="Default"/>
        <w:jc w:val="both"/>
        <w:rPr>
          <w:rFonts w:ascii="Arial" w:hAnsi="Arial" w:cs="Arial"/>
          <w:sz w:val="20"/>
          <w:szCs w:val="20"/>
        </w:rPr>
      </w:pPr>
    </w:p>
    <w:p w14:paraId="78293E19" w14:textId="197594D6" w:rsidR="00406B1C" w:rsidRDefault="00406B1C" w:rsidP="00406B1C">
      <w:pPr>
        <w:pStyle w:val="Default"/>
        <w:jc w:val="both"/>
        <w:rPr>
          <w:rFonts w:ascii="Arial" w:hAnsi="Arial" w:cs="Arial"/>
          <w:sz w:val="20"/>
          <w:szCs w:val="20"/>
        </w:rPr>
      </w:pPr>
      <w:r>
        <w:rPr>
          <w:rFonts w:ascii="Arial" w:hAnsi="Arial" w:cs="Arial"/>
          <w:sz w:val="20"/>
          <w:szCs w:val="20"/>
        </w:rPr>
        <w:t>For many manufacturing businesses, non-current assets constitute a significant proportion of total assets. Explain three (3) financial principles of asset management, as they apply to maintaining appropriate levels of investment in non-current assets.</w:t>
      </w:r>
      <w:r w:rsidR="00B319A5">
        <w:rPr>
          <w:rFonts w:ascii="Arial" w:hAnsi="Arial" w:cs="Arial"/>
          <w:sz w:val="20"/>
          <w:szCs w:val="20"/>
        </w:rPr>
        <w:tab/>
      </w:r>
      <w:r w:rsidR="00B319A5">
        <w:rPr>
          <w:rFonts w:ascii="Arial" w:hAnsi="Arial" w:cs="Arial"/>
          <w:sz w:val="20"/>
          <w:szCs w:val="20"/>
        </w:rPr>
        <w:tab/>
      </w:r>
      <w:r w:rsidR="00B319A5">
        <w:rPr>
          <w:rFonts w:ascii="Arial" w:hAnsi="Arial" w:cs="Arial"/>
          <w:sz w:val="20"/>
          <w:szCs w:val="20"/>
        </w:rPr>
        <w:tab/>
      </w:r>
      <w:r w:rsidR="00B319A5">
        <w:rPr>
          <w:rFonts w:ascii="Arial" w:hAnsi="Arial" w:cs="Arial"/>
          <w:sz w:val="20"/>
          <w:szCs w:val="20"/>
        </w:rPr>
        <w:tab/>
      </w:r>
      <w:r w:rsidR="00B319A5">
        <w:rPr>
          <w:rFonts w:ascii="Arial" w:hAnsi="Arial" w:cs="Arial"/>
          <w:sz w:val="20"/>
          <w:szCs w:val="20"/>
        </w:rPr>
        <w:tab/>
      </w:r>
      <w:r w:rsidR="00B319A5" w:rsidRPr="00B319A5">
        <w:rPr>
          <w:rFonts w:ascii="Arial" w:hAnsi="Arial" w:cs="Arial"/>
          <w:b/>
          <w:bCs/>
          <w:sz w:val="20"/>
          <w:szCs w:val="20"/>
        </w:rPr>
        <w:t>(6 marks)</w:t>
      </w:r>
    </w:p>
    <w:p w14:paraId="5E938D13" w14:textId="5D97EE4A" w:rsidR="00406B1C" w:rsidRDefault="00406B1C" w:rsidP="00406B1C">
      <w:pPr>
        <w:pStyle w:val="Default"/>
        <w:jc w:val="both"/>
        <w:rPr>
          <w:rFonts w:ascii="Arial" w:hAnsi="Arial" w:cs="Arial"/>
          <w:sz w:val="20"/>
          <w:szCs w:val="20"/>
        </w:rPr>
      </w:pPr>
    </w:p>
    <w:tbl>
      <w:tblPr>
        <w:tblStyle w:val="TableGrid"/>
        <w:tblW w:w="0" w:type="auto"/>
        <w:tblLook w:val="04A0" w:firstRow="1" w:lastRow="0" w:firstColumn="1" w:lastColumn="0" w:noHBand="0" w:noVBand="1"/>
      </w:tblPr>
      <w:tblGrid>
        <w:gridCol w:w="7419"/>
        <w:gridCol w:w="1597"/>
      </w:tblGrid>
      <w:tr w:rsidR="0090298A" w:rsidRPr="00734090" w14:paraId="5D8ED656" w14:textId="77777777" w:rsidTr="00F06528">
        <w:tc>
          <w:tcPr>
            <w:tcW w:w="9016" w:type="dxa"/>
            <w:gridSpan w:val="2"/>
            <w:shd w:val="clear" w:color="auto" w:fill="BFBFBF" w:themeFill="background1" w:themeFillShade="BF"/>
            <w:vAlign w:val="center"/>
          </w:tcPr>
          <w:p w14:paraId="52BDFC8F" w14:textId="77777777" w:rsidR="0090298A" w:rsidRPr="00734090" w:rsidRDefault="0090298A" w:rsidP="00F06528">
            <w:pPr>
              <w:pStyle w:val="Default"/>
              <w:jc w:val="center"/>
              <w:rPr>
                <w:rFonts w:ascii="Arial" w:hAnsi="Arial" w:cs="Arial"/>
                <w:b/>
                <w:color w:val="FF0000"/>
                <w:sz w:val="20"/>
                <w:szCs w:val="20"/>
              </w:rPr>
            </w:pPr>
            <w:r w:rsidRPr="00734090">
              <w:rPr>
                <w:rFonts w:ascii="Arial" w:hAnsi="Arial" w:cs="Arial"/>
                <w:b/>
                <w:color w:val="FF0000"/>
                <w:sz w:val="20"/>
                <w:szCs w:val="20"/>
              </w:rPr>
              <w:t>Marking Key</w:t>
            </w:r>
          </w:p>
        </w:tc>
      </w:tr>
      <w:tr w:rsidR="0090298A" w:rsidRPr="00734090" w14:paraId="370DD571" w14:textId="77777777" w:rsidTr="00F06528">
        <w:tc>
          <w:tcPr>
            <w:tcW w:w="7419" w:type="dxa"/>
            <w:shd w:val="clear" w:color="auto" w:fill="BFBFBF" w:themeFill="background1" w:themeFillShade="BF"/>
            <w:vAlign w:val="center"/>
          </w:tcPr>
          <w:p w14:paraId="4BC179A8" w14:textId="77777777" w:rsidR="0090298A" w:rsidRPr="00734090" w:rsidRDefault="0090298A" w:rsidP="00F06528">
            <w:pPr>
              <w:pStyle w:val="Default"/>
              <w:jc w:val="center"/>
              <w:rPr>
                <w:rFonts w:ascii="Arial" w:hAnsi="Arial" w:cs="Arial"/>
                <w:b/>
                <w:color w:val="FF0000"/>
                <w:sz w:val="20"/>
                <w:szCs w:val="20"/>
              </w:rPr>
            </w:pPr>
            <w:r w:rsidRPr="00734090">
              <w:rPr>
                <w:rFonts w:ascii="Arial" w:hAnsi="Arial" w:cs="Arial"/>
                <w:b/>
                <w:color w:val="FF0000"/>
                <w:sz w:val="20"/>
                <w:szCs w:val="20"/>
              </w:rPr>
              <w:t>Description</w:t>
            </w:r>
          </w:p>
        </w:tc>
        <w:tc>
          <w:tcPr>
            <w:tcW w:w="1597" w:type="dxa"/>
            <w:shd w:val="clear" w:color="auto" w:fill="BFBFBF" w:themeFill="background1" w:themeFillShade="BF"/>
            <w:vAlign w:val="center"/>
          </w:tcPr>
          <w:p w14:paraId="586508C2" w14:textId="77777777" w:rsidR="0090298A" w:rsidRPr="00734090" w:rsidRDefault="0090298A" w:rsidP="00F06528">
            <w:pPr>
              <w:pStyle w:val="Default"/>
              <w:jc w:val="center"/>
              <w:rPr>
                <w:rFonts w:ascii="Arial" w:hAnsi="Arial" w:cs="Arial"/>
                <w:b/>
                <w:color w:val="FF0000"/>
                <w:sz w:val="20"/>
                <w:szCs w:val="20"/>
              </w:rPr>
            </w:pPr>
            <w:r w:rsidRPr="00734090">
              <w:rPr>
                <w:rFonts w:ascii="Arial" w:hAnsi="Arial" w:cs="Arial"/>
                <w:b/>
                <w:color w:val="FF0000"/>
                <w:sz w:val="20"/>
                <w:szCs w:val="20"/>
              </w:rPr>
              <w:t>Marks</w:t>
            </w:r>
          </w:p>
        </w:tc>
      </w:tr>
      <w:tr w:rsidR="0090298A" w:rsidRPr="00734090" w14:paraId="338D5C3A" w14:textId="77777777" w:rsidTr="00F06528">
        <w:tc>
          <w:tcPr>
            <w:tcW w:w="7419" w:type="dxa"/>
            <w:vAlign w:val="center"/>
          </w:tcPr>
          <w:p w14:paraId="28C21729" w14:textId="0A332F13" w:rsidR="0090298A" w:rsidRPr="00734090" w:rsidRDefault="0090298A" w:rsidP="00F06528">
            <w:pPr>
              <w:pStyle w:val="Default"/>
              <w:jc w:val="both"/>
              <w:rPr>
                <w:rFonts w:ascii="Arial" w:hAnsi="Arial" w:cs="Arial"/>
                <w:color w:val="FF0000"/>
                <w:sz w:val="20"/>
                <w:szCs w:val="20"/>
              </w:rPr>
            </w:pPr>
            <w:r>
              <w:rPr>
                <w:rFonts w:ascii="Arial" w:hAnsi="Arial" w:cs="Arial"/>
                <w:color w:val="FF0000"/>
                <w:sz w:val="20"/>
                <w:szCs w:val="20"/>
              </w:rPr>
              <w:t>Explains three (3) financial principles of asset management, as they apply to maintaining appropriate levels of investment in non-current assets, correctly and in detail</w:t>
            </w:r>
          </w:p>
        </w:tc>
        <w:tc>
          <w:tcPr>
            <w:tcW w:w="1597" w:type="dxa"/>
            <w:vAlign w:val="center"/>
          </w:tcPr>
          <w:p w14:paraId="38FF41D5" w14:textId="77777777" w:rsidR="0090298A" w:rsidRPr="00734090" w:rsidRDefault="0090298A" w:rsidP="00F06528">
            <w:pPr>
              <w:pStyle w:val="Default"/>
              <w:jc w:val="center"/>
              <w:rPr>
                <w:rFonts w:ascii="Arial" w:hAnsi="Arial" w:cs="Arial"/>
                <w:color w:val="FF0000"/>
                <w:sz w:val="20"/>
                <w:szCs w:val="20"/>
              </w:rPr>
            </w:pPr>
            <w:r w:rsidRPr="00734090">
              <w:rPr>
                <w:rFonts w:ascii="Arial" w:hAnsi="Arial" w:cs="Arial"/>
                <w:color w:val="FF0000"/>
                <w:sz w:val="20"/>
                <w:szCs w:val="20"/>
              </w:rPr>
              <w:t>6</w:t>
            </w:r>
          </w:p>
        </w:tc>
      </w:tr>
      <w:tr w:rsidR="0090298A" w:rsidRPr="00734090" w14:paraId="58FAD679" w14:textId="77777777" w:rsidTr="00F06528">
        <w:tc>
          <w:tcPr>
            <w:tcW w:w="7419" w:type="dxa"/>
            <w:vAlign w:val="center"/>
          </w:tcPr>
          <w:p w14:paraId="5117DA5C" w14:textId="2D167845" w:rsidR="0090298A" w:rsidRPr="00734090" w:rsidRDefault="0090298A" w:rsidP="0090298A">
            <w:pPr>
              <w:pStyle w:val="Default"/>
              <w:jc w:val="both"/>
              <w:rPr>
                <w:rFonts w:ascii="Arial" w:hAnsi="Arial" w:cs="Arial"/>
                <w:color w:val="FF0000"/>
                <w:sz w:val="20"/>
                <w:szCs w:val="20"/>
              </w:rPr>
            </w:pPr>
            <w:r>
              <w:rPr>
                <w:rFonts w:ascii="Arial" w:hAnsi="Arial" w:cs="Arial"/>
                <w:color w:val="FF0000"/>
                <w:sz w:val="20"/>
                <w:szCs w:val="20"/>
              </w:rPr>
              <w:t>Explains t</w:t>
            </w:r>
            <w:r>
              <w:rPr>
                <w:rFonts w:ascii="Arial" w:hAnsi="Arial" w:cs="Arial"/>
                <w:color w:val="FF0000"/>
                <w:sz w:val="20"/>
                <w:szCs w:val="20"/>
              </w:rPr>
              <w:t>wo</w:t>
            </w:r>
            <w:r>
              <w:rPr>
                <w:rFonts w:ascii="Arial" w:hAnsi="Arial" w:cs="Arial"/>
                <w:color w:val="FF0000"/>
                <w:sz w:val="20"/>
                <w:szCs w:val="20"/>
              </w:rPr>
              <w:t xml:space="preserve"> (</w:t>
            </w:r>
            <w:r>
              <w:rPr>
                <w:rFonts w:ascii="Arial" w:hAnsi="Arial" w:cs="Arial"/>
                <w:color w:val="FF0000"/>
                <w:sz w:val="20"/>
                <w:szCs w:val="20"/>
              </w:rPr>
              <w:t>2</w:t>
            </w:r>
            <w:r>
              <w:rPr>
                <w:rFonts w:ascii="Arial" w:hAnsi="Arial" w:cs="Arial"/>
                <w:color w:val="FF0000"/>
                <w:sz w:val="20"/>
                <w:szCs w:val="20"/>
              </w:rPr>
              <w:t>) financial principles of asset management, as they apply to maintaining appropriate levels of investment in non-current assets, correctly and in detail</w:t>
            </w:r>
          </w:p>
        </w:tc>
        <w:tc>
          <w:tcPr>
            <w:tcW w:w="1597" w:type="dxa"/>
            <w:vAlign w:val="center"/>
          </w:tcPr>
          <w:p w14:paraId="1B20EB98" w14:textId="77777777" w:rsidR="0090298A" w:rsidRPr="00734090" w:rsidRDefault="0090298A" w:rsidP="0090298A">
            <w:pPr>
              <w:pStyle w:val="Default"/>
              <w:jc w:val="center"/>
              <w:rPr>
                <w:rFonts w:ascii="Arial" w:hAnsi="Arial" w:cs="Arial"/>
                <w:color w:val="FF0000"/>
                <w:sz w:val="20"/>
                <w:szCs w:val="20"/>
              </w:rPr>
            </w:pPr>
            <w:r w:rsidRPr="00734090">
              <w:rPr>
                <w:rFonts w:ascii="Arial" w:hAnsi="Arial" w:cs="Arial"/>
                <w:color w:val="FF0000"/>
                <w:sz w:val="20"/>
                <w:szCs w:val="20"/>
              </w:rPr>
              <w:t>4</w:t>
            </w:r>
          </w:p>
        </w:tc>
      </w:tr>
      <w:tr w:rsidR="0090298A" w:rsidRPr="00734090" w14:paraId="450B135C" w14:textId="77777777" w:rsidTr="00F06528">
        <w:tc>
          <w:tcPr>
            <w:tcW w:w="7419" w:type="dxa"/>
            <w:vAlign w:val="center"/>
          </w:tcPr>
          <w:p w14:paraId="2A02B8E6" w14:textId="0CF12B7A" w:rsidR="0090298A" w:rsidRPr="00734090" w:rsidRDefault="0090298A" w:rsidP="0090298A">
            <w:pPr>
              <w:pStyle w:val="Default"/>
              <w:jc w:val="both"/>
              <w:rPr>
                <w:rFonts w:ascii="Arial" w:hAnsi="Arial" w:cs="Arial"/>
                <w:color w:val="FF0000"/>
                <w:sz w:val="20"/>
                <w:szCs w:val="20"/>
              </w:rPr>
            </w:pPr>
            <w:r>
              <w:rPr>
                <w:rFonts w:ascii="Arial" w:hAnsi="Arial" w:cs="Arial"/>
                <w:color w:val="FF0000"/>
                <w:sz w:val="20"/>
                <w:szCs w:val="20"/>
              </w:rPr>
              <w:t xml:space="preserve">Explains </w:t>
            </w:r>
            <w:r>
              <w:rPr>
                <w:rFonts w:ascii="Arial" w:hAnsi="Arial" w:cs="Arial"/>
                <w:color w:val="FF0000"/>
                <w:sz w:val="20"/>
                <w:szCs w:val="20"/>
              </w:rPr>
              <w:t>one</w:t>
            </w:r>
            <w:r>
              <w:rPr>
                <w:rFonts w:ascii="Arial" w:hAnsi="Arial" w:cs="Arial"/>
                <w:color w:val="FF0000"/>
                <w:sz w:val="20"/>
                <w:szCs w:val="20"/>
              </w:rPr>
              <w:t xml:space="preserve"> (</w:t>
            </w:r>
            <w:r>
              <w:rPr>
                <w:rFonts w:ascii="Arial" w:hAnsi="Arial" w:cs="Arial"/>
                <w:color w:val="FF0000"/>
                <w:sz w:val="20"/>
                <w:szCs w:val="20"/>
              </w:rPr>
              <w:t>1</w:t>
            </w:r>
            <w:r>
              <w:rPr>
                <w:rFonts w:ascii="Arial" w:hAnsi="Arial" w:cs="Arial"/>
                <w:color w:val="FF0000"/>
                <w:sz w:val="20"/>
                <w:szCs w:val="20"/>
              </w:rPr>
              <w:t>) financial principle of asset management, as they apply to maintaining appropriate levels of investment in non-current assets, correctly and in detail</w:t>
            </w:r>
          </w:p>
        </w:tc>
        <w:tc>
          <w:tcPr>
            <w:tcW w:w="1597" w:type="dxa"/>
            <w:vAlign w:val="center"/>
          </w:tcPr>
          <w:p w14:paraId="457C1A55" w14:textId="77777777" w:rsidR="0090298A" w:rsidRPr="00734090" w:rsidRDefault="0090298A" w:rsidP="0090298A">
            <w:pPr>
              <w:pStyle w:val="Default"/>
              <w:jc w:val="center"/>
              <w:rPr>
                <w:rFonts w:ascii="Arial" w:hAnsi="Arial" w:cs="Arial"/>
                <w:color w:val="FF0000"/>
                <w:sz w:val="20"/>
                <w:szCs w:val="20"/>
              </w:rPr>
            </w:pPr>
            <w:r w:rsidRPr="00734090">
              <w:rPr>
                <w:rFonts w:ascii="Arial" w:hAnsi="Arial" w:cs="Arial"/>
                <w:color w:val="FF0000"/>
                <w:sz w:val="20"/>
                <w:szCs w:val="20"/>
              </w:rPr>
              <w:t>2</w:t>
            </w:r>
          </w:p>
        </w:tc>
      </w:tr>
      <w:tr w:rsidR="0090298A" w:rsidRPr="00734090" w14:paraId="7544F9D0" w14:textId="77777777" w:rsidTr="00F06528">
        <w:tc>
          <w:tcPr>
            <w:tcW w:w="9016" w:type="dxa"/>
            <w:gridSpan w:val="2"/>
            <w:shd w:val="clear" w:color="auto" w:fill="BFBFBF" w:themeFill="background1" w:themeFillShade="BF"/>
            <w:vAlign w:val="center"/>
          </w:tcPr>
          <w:p w14:paraId="54F27A26" w14:textId="77777777" w:rsidR="0090298A" w:rsidRPr="00734090" w:rsidRDefault="0090298A" w:rsidP="00F06528">
            <w:pPr>
              <w:pStyle w:val="Default"/>
              <w:jc w:val="both"/>
              <w:rPr>
                <w:rFonts w:ascii="Arial" w:hAnsi="Arial" w:cs="Arial"/>
                <w:b/>
                <w:color w:val="FF0000"/>
                <w:sz w:val="20"/>
                <w:szCs w:val="20"/>
              </w:rPr>
            </w:pPr>
            <w:r w:rsidRPr="00734090">
              <w:rPr>
                <w:rFonts w:ascii="Arial" w:hAnsi="Arial" w:cs="Arial"/>
                <w:b/>
                <w:color w:val="FF0000"/>
                <w:sz w:val="20"/>
                <w:szCs w:val="20"/>
              </w:rPr>
              <w:t>Answer could include, but is not limited to:</w:t>
            </w:r>
          </w:p>
        </w:tc>
      </w:tr>
      <w:tr w:rsidR="0090298A" w:rsidRPr="00734090" w14:paraId="5719A1E0" w14:textId="77777777" w:rsidTr="00F06528">
        <w:tc>
          <w:tcPr>
            <w:tcW w:w="9016" w:type="dxa"/>
            <w:gridSpan w:val="2"/>
            <w:vAlign w:val="center"/>
          </w:tcPr>
          <w:p w14:paraId="6C16F4CF" w14:textId="77777777" w:rsidR="0090298A" w:rsidRDefault="0090298A" w:rsidP="0090298A">
            <w:pPr>
              <w:pStyle w:val="Default"/>
              <w:jc w:val="both"/>
              <w:rPr>
                <w:rFonts w:ascii="Arial" w:hAnsi="Arial" w:cs="Arial"/>
                <w:color w:val="FF0000"/>
                <w:sz w:val="20"/>
                <w:szCs w:val="20"/>
              </w:rPr>
            </w:pPr>
            <w:r>
              <w:rPr>
                <w:rFonts w:ascii="Arial" w:hAnsi="Arial" w:cs="Arial"/>
                <w:color w:val="FF0000"/>
                <w:sz w:val="20"/>
                <w:szCs w:val="20"/>
              </w:rPr>
              <w:t>There are several principles that should be applied by a business to the management of its non-current assets. These include:</w:t>
            </w:r>
          </w:p>
          <w:p w14:paraId="263AAB93" w14:textId="77777777" w:rsidR="0090298A" w:rsidRDefault="0090298A" w:rsidP="0090298A">
            <w:pPr>
              <w:pStyle w:val="Default"/>
              <w:numPr>
                <w:ilvl w:val="0"/>
                <w:numId w:val="8"/>
              </w:numPr>
              <w:jc w:val="both"/>
              <w:rPr>
                <w:rFonts w:ascii="Arial" w:hAnsi="Arial" w:cs="Arial"/>
                <w:color w:val="FF0000"/>
                <w:sz w:val="20"/>
                <w:szCs w:val="20"/>
              </w:rPr>
            </w:pPr>
            <w:r>
              <w:rPr>
                <w:rFonts w:ascii="Arial" w:hAnsi="Arial" w:cs="Arial"/>
                <w:color w:val="FF0000"/>
                <w:sz w:val="20"/>
                <w:szCs w:val="20"/>
              </w:rPr>
              <w:t>Security – assets should be kept safe and properly maintained. Those using them should be adequately trained</w:t>
            </w:r>
            <w:r w:rsidR="0045427B">
              <w:rPr>
                <w:rFonts w:ascii="Arial" w:hAnsi="Arial" w:cs="Arial"/>
                <w:color w:val="FF0000"/>
                <w:sz w:val="20"/>
                <w:szCs w:val="20"/>
              </w:rPr>
              <w:t xml:space="preserve"> and there should be appropriate safety protocols. Where necessary there should be adequate insurance.</w:t>
            </w:r>
          </w:p>
          <w:p w14:paraId="3842B388" w14:textId="5B36EAA7" w:rsidR="0045427B" w:rsidRDefault="0045427B" w:rsidP="0090298A">
            <w:pPr>
              <w:pStyle w:val="Default"/>
              <w:numPr>
                <w:ilvl w:val="0"/>
                <w:numId w:val="8"/>
              </w:numPr>
              <w:jc w:val="both"/>
              <w:rPr>
                <w:rFonts w:ascii="Arial" w:hAnsi="Arial" w:cs="Arial"/>
                <w:color w:val="FF0000"/>
                <w:sz w:val="20"/>
                <w:szCs w:val="20"/>
              </w:rPr>
            </w:pPr>
            <w:r>
              <w:rPr>
                <w:rFonts w:ascii="Arial" w:hAnsi="Arial" w:cs="Arial"/>
                <w:color w:val="FF0000"/>
                <w:sz w:val="20"/>
                <w:szCs w:val="20"/>
              </w:rPr>
              <w:t>Productivity – assets should be used as effectively as possible to minimise under-productivity.</w:t>
            </w:r>
          </w:p>
          <w:p w14:paraId="271BE1FD" w14:textId="77777777" w:rsidR="0045427B" w:rsidRDefault="0045427B" w:rsidP="0090298A">
            <w:pPr>
              <w:pStyle w:val="Default"/>
              <w:numPr>
                <w:ilvl w:val="0"/>
                <w:numId w:val="8"/>
              </w:numPr>
              <w:jc w:val="both"/>
              <w:rPr>
                <w:rFonts w:ascii="Arial" w:hAnsi="Arial" w:cs="Arial"/>
                <w:color w:val="FF0000"/>
                <w:sz w:val="20"/>
                <w:szCs w:val="20"/>
              </w:rPr>
            </w:pPr>
            <w:r>
              <w:rPr>
                <w:rFonts w:ascii="Arial" w:hAnsi="Arial" w:cs="Arial"/>
                <w:color w:val="FF0000"/>
                <w:sz w:val="20"/>
                <w:szCs w:val="20"/>
              </w:rPr>
              <w:t>Record-Keeping – adequate documentation should be kept about all assets and their usage to enable management to make decisions on their security, efficiency of usage, and possible need for replacement.</w:t>
            </w:r>
          </w:p>
          <w:p w14:paraId="2AA6ABCD" w14:textId="0DCE9D7D" w:rsidR="0045427B" w:rsidRPr="00734090" w:rsidRDefault="0045427B" w:rsidP="0090298A">
            <w:pPr>
              <w:pStyle w:val="Default"/>
              <w:numPr>
                <w:ilvl w:val="0"/>
                <w:numId w:val="8"/>
              </w:numPr>
              <w:jc w:val="both"/>
              <w:rPr>
                <w:rFonts w:ascii="Arial" w:hAnsi="Arial" w:cs="Arial"/>
                <w:color w:val="FF0000"/>
                <w:sz w:val="20"/>
                <w:szCs w:val="20"/>
              </w:rPr>
            </w:pPr>
            <w:r>
              <w:rPr>
                <w:rFonts w:ascii="Arial" w:hAnsi="Arial" w:cs="Arial"/>
                <w:color w:val="FF0000"/>
                <w:sz w:val="20"/>
                <w:szCs w:val="20"/>
              </w:rPr>
              <w:t>Asset Usage – the investment in non-current assets must be sufficient to meet the demands of the business and not stifle productivity, but not so excessive that there is significant unused capacity. Surplus assets should, where possible, be disposed of to generate cash for use elsewhere in the business.</w:t>
            </w:r>
          </w:p>
        </w:tc>
      </w:tr>
    </w:tbl>
    <w:p w14:paraId="11041BAB" w14:textId="77777777" w:rsidR="00406B1C" w:rsidRPr="008E0833" w:rsidRDefault="00406B1C" w:rsidP="00406B1C">
      <w:pPr>
        <w:pStyle w:val="Default"/>
        <w:jc w:val="both"/>
        <w:rPr>
          <w:rFonts w:ascii="Arial" w:hAnsi="Arial" w:cs="Arial"/>
          <w:sz w:val="20"/>
          <w:szCs w:val="20"/>
        </w:rPr>
      </w:pPr>
    </w:p>
    <w:sectPr w:rsidR="00406B1C" w:rsidRPr="008E0833" w:rsidSect="008852D1">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432D"/>
    <w:multiLevelType w:val="hybridMultilevel"/>
    <w:tmpl w:val="A22CF5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7287509"/>
    <w:multiLevelType w:val="hybridMultilevel"/>
    <w:tmpl w:val="9782CCB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57615B02"/>
    <w:multiLevelType w:val="hybridMultilevel"/>
    <w:tmpl w:val="6018DE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A6A598D"/>
    <w:multiLevelType w:val="hybridMultilevel"/>
    <w:tmpl w:val="5D24A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DB6A72"/>
    <w:multiLevelType w:val="hybridMultilevel"/>
    <w:tmpl w:val="BEAA07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67C82A33"/>
    <w:multiLevelType w:val="hybridMultilevel"/>
    <w:tmpl w:val="66706E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CBF2513"/>
    <w:multiLevelType w:val="hybridMultilevel"/>
    <w:tmpl w:val="B9706C44"/>
    <w:lvl w:ilvl="0" w:tplc="F9E6909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7F41970"/>
    <w:multiLevelType w:val="hybridMultilevel"/>
    <w:tmpl w:val="2AAED1F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07908837">
    <w:abstractNumId w:val="6"/>
  </w:num>
  <w:num w:numId="2" w16cid:durableId="1963875000">
    <w:abstractNumId w:val="4"/>
  </w:num>
  <w:num w:numId="3" w16cid:durableId="2047875216">
    <w:abstractNumId w:val="0"/>
  </w:num>
  <w:num w:numId="4" w16cid:durableId="1716083953">
    <w:abstractNumId w:val="7"/>
  </w:num>
  <w:num w:numId="5" w16cid:durableId="480582861">
    <w:abstractNumId w:val="1"/>
  </w:num>
  <w:num w:numId="6" w16cid:durableId="1042366526">
    <w:abstractNumId w:val="5"/>
  </w:num>
  <w:num w:numId="7" w16cid:durableId="193494969">
    <w:abstractNumId w:val="2"/>
  </w:num>
  <w:num w:numId="8" w16cid:durableId="115682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F52"/>
    <w:rsid w:val="00010F9E"/>
    <w:rsid w:val="00013CB0"/>
    <w:rsid w:val="000207B4"/>
    <w:rsid w:val="00097093"/>
    <w:rsid w:val="000B303E"/>
    <w:rsid w:val="000E033C"/>
    <w:rsid w:val="000F7D96"/>
    <w:rsid w:val="00106662"/>
    <w:rsid w:val="001259CD"/>
    <w:rsid w:val="00152737"/>
    <w:rsid w:val="001B6A1B"/>
    <w:rsid w:val="001B7E14"/>
    <w:rsid w:val="001C7C23"/>
    <w:rsid w:val="00204070"/>
    <w:rsid w:val="00242799"/>
    <w:rsid w:val="00244DC5"/>
    <w:rsid w:val="0025582E"/>
    <w:rsid w:val="00271C2D"/>
    <w:rsid w:val="00286628"/>
    <w:rsid w:val="002D122B"/>
    <w:rsid w:val="002E7C66"/>
    <w:rsid w:val="003073BA"/>
    <w:rsid w:val="003B638C"/>
    <w:rsid w:val="003E6677"/>
    <w:rsid w:val="003F0EAF"/>
    <w:rsid w:val="0040658B"/>
    <w:rsid w:val="00406B1C"/>
    <w:rsid w:val="0041741E"/>
    <w:rsid w:val="00433E43"/>
    <w:rsid w:val="0045427B"/>
    <w:rsid w:val="00465C7F"/>
    <w:rsid w:val="004A43B2"/>
    <w:rsid w:val="004B2B2F"/>
    <w:rsid w:val="00501183"/>
    <w:rsid w:val="00537CD4"/>
    <w:rsid w:val="00593ED0"/>
    <w:rsid w:val="005948A3"/>
    <w:rsid w:val="005B6EC3"/>
    <w:rsid w:val="00635ED4"/>
    <w:rsid w:val="006F3276"/>
    <w:rsid w:val="006F38AF"/>
    <w:rsid w:val="00703824"/>
    <w:rsid w:val="007D35C1"/>
    <w:rsid w:val="00846360"/>
    <w:rsid w:val="00870213"/>
    <w:rsid w:val="008812C6"/>
    <w:rsid w:val="008852D1"/>
    <w:rsid w:val="008E0833"/>
    <w:rsid w:val="008E5687"/>
    <w:rsid w:val="0090298A"/>
    <w:rsid w:val="00957F52"/>
    <w:rsid w:val="00973D7B"/>
    <w:rsid w:val="009B6E16"/>
    <w:rsid w:val="009D170A"/>
    <w:rsid w:val="00AA5891"/>
    <w:rsid w:val="00AD08EF"/>
    <w:rsid w:val="00B17491"/>
    <w:rsid w:val="00B319A5"/>
    <w:rsid w:val="00B379A4"/>
    <w:rsid w:val="00B65AC7"/>
    <w:rsid w:val="00B65D3F"/>
    <w:rsid w:val="00BC2EA9"/>
    <w:rsid w:val="00BD0C45"/>
    <w:rsid w:val="00C17FD2"/>
    <w:rsid w:val="00C81B71"/>
    <w:rsid w:val="00E12914"/>
    <w:rsid w:val="00E52689"/>
    <w:rsid w:val="00E95918"/>
    <w:rsid w:val="00EF3CD4"/>
    <w:rsid w:val="00F36B0C"/>
    <w:rsid w:val="00F96DF1"/>
    <w:rsid w:val="00FA2C8A"/>
    <w:rsid w:val="00FE35E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0F11"/>
  <w15:docId w15:val="{F602512A-CF0B-4992-9A59-AEC3F3F5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7491"/>
    <w:pPr>
      <w:autoSpaceDE w:val="0"/>
      <w:autoSpaceDN w:val="0"/>
      <w:adjustRightInd w:val="0"/>
      <w:spacing w:after="0" w:line="240" w:lineRule="auto"/>
    </w:pPr>
    <w:rPr>
      <w:rFonts w:ascii="Franklin Gothic Book" w:hAnsi="Franklin Gothic Book" w:cs="Franklin Gothic Book"/>
      <w:color w:val="000000"/>
      <w:sz w:val="24"/>
      <w:szCs w:val="24"/>
    </w:rPr>
  </w:style>
  <w:style w:type="paragraph" w:styleId="BodyText2">
    <w:name w:val="Body Text 2"/>
    <w:basedOn w:val="Normal"/>
    <w:link w:val="BodyText2Char"/>
    <w:rsid w:val="00013CB0"/>
    <w:pPr>
      <w:spacing w:after="120" w:line="480" w:lineRule="auto"/>
    </w:pPr>
    <w:rPr>
      <w:rFonts w:ascii="Arial Narrow" w:eastAsia="Times New Roman" w:hAnsi="Arial Narrow" w:cs="Times New Roman"/>
      <w:sz w:val="24"/>
      <w:szCs w:val="24"/>
    </w:rPr>
  </w:style>
  <w:style w:type="character" w:customStyle="1" w:styleId="BodyText2Char">
    <w:name w:val="Body Text 2 Char"/>
    <w:basedOn w:val="DefaultParagraphFont"/>
    <w:link w:val="BodyText2"/>
    <w:rsid w:val="00013CB0"/>
    <w:rPr>
      <w:rFonts w:ascii="Arial Narrow" w:eastAsia="Times New Roman" w:hAnsi="Arial Narrow" w:cs="Times New Roman"/>
      <w:sz w:val="24"/>
      <w:szCs w:val="24"/>
    </w:rPr>
  </w:style>
  <w:style w:type="paragraph" w:customStyle="1" w:styleId="ListItem">
    <w:name w:val="List Item"/>
    <w:basedOn w:val="Normal"/>
    <w:link w:val="ListItemChar"/>
    <w:qFormat/>
    <w:rsid w:val="00013CB0"/>
    <w:pPr>
      <w:numPr>
        <w:numId w:val="1"/>
      </w:numPr>
      <w:spacing w:before="120" w:after="120"/>
    </w:pPr>
    <w:rPr>
      <w:rFonts w:ascii="Calibri" w:eastAsia="Calibri" w:hAnsi="Calibri" w:cs="Calibri"/>
      <w:iCs/>
      <w:lang w:eastAsia="en-AU"/>
    </w:rPr>
  </w:style>
  <w:style w:type="character" w:customStyle="1" w:styleId="ListItemChar">
    <w:name w:val="List Item Char"/>
    <w:link w:val="ListItem"/>
    <w:rsid w:val="00013CB0"/>
    <w:rPr>
      <w:rFonts w:ascii="Calibri" w:eastAsia="Calibri" w:hAnsi="Calibri" w:cs="Calibri"/>
      <w:iCs/>
      <w:lang w:eastAsia="en-AU"/>
    </w:rPr>
  </w:style>
  <w:style w:type="paragraph" w:styleId="BalloonText">
    <w:name w:val="Balloon Text"/>
    <w:basedOn w:val="Normal"/>
    <w:link w:val="BalloonTextChar"/>
    <w:uiPriority w:val="99"/>
    <w:semiHidden/>
    <w:unhideWhenUsed/>
    <w:rsid w:val="006F38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8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C17C6-2B33-4B7E-A1CB-6CE94125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CANNELL Justin</dc:creator>
  <cp:lastModifiedBy>CANNELL Justin [Leeming Senior High School]</cp:lastModifiedBy>
  <cp:revision>3</cp:revision>
  <cp:lastPrinted>2019-02-12T05:09:00Z</cp:lastPrinted>
  <dcterms:created xsi:type="dcterms:W3CDTF">2024-02-22T06:22:00Z</dcterms:created>
  <dcterms:modified xsi:type="dcterms:W3CDTF">2024-02-22T06:40:00Z</dcterms:modified>
</cp:coreProperties>
</file>