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467" w:rsidRDefault="00EF2795">
      <w:pPr>
        <w:rPr>
          <w:rFonts w:asciiTheme="majorHAnsi" w:hAnsiTheme="majorHAnsi"/>
          <w:b/>
          <w:color w:val="0000FF"/>
          <w:sz w:val="18"/>
        </w:rPr>
      </w:pPr>
      <w:r>
        <w:rPr>
          <w:rFonts w:asciiTheme="majorHAnsi" w:hAnsiTheme="majorHAnsi"/>
          <w:b/>
          <w:color w:val="0000FF"/>
          <w:sz w:val="18"/>
        </w:rPr>
        <w:t>Test 6 Dot Points</w:t>
      </w:r>
    </w:p>
    <w:p w:rsidR="00EF2795" w:rsidRDefault="00EF2795">
      <w:pPr>
        <w:rPr>
          <w:rFonts w:asciiTheme="majorHAnsi" w:hAnsiTheme="majorHAnsi"/>
          <w:b/>
          <w:color w:val="0000FF"/>
          <w:sz w:val="18"/>
        </w:rPr>
      </w:pPr>
      <w:r>
        <w:rPr>
          <w:rFonts w:asciiTheme="majorHAnsi" w:hAnsiTheme="majorHAnsi"/>
          <w:b/>
          <w:color w:val="0000FF"/>
          <w:sz w:val="18"/>
        </w:rPr>
        <w:t xml:space="preserve">Certain overarching concepts may not be explicitly listed </w:t>
      </w:r>
      <w:bookmarkStart w:id="0" w:name="_GoBack"/>
      <w:bookmarkEnd w:id="0"/>
    </w:p>
    <w:tbl>
      <w:tblPr>
        <w:tblStyle w:val="TableGrid"/>
        <w:tblpPr w:leftFromText="180" w:rightFromText="180" w:vertAnchor="page" w:horzAnchor="page" w:tblpX="1576" w:tblpY="2101"/>
        <w:tblW w:w="7499" w:type="dxa"/>
        <w:tblLayout w:type="fixed"/>
        <w:tblLook w:val="04A0" w:firstRow="1" w:lastRow="0" w:firstColumn="1" w:lastColumn="0" w:noHBand="0" w:noVBand="1"/>
      </w:tblPr>
      <w:tblGrid>
        <w:gridCol w:w="7499"/>
      </w:tblGrid>
      <w:tr w:rsidR="00EF2795" w:rsidRPr="00A9787E" w:rsidTr="00EF2795">
        <w:trPr>
          <w:trHeight w:val="1286"/>
        </w:trPr>
        <w:tc>
          <w:tcPr>
            <w:tcW w:w="7499" w:type="dxa"/>
            <w:shd w:val="clear" w:color="auto" w:fill="auto"/>
          </w:tcPr>
          <w:p w:rsidR="00EF2795" w:rsidRPr="00AA0F11" w:rsidRDefault="00EF2795" w:rsidP="00EF2795">
            <w:pPr>
              <w:pStyle w:val="ListItem"/>
              <w:numPr>
                <w:ilvl w:val="0"/>
                <w:numId w:val="0"/>
              </w:numPr>
              <w:spacing w:before="0" w:after="0" w:line="240" w:lineRule="auto"/>
              <w:ind w:left="360" w:hanging="360"/>
              <w:contextualSpacing/>
              <w:rPr>
                <w:rFonts w:asciiTheme="majorHAnsi" w:hAnsiTheme="majorHAnsi"/>
                <w:b/>
                <w:sz w:val="18"/>
                <w:szCs w:val="21"/>
              </w:rPr>
            </w:pPr>
            <w:r w:rsidRPr="00AA0F11">
              <w:rPr>
                <w:rFonts w:asciiTheme="majorHAnsi" w:hAnsiTheme="majorHAnsi"/>
                <w:b/>
                <w:sz w:val="18"/>
                <w:szCs w:val="21"/>
              </w:rPr>
              <w:t>Organic Chemistry</w:t>
            </w:r>
          </w:p>
          <w:p w:rsidR="00EF2795" w:rsidRPr="00AA0F11" w:rsidRDefault="00EF2795" w:rsidP="00EF2795">
            <w:pPr>
              <w:pStyle w:val="ListItem"/>
              <w:spacing w:before="0" w:after="0" w:line="240" w:lineRule="auto"/>
              <w:contextualSpacing/>
              <w:rPr>
                <w:rFonts w:asciiTheme="majorHAnsi" w:hAnsiTheme="majorHAnsi"/>
                <w:sz w:val="18"/>
                <w:szCs w:val="21"/>
              </w:rPr>
            </w:pPr>
            <w:r w:rsidRPr="00AA0F11">
              <w:rPr>
                <w:rFonts w:asciiTheme="majorHAnsi" w:hAnsiTheme="majorHAnsi"/>
                <w:sz w:val="18"/>
                <w:szCs w:val="21"/>
              </w:rPr>
              <w:t xml:space="preserve">molecular formulae represent the number and type of atoms present in the molecules (refer to Appendix 2) </w:t>
            </w:r>
            <w:r w:rsidRPr="00AA0F11">
              <w:rPr>
                <w:rFonts w:asciiTheme="majorHAnsi" w:hAnsiTheme="majorHAnsi"/>
                <w:b/>
                <w:sz w:val="18"/>
                <w:szCs w:val="21"/>
                <w:highlight w:val="yellow"/>
              </w:rPr>
              <w:t>2.16</w:t>
            </w:r>
          </w:p>
          <w:p w:rsidR="00EF2795" w:rsidRPr="00AA0F11" w:rsidRDefault="00EF2795" w:rsidP="00EF2795">
            <w:pPr>
              <w:pStyle w:val="ListItem"/>
              <w:spacing w:before="0" w:after="0" w:line="240" w:lineRule="auto"/>
              <w:contextualSpacing/>
              <w:rPr>
                <w:rFonts w:asciiTheme="majorHAnsi" w:hAnsiTheme="majorHAnsi"/>
                <w:sz w:val="18"/>
                <w:szCs w:val="21"/>
              </w:rPr>
            </w:pPr>
            <w:r w:rsidRPr="00AA0F11">
              <w:rPr>
                <w:rFonts w:asciiTheme="majorHAnsi" w:hAnsiTheme="majorHAnsi"/>
                <w:sz w:val="18"/>
                <w:szCs w:val="21"/>
              </w:rPr>
              <w:t xml:space="preserve">percentage composition of a compound can be calculated from the relative atomic masses of the elements in the compound and the formula of the compound </w:t>
            </w:r>
            <w:r w:rsidRPr="00AA0F11">
              <w:rPr>
                <w:rFonts w:asciiTheme="majorHAnsi" w:hAnsiTheme="majorHAnsi"/>
                <w:b/>
                <w:sz w:val="18"/>
                <w:szCs w:val="21"/>
                <w:highlight w:val="yellow"/>
              </w:rPr>
              <w:t>2.17</w:t>
            </w:r>
          </w:p>
          <w:p w:rsidR="00EF2795" w:rsidRPr="00AA0F11" w:rsidRDefault="00EF2795" w:rsidP="00EF2795">
            <w:pPr>
              <w:pStyle w:val="ListItem"/>
              <w:spacing w:before="0" w:after="0" w:line="240" w:lineRule="auto"/>
              <w:contextualSpacing/>
              <w:rPr>
                <w:rFonts w:asciiTheme="majorHAnsi" w:hAnsiTheme="majorHAnsi"/>
                <w:sz w:val="18"/>
                <w:szCs w:val="21"/>
              </w:rPr>
            </w:pPr>
            <w:r w:rsidRPr="00AA0F11">
              <w:rPr>
                <w:rFonts w:asciiTheme="majorHAnsi" w:hAnsiTheme="majorHAnsi"/>
                <w:sz w:val="18"/>
                <w:szCs w:val="21"/>
              </w:rPr>
              <w:t xml:space="preserve">hydrocarbons, including alkanes, alkenes and benzene, have different chemical properties that are determined by the nature of the bonding within the molecules </w:t>
            </w:r>
            <w:r w:rsidRPr="00AA0F11">
              <w:rPr>
                <w:rFonts w:asciiTheme="majorHAnsi" w:hAnsiTheme="majorHAnsi"/>
                <w:b/>
                <w:sz w:val="18"/>
                <w:szCs w:val="21"/>
                <w:highlight w:val="yellow"/>
              </w:rPr>
              <w:t>2.18</w:t>
            </w:r>
          </w:p>
          <w:p w:rsidR="00EF2795" w:rsidRPr="00AA0F11" w:rsidRDefault="00EF2795" w:rsidP="00EF2795">
            <w:pPr>
              <w:pStyle w:val="ListItem"/>
              <w:spacing w:before="0" w:after="0" w:line="240" w:lineRule="auto"/>
              <w:contextualSpacing/>
              <w:rPr>
                <w:rFonts w:asciiTheme="majorHAnsi" w:hAnsiTheme="majorHAnsi"/>
                <w:sz w:val="18"/>
                <w:szCs w:val="21"/>
              </w:rPr>
            </w:pPr>
            <w:r w:rsidRPr="00AA0F11">
              <w:rPr>
                <w:rFonts w:asciiTheme="majorHAnsi" w:hAnsiTheme="majorHAnsi"/>
                <w:sz w:val="18"/>
                <w:szCs w:val="21"/>
              </w:rPr>
              <w:t xml:space="preserve">molecular structural formulae (condensed or showing bonds) can be used to show the arrangement of atoms and bonding in covalent molecular substances </w:t>
            </w:r>
            <w:r w:rsidRPr="00AA0F11">
              <w:rPr>
                <w:rFonts w:asciiTheme="majorHAnsi" w:hAnsiTheme="majorHAnsi"/>
                <w:b/>
                <w:sz w:val="18"/>
                <w:szCs w:val="21"/>
                <w:highlight w:val="yellow"/>
              </w:rPr>
              <w:t>2.19</w:t>
            </w:r>
          </w:p>
          <w:p w:rsidR="00EF2795" w:rsidRPr="00AA0F11" w:rsidRDefault="00EF2795" w:rsidP="00EF2795">
            <w:pPr>
              <w:pStyle w:val="ListItem"/>
              <w:spacing w:before="0" w:after="0" w:line="240" w:lineRule="auto"/>
              <w:contextualSpacing/>
              <w:rPr>
                <w:rFonts w:asciiTheme="majorHAnsi" w:hAnsiTheme="majorHAnsi"/>
                <w:sz w:val="18"/>
                <w:szCs w:val="21"/>
              </w:rPr>
            </w:pPr>
            <w:r w:rsidRPr="00AA0F11">
              <w:rPr>
                <w:rFonts w:asciiTheme="majorHAnsi" w:hAnsiTheme="majorHAnsi"/>
                <w:sz w:val="18"/>
                <w:szCs w:val="21"/>
              </w:rPr>
              <w:t xml:space="preserve">IUPAC nomenclature is used to name straight and simple branched alkanes and alkenes from C1- C8 </w:t>
            </w:r>
            <w:r w:rsidRPr="00AA0F11">
              <w:rPr>
                <w:rFonts w:asciiTheme="majorHAnsi" w:hAnsiTheme="majorHAnsi"/>
                <w:b/>
                <w:sz w:val="18"/>
                <w:szCs w:val="21"/>
                <w:highlight w:val="yellow"/>
              </w:rPr>
              <w:t>2.20</w:t>
            </w:r>
          </w:p>
          <w:p w:rsidR="00EF2795" w:rsidRPr="00A9787E" w:rsidRDefault="00EF2795" w:rsidP="00EF2795">
            <w:pPr>
              <w:pStyle w:val="ListItem"/>
              <w:spacing w:before="0" w:after="0" w:line="240" w:lineRule="auto"/>
              <w:contextualSpacing/>
              <w:rPr>
                <w:rFonts w:asciiTheme="majorHAnsi" w:hAnsiTheme="majorHAnsi"/>
                <w:color w:val="0070C0"/>
                <w:sz w:val="18"/>
                <w:szCs w:val="21"/>
              </w:rPr>
            </w:pPr>
            <w:r w:rsidRPr="00AA0F11">
              <w:rPr>
                <w:rFonts w:asciiTheme="majorHAnsi" w:hAnsiTheme="majorHAnsi"/>
                <w:sz w:val="18"/>
                <w:szCs w:val="21"/>
              </w:rPr>
              <w:t xml:space="preserve">alkanes, alkenes and benzene undergo characteristic reactions such as combustion, addition reactions for alkenes and substitution reactions for alkanes and benzene </w:t>
            </w:r>
            <w:r w:rsidRPr="00AA0F11">
              <w:rPr>
                <w:rFonts w:asciiTheme="majorHAnsi" w:hAnsiTheme="majorHAnsi"/>
                <w:b/>
                <w:sz w:val="18"/>
                <w:szCs w:val="21"/>
                <w:highlight w:val="yellow"/>
              </w:rPr>
              <w:t>2.21</w:t>
            </w:r>
          </w:p>
        </w:tc>
      </w:tr>
      <w:tr w:rsidR="00EF2795" w:rsidRPr="00D02716" w:rsidTr="00EF2795">
        <w:trPr>
          <w:trHeight w:val="1286"/>
        </w:trPr>
        <w:tc>
          <w:tcPr>
            <w:tcW w:w="7499" w:type="dxa"/>
            <w:shd w:val="clear" w:color="auto" w:fill="auto"/>
          </w:tcPr>
          <w:p w:rsidR="00EF2795" w:rsidRPr="00D02716" w:rsidRDefault="00EF2795" w:rsidP="00EF2795">
            <w:pPr>
              <w:pStyle w:val="ListItem"/>
              <w:numPr>
                <w:ilvl w:val="0"/>
                <w:numId w:val="0"/>
              </w:numPr>
              <w:spacing w:before="0" w:after="0" w:line="240" w:lineRule="auto"/>
              <w:ind w:left="360" w:hanging="360"/>
              <w:contextualSpacing/>
              <w:rPr>
                <w:rFonts w:asciiTheme="majorHAnsi" w:hAnsiTheme="majorHAnsi"/>
                <w:b/>
                <w:sz w:val="18"/>
                <w:szCs w:val="21"/>
              </w:rPr>
            </w:pPr>
            <w:r w:rsidRPr="00D02716">
              <w:rPr>
                <w:rFonts w:asciiTheme="majorHAnsi" w:hAnsiTheme="majorHAnsi"/>
                <w:b/>
                <w:sz w:val="18"/>
                <w:szCs w:val="21"/>
              </w:rPr>
              <w:t>Energy changes</w:t>
            </w:r>
          </w:p>
          <w:p w:rsidR="00EF2795" w:rsidRPr="00D02716" w:rsidRDefault="00EF2795" w:rsidP="00EF2795">
            <w:pPr>
              <w:pStyle w:val="ListItem"/>
              <w:spacing w:before="0" w:after="0" w:line="240" w:lineRule="auto"/>
              <w:contextualSpacing/>
              <w:rPr>
                <w:rFonts w:asciiTheme="majorHAnsi" w:hAnsiTheme="majorHAnsi"/>
                <w:sz w:val="18"/>
                <w:szCs w:val="21"/>
              </w:rPr>
            </w:pPr>
            <w:r w:rsidRPr="00D02716">
              <w:rPr>
                <w:rFonts w:asciiTheme="majorHAnsi" w:hAnsiTheme="majorHAnsi"/>
                <w:sz w:val="18"/>
                <w:szCs w:val="21"/>
              </w:rPr>
              <w:t xml:space="preserve">chemical reactions and phase changes involve enthalpy changes, commonly observable as changes in the temperature of the surroundings and/or the emission of light  </w:t>
            </w:r>
            <w:r w:rsidRPr="00D02716">
              <w:rPr>
                <w:rFonts w:asciiTheme="majorHAnsi" w:hAnsiTheme="majorHAnsi"/>
                <w:sz w:val="18"/>
                <w:szCs w:val="21"/>
                <w:highlight w:val="cyan"/>
              </w:rPr>
              <w:t>3.2</w:t>
            </w:r>
          </w:p>
          <w:p w:rsidR="00EF2795" w:rsidRPr="00D02716" w:rsidRDefault="00EF2795" w:rsidP="00EF2795">
            <w:pPr>
              <w:pStyle w:val="ListItem"/>
              <w:spacing w:before="0" w:after="0" w:line="240" w:lineRule="auto"/>
              <w:contextualSpacing/>
              <w:rPr>
                <w:rFonts w:asciiTheme="majorHAnsi" w:hAnsiTheme="majorHAnsi"/>
                <w:sz w:val="18"/>
                <w:szCs w:val="21"/>
              </w:rPr>
            </w:pPr>
            <w:r w:rsidRPr="00D02716">
              <w:rPr>
                <w:rFonts w:asciiTheme="majorHAnsi" w:hAnsiTheme="majorHAnsi"/>
                <w:sz w:val="18"/>
                <w:szCs w:val="21"/>
              </w:rPr>
              <w:t xml:space="preserve">endothermic and exothermic reactions can be explained in terms of the Law of Conservation of Energy and the breaking of existing bonds and forming of new bonds; heat energy released or absorbed by the system to or from the surroundings, can be represented in thermochemical equations </w:t>
            </w:r>
            <w:r w:rsidRPr="00D02716">
              <w:rPr>
                <w:rFonts w:asciiTheme="majorHAnsi" w:hAnsiTheme="majorHAnsi"/>
                <w:b/>
                <w:sz w:val="18"/>
                <w:szCs w:val="21"/>
                <w:highlight w:val="cyan"/>
              </w:rPr>
              <w:t>3.3</w:t>
            </w:r>
          </w:p>
        </w:tc>
      </w:tr>
    </w:tbl>
    <w:p w:rsidR="00EF2795" w:rsidRDefault="00EF2795"/>
    <w:p w:rsidR="00EF2795" w:rsidRPr="00EF2795" w:rsidRDefault="00EF2795" w:rsidP="00EF2795"/>
    <w:p w:rsidR="00EF2795" w:rsidRPr="00EF2795" w:rsidRDefault="00EF2795" w:rsidP="00EF2795"/>
    <w:p w:rsidR="00EF2795" w:rsidRPr="00EF2795" w:rsidRDefault="00EF2795" w:rsidP="00EF2795"/>
    <w:p w:rsidR="00EF2795" w:rsidRPr="00EF2795" w:rsidRDefault="00EF2795" w:rsidP="00EF2795"/>
    <w:p w:rsidR="00EF2795" w:rsidRPr="00EF2795" w:rsidRDefault="00EF2795" w:rsidP="00EF2795"/>
    <w:p w:rsidR="00EF2795" w:rsidRPr="00EF2795" w:rsidRDefault="00EF2795" w:rsidP="00EF2795"/>
    <w:p w:rsidR="00EF2795" w:rsidRPr="00EF2795" w:rsidRDefault="00EF2795" w:rsidP="00EF2795"/>
    <w:p w:rsidR="00EF2795" w:rsidRPr="00EF2795" w:rsidRDefault="00EF2795" w:rsidP="00EF2795"/>
    <w:p w:rsidR="00EF2795" w:rsidRPr="00EF2795" w:rsidRDefault="00EF2795" w:rsidP="00EF2795"/>
    <w:p w:rsidR="00EF2795" w:rsidRDefault="00EF2795" w:rsidP="00EF2795"/>
    <w:p w:rsidR="00EF2795" w:rsidRDefault="00EF2795" w:rsidP="00EF2795">
      <w:pPr>
        <w:tabs>
          <w:tab w:val="left" w:pos="8790"/>
        </w:tabs>
      </w:pPr>
      <w:r>
        <w:tab/>
      </w:r>
    </w:p>
    <w:p w:rsidR="00EF2795" w:rsidRPr="00D02716" w:rsidRDefault="00EF2795" w:rsidP="00EF2795">
      <w:pPr>
        <w:pStyle w:val="ListItem"/>
        <w:numPr>
          <w:ilvl w:val="0"/>
          <w:numId w:val="4"/>
        </w:numPr>
        <w:spacing w:before="0" w:after="0" w:line="240" w:lineRule="auto"/>
        <w:contextualSpacing/>
        <w:rPr>
          <w:rFonts w:asciiTheme="majorHAnsi" w:hAnsiTheme="majorHAnsi"/>
          <w:sz w:val="18"/>
          <w:szCs w:val="21"/>
        </w:rPr>
      </w:pPr>
      <w:r w:rsidRPr="00D02716">
        <w:rPr>
          <w:rFonts w:asciiTheme="majorHAnsi" w:hAnsiTheme="majorHAnsi"/>
          <w:sz w:val="18"/>
          <w:szCs w:val="21"/>
        </w:rPr>
        <w:t xml:space="preserve">fossil fuels (including coal, oil, petroleum and natural gas) and biofuels (including biogas, biodiesel and bioethanol) can be compared in terms of their energy output, suitability for purpose, and the nature of products of combustion </w:t>
      </w:r>
      <w:r w:rsidRPr="005B5DDD">
        <w:rPr>
          <w:rFonts w:asciiTheme="majorHAnsi" w:hAnsiTheme="majorHAnsi"/>
          <w:b/>
          <w:sz w:val="18"/>
          <w:szCs w:val="21"/>
          <w:highlight w:val="cyan"/>
        </w:rPr>
        <w:t>3.</w:t>
      </w:r>
      <w:r w:rsidRPr="00D02716">
        <w:rPr>
          <w:rFonts w:asciiTheme="majorHAnsi" w:hAnsiTheme="majorHAnsi"/>
          <w:b/>
          <w:sz w:val="18"/>
          <w:szCs w:val="21"/>
          <w:highlight w:val="cyan"/>
        </w:rPr>
        <w:t>4</w:t>
      </w:r>
    </w:p>
    <w:p w:rsidR="00EF2795" w:rsidRDefault="00EF2795" w:rsidP="00EF2795">
      <w:pPr>
        <w:tabs>
          <w:tab w:val="left" w:pos="8790"/>
        </w:tabs>
      </w:pPr>
    </w:p>
    <w:p w:rsidR="00EF2795" w:rsidRPr="00EF2795" w:rsidRDefault="00EF2795" w:rsidP="00EF2795">
      <w:pPr>
        <w:pStyle w:val="ListParagraph"/>
        <w:numPr>
          <w:ilvl w:val="0"/>
          <w:numId w:val="3"/>
        </w:numPr>
        <w:tabs>
          <w:tab w:val="left" w:pos="8790"/>
        </w:tabs>
      </w:pPr>
      <w:r w:rsidRPr="00EF2795">
        <w:rPr>
          <w:rFonts w:asciiTheme="majorHAnsi" w:hAnsiTheme="majorHAnsi"/>
          <w:color w:val="0000FF"/>
          <w:sz w:val="18"/>
        </w:rPr>
        <w:t xml:space="preserve">energy profile diagrams, which can include the transition state and catalysed and </w:t>
      </w:r>
      <w:proofErr w:type="spellStart"/>
      <w:r w:rsidRPr="00EF2795">
        <w:rPr>
          <w:rFonts w:asciiTheme="majorHAnsi" w:hAnsiTheme="majorHAnsi"/>
          <w:color w:val="0000FF"/>
          <w:sz w:val="18"/>
        </w:rPr>
        <w:t>uncatalysed</w:t>
      </w:r>
      <w:proofErr w:type="spellEnd"/>
      <w:r w:rsidRPr="00EF2795">
        <w:rPr>
          <w:rFonts w:asciiTheme="majorHAnsi" w:hAnsiTheme="majorHAnsi"/>
          <w:color w:val="0000FF"/>
          <w:sz w:val="18"/>
        </w:rPr>
        <w:t xml:space="preserve"> pathways, can be used to represent the enthalpy changes and activation energy associated with a chemical reaction </w:t>
      </w:r>
      <w:r w:rsidRPr="00EF2795">
        <w:rPr>
          <w:rFonts w:asciiTheme="majorHAnsi" w:hAnsiTheme="majorHAnsi"/>
          <w:b/>
          <w:color w:val="0000FF"/>
          <w:sz w:val="18"/>
        </w:rPr>
        <w:t>6.5</w:t>
      </w:r>
    </w:p>
    <w:sectPr w:rsidR="00EF2795" w:rsidRPr="00EF2795" w:rsidSect="006170A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33DC6"/>
    <w:multiLevelType w:val="hybridMultilevel"/>
    <w:tmpl w:val="4858CB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D736A1"/>
    <w:multiLevelType w:val="hybridMultilevel"/>
    <w:tmpl w:val="1B3C0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CBF2513"/>
    <w:multiLevelType w:val="hybridMultilevel"/>
    <w:tmpl w:val="5A829096"/>
    <w:lvl w:ilvl="0" w:tplc="2F10FF66">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743C74C4"/>
    <w:multiLevelType w:val="hybridMultilevel"/>
    <w:tmpl w:val="DC309F70"/>
    <w:lvl w:ilvl="0" w:tplc="50EC6DF2">
      <w:start w:val="1"/>
      <w:numFmt w:val="bullet"/>
      <w:pStyle w:val="060SolnAnswer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795"/>
    <w:rsid w:val="006170A3"/>
    <w:rsid w:val="00CA40CE"/>
    <w:rsid w:val="00DC7467"/>
    <w:rsid w:val="00EF27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8F8B8-604F-4572-A14E-7087A4B2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SectionHeading">
    <w:name w:val="00 Section Heading"/>
    <w:basedOn w:val="Normal"/>
    <w:qFormat/>
    <w:rsid w:val="00CA40CE"/>
    <w:pPr>
      <w:tabs>
        <w:tab w:val="right" w:pos="9356"/>
      </w:tabs>
      <w:spacing w:after="0" w:line="240" w:lineRule="auto"/>
    </w:pPr>
    <w:rPr>
      <w:rFonts w:ascii="Arial" w:eastAsia="Times New Roman" w:hAnsi="Arial" w:cs="Times New Roman"/>
      <w:b/>
      <w:sz w:val="28"/>
      <w:szCs w:val="28"/>
    </w:rPr>
  </w:style>
  <w:style w:type="paragraph" w:customStyle="1" w:styleId="001SectionHeading">
    <w:name w:val="001 Section Heading"/>
    <w:basedOn w:val="Normal"/>
    <w:qFormat/>
    <w:rsid w:val="00CA40CE"/>
    <w:pPr>
      <w:spacing w:after="0" w:line="240" w:lineRule="auto"/>
      <w:ind w:right="-340"/>
    </w:pPr>
    <w:rPr>
      <w:rFonts w:ascii="Arial" w:eastAsia="MS Mincho" w:hAnsi="Arial" w:cs="Arial"/>
      <w:b/>
      <w:sz w:val="28"/>
      <w:lang w:val="en-US" w:eastAsia="ja-JP"/>
    </w:rPr>
  </w:style>
  <w:style w:type="paragraph" w:customStyle="1" w:styleId="010MCquestion">
    <w:name w:val="010 MC question"/>
    <w:basedOn w:val="Normal"/>
    <w:qFormat/>
    <w:rsid w:val="00CA40CE"/>
    <w:pPr>
      <w:spacing w:before="360" w:after="120" w:line="240" w:lineRule="auto"/>
      <w:ind w:left="720" w:hanging="720"/>
      <w:jc w:val="both"/>
    </w:pPr>
    <w:rPr>
      <w:rFonts w:ascii="Arial" w:eastAsia="MS Mincho" w:hAnsi="Arial"/>
      <w:bCs/>
      <w:sz w:val="24"/>
      <w:lang w:val="en-US"/>
    </w:rPr>
  </w:style>
  <w:style w:type="paragraph" w:customStyle="1" w:styleId="011EquationinMC">
    <w:name w:val="011 Equation in MC"/>
    <w:basedOn w:val="Normal"/>
    <w:qFormat/>
    <w:rsid w:val="00CA40CE"/>
    <w:pPr>
      <w:spacing w:before="120" w:after="240" w:line="240" w:lineRule="auto"/>
      <w:ind w:left="1440"/>
      <w:jc w:val="both"/>
    </w:pPr>
    <w:rPr>
      <w:rFonts w:ascii="Arial" w:eastAsia="Times" w:hAnsi="Arial"/>
      <w:sz w:val="24"/>
    </w:rPr>
  </w:style>
  <w:style w:type="paragraph" w:customStyle="1" w:styleId="012MCquestioncont">
    <w:name w:val="012 MC question cont"/>
    <w:basedOn w:val="010MCquestion"/>
    <w:qFormat/>
    <w:rsid w:val="00CA40C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240"/>
      <w:ind w:left="709" w:firstLine="0"/>
    </w:pPr>
    <w:rPr>
      <w:rFonts w:eastAsia="Times"/>
      <w:bCs w:val="0"/>
    </w:rPr>
  </w:style>
  <w:style w:type="paragraph" w:customStyle="1" w:styleId="013MCalternatives">
    <w:name w:val="013 MC alternatives"/>
    <w:basedOn w:val="Normal"/>
    <w:rsid w:val="00CA40CE"/>
    <w:pPr>
      <w:tabs>
        <w:tab w:val="left" w:pos="1418"/>
      </w:tabs>
      <w:spacing w:before="60" w:after="60" w:line="240" w:lineRule="auto"/>
      <w:ind w:left="1418" w:hanging="709"/>
      <w:jc w:val="both"/>
    </w:pPr>
    <w:rPr>
      <w:rFonts w:ascii="Arial" w:eastAsia="MS Mincho" w:hAnsi="Arial"/>
      <w:sz w:val="24"/>
      <w:szCs w:val="24"/>
      <w:lang w:val="en-US" w:eastAsia="ja-JP"/>
    </w:rPr>
  </w:style>
  <w:style w:type="paragraph" w:customStyle="1" w:styleId="014MCListRomanNumeral">
    <w:name w:val="014 MC List Roman Numeral"/>
    <w:basedOn w:val="Normal"/>
    <w:qFormat/>
    <w:rsid w:val="00CA40CE"/>
    <w:pPr>
      <w:widowControl w:val="0"/>
      <w:autoSpaceDE w:val="0"/>
      <w:autoSpaceDN w:val="0"/>
      <w:adjustRightInd w:val="0"/>
      <w:spacing w:before="120" w:after="240" w:line="240" w:lineRule="auto"/>
      <w:ind w:left="2007" w:right="-431" w:hanging="567"/>
    </w:pPr>
    <w:rPr>
      <w:rFonts w:ascii="Arial" w:eastAsiaTheme="minorEastAsia" w:hAnsi="Arial" w:cs="Arial"/>
      <w:sz w:val="24"/>
      <w:szCs w:val="24"/>
      <w:lang w:val="en-US" w:eastAsia="ja-JP"/>
    </w:rPr>
  </w:style>
  <w:style w:type="paragraph" w:customStyle="1" w:styleId="015MCAnswerBox">
    <w:name w:val="015 MC Answer Box"/>
    <w:basedOn w:val="Normal"/>
    <w:qFormat/>
    <w:rsid w:val="00CA40CE"/>
    <w:pPr>
      <w:tabs>
        <w:tab w:val="left" w:pos="720"/>
        <w:tab w:val="left" w:pos="1440"/>
        <w:tab w:val="right" w:pos="9638"/>
      </w:tabs>
      <w:spacing w:before="120" w:after="120" w:line="240" w:lineRule="auto"/>
      <w:ind w:left="720" w:hanging="720"/>
      <w:jc w:val="center"/>
    </w:pPr>
    <w:rPr>
      <w:rFonts w:ascii="Arial" w:eastAsiaTheme="minorEastAsia" w:hAnsi="Arial"/>
      <w:sz w:val="24"/>
      <w:szCs w:val="24"/>
      <w:lang w:val="en-US"/>
    </w:rPr>
  </w:style>
  <w:style w:type="paragraph" w:customStyle="1" w:styleId="020Sec2Examqn">
    <w:name w:val="020 Sec 2 Exam qn"/>
    <w:basedOn w:val="Normal"/>
    <w:qFormat/>
    <w:rsid w:val="00CA40CE"/>
    <w:pPr>
      <w:tabs>
        <w:tab w:val="left" w:pos="709"/>
        <w:tab w:val="right" w:pos="10206"/>
      </w:tabs>
      <w:spacing w:before="240" w:after="120" w:line="240" w:lineRule="auto"/>
      <w:ind w:left="709" w:hanging="720"/>
      <w:jc w:val="both"/>
    </w:pPr>
    <w:rPr>
      <w:rFonts w:ascii="Arial" w:eastAsia="MS Mincho" w:hAnsi="Arial"/>
      <w:b/>
      <w:bCs/>
      <w:sz w:val="24"/>
      <w:szCs w:val="24"/>
      <w:lang w:val="en-US" w:eastAsia="ja-JP"/>
    </w:rPr>
  </w:style>
  <w:style w:type="paragraph" w:customStyle="1" w:styleId="021Sec2Examqncont">
    <w:name w:val="021 Sec 2 Exam qn cont"/>
    <w:basedOn w:val="Normal"/>
    <w:qFormat/>
    <w:rsid w:val="00CA40CE"/>
    <w:pPr>
      <w:tabs>
        <w:tab w:val="left" w:pos="567"/>
        <w:tab w:val="right" w:pos="10206"/>
      </w:tabs>
      <w:spacing w:before="240" w:after="120" w:line="240" w:lineRule="auto"/>
      <w:jc w:val="both"/>
    </w:pPr>
    <w:rPr>
      <w:rFonts w:ascii="Arial" w:eastAsia="MS Mincho" w:hAnsi="Arial"/>
      <w:bCs/>
      <w:lang w:val="en-US" w:eastAsia="ja-JP"/>
    </w:rPr>
  </w:style>
  <w:style w:type="paragraph" w:customStyle="1" w:styleId="022Sec2Examqntext">
    <w:name w:val="022 Sec 2 Exam qn text"/>
    <w:basedOn w:val="020Sec2Examqn"/>
    <w:qFormat/>
    <w:rsid w:val="00CA40CE"/>
    <w:pPr>
      <w:ind w:firstLine="0"/>
    </w:pPr>
    <w:rPr>
      <w:b w:val="0"/>
    </w:rPr>
  </w:style>
  <w:style w:type="paragraph" w:customStyle="1" w:styleId="030QnParta">
    <w:name w:val="030 Qn Part a"/>
    <w:basedOn w:val="010MCquestion"/>
    <w:rsid w:val="00CA40CE"/>
    <w:pPr>
      <w:tabs>
        <w:tab w:val="left" w:pos="720"/>
        <w:tab w:val="right" w:pos="9354"/>
      </w:tabs>
      <w:ind w:left="709" w:hanging="709"/>
    </w:pPr>
    <w:rPr>
      <w:sz w:val="22"/>
    </w:rPr>
  </w:style>
  <w:style w:type="paragraph" w:customStyle="1" w:styleId="031QnPartacontinued">
    <w:name w:val="031 Qn Part a continued"/>
    <w:basedOn w:val="Normal"/>
    <w:qFormat/>
    <w:rsid w:val="00CA40CE"/>
    <w:pPr>
      <w:tabs>
        <w:tab w:val="right" w:pos="10206"/>
      </w:tabs>
      <w:spacing w:before="240" w:after="120" w:line="240" w:lineRule="auto"/>
      <w:ind w:left="1440"/>
      <w:jc w:val="both"/>
    </w:pPr>
    <w:rPr>
      <w:rFonts w:ascii="Arial" w:eastAsia="Times" w:hAnsi="Arial" w:cs="Times New Roman"/>
      <w:sz w:val="24"/>
      <w:szCs w:val="24"/>
      <w:lang w:val="en-US"/>
    </w:rPr>
  </w:style>
  <w:style w:type="paragraph" w:customStyle="1" w:styleId="040QnPartai">
    <w:name w:val="040 Qn Part a (i)"/>
    <w:basedOn w:val="Normal"/>
    <w:rsid w:val="00CA40CE"/>
    <w:pPr>
      <w:tabs>
        <w:tab w:val="left" w:pos="1985"/>
        <w:tab w:val="right" w:pos="9354"/>
      </w:tabs>
      <w:spacing w:before="120" w:after="120" w:line="240" w:lineRule="auto"/>
      <w:ind w:left="1418" w:hanging="698"/>
    </w:pPr>
    <w:rPr>
      <w:rFonts w:ascii="Arial" w:eastAsiaTheme="minorEastAsia" w:hAnsi="Arial"/>
      <w:lang w:val="en-US"/>
    </w:rPr>
  </w:style>
  <w:style w:type="paragraph" w:customStyle="1" w:styleId="041QnPartiiiiii">
    <w:name w:val="041 Qn Part (i) (ii) (iii)"/>
    <w:basedOn w:val="Normal"/>
    <w:qFormat/>
    <w:rsid w:val="00CA40CE"/>
    <w:pPr>
      <w:tabs>
        <w:tab w:val="left" w:pos="5103"/>
        <w:tab w:val="right" w:pos="10206"/>
      </w:tabs>
      <w:spacing w:before="120" w:after="360" w:line="240" w:lineRule="auto"/>
      <w:ind w:left="1418" w:hanging="698"/>
    </w:pPr>
    <w:rPr>
      <w:rFonts w:ascii="Arial" w:eastAsia="MS Mincho" w:hAnsi="Arial"/>
      <w:sz w:val="24"/>
      <w:szCs w:val="24"/>
      <w:lang w:val="en-US" w:eastAsia="ja-JP"/>
    </w:rPr>
  </w:style>
  <w:style w:type="paragraph" w:customStyle="1" w:styleId="042QnParticont">
    <w:name w:val="042 Qn Part (i) cont"/>
    <w:basedOn w:val="Normal"/>
    <w:qFormat/>
    <w:rsid w:val="00CA40CE"/>
    <w:pPr>
      <w:tabs>
        <w:tab w:val="left" w:pos="1418"/>
        <w:tab w:val="left" w:pos="2127"/>
        <w:tab w:val="right" w:pos="10206"/>
      </w:tabs>
      <w:spacing w:before="360" w:after="120" w:line="240" w:lineRule="auto"/>
      <w:ind w:left="2127"/>
      <w:jc w:val="both"/>
    </w:pPr>
    <w:rPr>
      <w:rFonts w:ascii="Arial" w:eastAsia="MS Mincho" w:hAnsi="Arial"/>
      <w:bCs/>
      <w:sz w:val="24"/>
      <w:lang w:val="en-US" w:eastAsia="ja-JP"/>
    </w:rPr>
  </w:style>
  <w:style w:type="paragraph" w:customStyle="1" w:styleId="050Answerlines">
    <w:name w:val="050 Answer lines"/>
    <w:basedOn w:val="010MCquestion"/>
    <w:qFormat/>
    <w:rsid w:val="00CA40CE"/>
    <w:pPr>
      <w:spacing w:after="60" w:line="360" w:lineRule="auto"/>
      <w:ind w:left="0" w:firstLine="0"/>
    </w:pPr>
    <w:rPr>
      <w:lang w:eastAsia="ja-JP"/>
    </w:rPr>
  </w:style>
  <w:style w:type="paragraph" w:customStyle="1" w:styleId="060SolnAnswerBullet">
    <w:name w:val="060 Soln Answer Bullet"/>
    <w:rsid w:val="00CA40CE"/>
    <w:pPr>
      <w:numPr>
        <w:numId w:val="1"/>
      </w:numPr>
      <w:tabs>
        <w:tab w:val="left" w:pos="1843"/>
      </w:tabs>
      <w:spacing w:after="0" w:line="240" w:lineRule="auto"/>
    </w:pPr>
    <w:rPr>
      <w:rFonts w:ascii="Arial" w:eastAsia="MS Mincho" w:hAnsi="Arial" w:cs="Times New Roman"/>
      <w:b/>
      <w:sz w:val="28"/>
      <w:szCs w:val="24"/>
      <w:lang w:eastAsia="ja-JP"/>
    </w:rPr>
  </w:style>
  <w:style w:type="paragraph" w:customStyle="1" w:styleId="061SolnPartiAnswerBullet">
    <w:name w:val="061 Soln Part (i) Answer Bullet"/>
    <w:basedOn w:val="Normal"/>
    <w:qFormat/>
    <w:rsid w:val="00CA40CE"/>
    <w:pPr>
      <w:numPr>
        <w:ilvl w:val="3"/>
      </w:numPr>
      <w:spacing w:after="0" w:line="240" w:lineRule="auto"/>
    </w:pPr>
    <w:rPr>
      <w:rFonts w:ascii="Arial" w:eastAsia="MS Mincho" w:hAnsi="Arial" w:cs="Times New Roman"/>
      <w:b/>
      <w:sz w:val="28"/>
      <w:szCs w:val="24"/>
      <w:lang w:val="en-US"/>
    </w:rPr>
  </w:style>
  <w:style w:type="paragraph" w:customStyle="1" w:styleId="062SolnAnswerCalculation">
    <w:name w:val="062 Soln Answer Calculation"/>
    <w:basedOn w:val="Normal"/>
    <w:qFormat/>
    <w:rsid w:val="00CA40CE"/>
    <w:pPr>
      <w:tabs>
        <w:tab w:val="left" w:pos="720"/>
        <w:tab w:val="left" w:pos="1440"/>
        <w:tab w:val="right" w:pos="9639"/>
      </w:tabs>
      <w:spacing w:before="240" w:after="120" w:line="240" w:lineRule="auto"/>
      <w:ind w:left="1440" w:hanging="720"/>
      <w:jc w:val="both"/>
    </w:pPr>
    <w:rPr>
      <w:rFonts w:ascii="Arial" w:eastAsiaTheme="minorEastAsia" w:hAnsi="Arial"/>
      <w:bCs/>
      <w:sz w:val="24"/>
      <w:szCs w:val="24"/>
      <w:lang w:val="en-US"/>
    </w:rPr>
  </w:style>
  <w:style w:type="paragraph" w:customStyle="1" w:styleId="063SolnPartiAnswerCalculation">
    <w:name w:val="063 Soln Part (i) Answer Calculation"/>
    <w:basedOn w:val="Normal"/>
    <w:qFormat/>
    <w:rsid w:val="00CA40CE"/>
    <w:pPr>
      <w:tabs>
        <w:tab w:val="left" w:pos="720"/>
        <w:tab w:val="left" w:pos="1440"/>
        <w:tab w:val="right" w:pos="9639"/>
      </w:tabs>
      <w:spacing w:before="240" w:after="120" w:line="240" w:lineRule="auto"/>
      <w:ind w:left="2138" w:hanging="720"/>
      <w:jc w:val="both"/>
    </w:pPr>
    <w:rPr>
      <w:rFonts w:ascii="Arial" w:eastAsiaTheme="minorEastAsia" w:hAnsi="Arial"/>
      <w:bCs/>
      <w:sz w:val="24"/>
      <w:szCs w:val="24"/>
      <w:lang w:val="en-US"/>
    </w:rPr>
  </w:style>
  <w:style w:type="paragraph" w:customStyle="1" w:styleId="070HeaderFooter">
    <w:name w:val="070 Header &amp; Footer"/>
    <w:basedOn w:val="Footer"/>
    <w:qFormat/>
    <w:rsid w:val="00CA40CE"/>
    <w:pPr>
      <w:tabs>
        <w:tab w:val="clear" w:pos="4513"/>
        <w:tab w:val="clear" w:pos="9026"/>
        <w:tab w:val="center" w:pos="4680"/>
        <w:tab w:val="right" w:pos="9360"/>
      </w:tabs>
      <w:ind w:right="-46"/>
    </w:pPr>
    <w:rPr>
      <w:rFonts w:ascii="Arial" w:eastAsia="Times New Roman" w:hAnsi="Arial" w:cs="Arial"/>
      <w:spacing w:val="-2"/>
      <w:lang w:val="en-US" w:eastAsia="ja-JP"/>
    </w:rPr>
  </w:style>
  <w:style w:type="paragraph" w:styleId="Footer">
    <w:name w:val="footer"/>
    <w:basedOn w:val="Normal"/>
    <w:link w:val="FooterChar"/>
    <w:uiPriority w:val="99"/>
    <w:semiHidden/>
    <w:unhideWhenUsed/>
    <w:rsid w:val="00CA40C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A40CE"/>
  </w:style>
  <w:style w:type="table" w:styleId="TableGrid">
    <w:name w:val="Table Grid"/>
    <w:basedOn w:val="TableNormal"/>
    <w:uiPriority w:val="59"/>
    <w:rsid w:val="00EF27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Item">
    <w:name w:val="List Item"/>
    <w:basedOn w:val="Normal"/>
    <w:link w:val="ListItemChar"/>
    <w:qFormat/>
    <w:rsid w:val="00EF2795"/>
    <w:pPr>
      <w:numPr>
        <w:numId w:val="2"/>
      </w:numPr>
      <w:spacing w:before="120" w:after="120" w:line="276" w:lineRule="auto"/>
    </w:pPr>
    <w:rPr>
      <w:rFonts w:ascii="Calibri" w:hAnsi="Calibri" w:cs="Calibri"/>
      <w:iCs/>
      <w:lang w:eastAsia="en-AU"/>
    </w:rPr>
  </w:style>
  <w:style w:type="character" w:customStyle="1" w:styleId="ListItemChar">
    <w:name w:val="List Item Char"/>
    <w:basedOn w:val="DefaultParagraphFont"/>
    <w:link w:val="ListItem"/>
    <w:rsid w:val="00EF2795"/>
    <w:rPr>
      <w:rFonts w:ascii="Calibri" w:hAnsi="Calibri" w:cs="Calibri"/>
      <w:iCs/>
      <w:lang w:eastAsia="en-AU"/>
    </w:rPr>
  </w:style>
  <w:style w:type="paragraph" w:styleId="ListParagraph">
    <w:name w:val="List Paragraph"/>
    <w:basedOn w:val="Normal"/>
    <w:uiPriority w:val="34"/>
    <w:qFormat/>
    <w:rsid w:val="00EF2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John XXIII College</Company>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Steimer</dc:creator>
  <cp:keywords/>
  <dc:description/>
  <cp:lastModifiedBy>Kimberly Steimer</cp:lastModifiedBy>
  <cp:revision>1</cp:revision>
  <dcterms:created xsi:type="dcterms:W3CDTF">2015-10-19T23:43:00Z</dcterms:created>
  <dcterms:modified xsi:type="dcterms:W3CDTF">2015-10-19T23:46:00Z</dcterms:modified>
</cp:coreProperties>
</file>