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82B65" w14:textId="77777777" w:rsidR="001F6174" w:rsidRPr="00A45CFA" w:rsidRDefault="001F6174" w:rsidP="001F6174">
      <w:pPr>
        <w:tabs>
          <w:tab w:val="right" w:pos="10490"/>
        </w:tabs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  <w:r w:rsidRPr="00A45CFA">
        <w:rPr>
          <w:rFonts w:ascii="Arial" w:hAnsi="Arial" w:cs="Arial"/>
          <w:b/>
          <w:sz w:val="28"/>
          <w:u w:val="single"/>
        </w:rPr>
        <w:t>CHEMISTRY UNIT 3 &amp; 4</w:t>
      </w:r>
      <w:r w:rsidRPr="00A45CFA">
        <w:rPr>
          <w:rFonts w:ascii="Arial" w:hAnsi="Arial" w:cs="Arial"/>
          <w:b/>
          <w:sz w:val="28"/>
          <w:u w:val="single"/>
        </w:rPr>
        <w:tab/>
        <w:t>EXTENDED RESPONSE #2</w:t>
      </w:r>
    </w:p>
    <w:p w14:paraId="527588CC" w14:textId="77777777" w:rsidR="001F6174" w:rsidRDefault="001F6174" w:rsidP="001F6174">
      <w:pPr>
        <w:rPr>
          <w:rFonts w:ascii="Arial" w:hAnsi="Arial" w:cs="Arial"/>
          <w:b/>
        </w:rPr>
      </w:pPr>
    </w:p>
    <w:p w14:paraId="020DEDEA" w14:textId="77777777" w:rsidR="001801A0" w:rsidRDefault="001F6174" w:rsidP="001F61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this extended response you will receive </w:t>
      </w:r>
      <w:r>
        <w:rPr>
          <w:rFonts w:ascii="Arial" w:hAnsi="Arial" w:cs="Arial"/>
          <w:b/>
        </w:rPr>
        <w:t xml:space="preserve">three questions </w:t>
      </w:r>
      <w:r>
        <w:rPr>
          <w:rFonts w:ascii="Arial" w:hAnsi="Arial" w:cs="Arial"/>
        </w:rPr>
        <w:t xml:space="preserve">(see full text below). Each question is worth 15 marks. For Questions 2 and 3 you will receive </w:t>
      </w:r>
      <w:r>
        <w:rPr>
          <w:rFonts w:ascii="Arial" w:hAnsi="Arial" w:cs="Arial"/>
          <w:u w:val="single"/>
        </w:rPr>
        <w:t>one</w:t>
      </w:r>
      <w:r w:rsidRPr="001F6174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the provided options. The questions will be decided by coin-flip on the day of the extended response, and everyone will complete the same questions.</w:t>
      </w:r>
      <w:r w:rsidR="001801A0">
        <w:rPr>
          <w:rFonts w:ascii="Arial" w:hAnsi="Arial" w:cs="Arial"/>
        </w:rPr>
        <w:tab/>
      </w:r>
      <w:r w:rsidR="001801A0">
        <w:rPr>
          <w:rFonts w:ascii="Arial" w:hAnsi="Arial" w:cs="Arial"/>
        </w:rPr>
        <w:tab/>
      </w:r>
    </w:p>
    <w:p w14:paraId="6B6CE619" w14:textId="77777777" w:rsidR="001801A0" w:rsidRDefault="001801A0" w:rsidP="001F6174">
      <w:pPr>
        <w:rPr>
          <w:rFonts w:ascii="Arial" w:hAnsi="Arial" w:cs="Arial"/>
        </w:rPr>
      </w:pPr>
    </w:p>
    <w:p w14:paraId="4BC440D9" w14:textId="77777777" w:rsidR="001F6174" w:rsidRPr="001801A0" w:rsidRDefault="001801A0" w:rsidP="001801A0">
      <w:pPr>
        <w:jc w:val="center"/>
        <w:rPr>
          <w:rFonts w:ascii="Arial" w:hAnsi="Arial" w:cs="Arial"/>
          <w:b/>
          <w:sz w:val="28"/>
          <w:szCs w:val="28"/>
        </w:rPr>
      </w:pPr>
      <w:r w:rsidRPr="001801A0">
        <w:rPr>
          <w:rFonts w:ascii="Arial" w:hAnsi="Arial" w:cs="Arial"/>
          <w:b/>
          <w:sz w:val="28"/>
          <w:szCs w:val="28"/>
          <w:highlight w:val="yellow"/>
        </w:rPr>
        <w:t>DATE OF EXTENDED RESPONSE: THURSDAY 27</w:t>
      </w:r>
      <w:r w:rsidRPr="001801A0">
        <w:rPr>
          <w:rFonts w:ascii="Arial" w:hAnsi="Arial" w:cs="Arial"/>
          <w:b/>
          <w:sz w:val="28"/>
          <w:szCs w:val="28"/>
          <w:highlight w:val="yellow"/>
          <w:vertAlign w:val="superscript"/>
        </w:rPr>
        <w:t>th</w:t>
      </w:r>
      <w:r w:rsidRPr="001801A0">
        <w:rPr>
          <w:rFonts w:ascii="Arial" w:hAnsi="Arial" w:cs="Arial"/>
          <w:b/>
          <w:sz w:val="28"/>
          <w:szCs w:val="28"/>
          <w:highlight w:val="yellow"/>
        </w:rPr>
        <w:t xml:space="preserve"> APRIL (TERM 2, WEEK 1)</w:t>
      </w:r>
    </w:p>
    <w:p w14:paraId="42F8A7AA" w14:textId="77777777" w:rsidR="001F6174" w:rsidRDefault="001F6174" w:rsidP="001F6174">
      <w:pPr>
        <w:rPr>
          <w:rFonts w:ascii="Arial" w:hAnsi="Arial" w:cs="Arial"/>
        </w:rPr>
      </w:pPr>
    </w:p>
    <w:p w14:paraId="5844EEA3" w14:textId="77777777" w:rsidR="001F6174" w:rsidRDefault="001F6174" w:rsidP="001F61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1: Ocean Acidification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D30712" w14:paraId="6D25C7B5" w14:textId="77777777" w:rsidTr="00D30712">
        <w:trPr>
          <w:trHeight w:val="2088"/>
        </w:trPr>
        <w:tc>
          <w:tcPr>
            <w:tcW w:w="10528" w:type="dxa"/>
          </w:tcPr>
          <w:p w14:paraId="6783C0CC" w14:textId="77777777" w:rsidR="00D30712" w:rsidRDefault="00D30712" w:rsidP="00D307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Changing levels of carbon dioxide in the atmosphere are having a significant impact on the health of marine organisms and ecosystems, such as coral reefs. This has led to international action to reduce carbon dioxide emissions.</w:t>
            </w:r>
          </w:p>
          <w:p w14:paraId="44884D4B" w14:textId="77777777" w:rsidR="00D30712" w:rsidRDefault="00D30712" w:rsidP="007E09D7">
            <w:pPr>
              <w:rPr>
                <w:rFonts w:ascii="Arial" w:hAnsi="Arial" w:cs="Arial"/>
                <w:b/>
                <w:color w:val="FF0000"/>
              </w:rPr>
            </w:pPr>
          </w:p>
          <w:p w14:paraId="3C0A0166" w14:textId="77777777" w:rsidR="00D30712" w:rsidRDefault="00D30712" w:rsidP="00D307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your extended response you should:</w:t>
            </w:r>
          </w:p>
          <w:p w14:paraId="66E48703" w14:textId="77777777" w:rsidR="00D30712" w:rsidRDefault="00D30712" w:rsidP="00D307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the link between CO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 emissions and ocean acidification. </w:t>
            </w:r>
            <w:r w:rsidRPr="00D30712">
              <w:rPr>
                <w:rFonts w:ascii="Arial" w:hAnsi="Arial" w:cs="Arial"/>
                <w:b/>
              </w:rPr>
              <w:t>(5 marks)</w:t>
            </w:r>
          </w:p>
          <w:p w14:paraId="681C5993" w14:textId="77777777" w:rsidR="00D30712" w:rsidRDefault="00D30712" w:rsidP="00D307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Describe and explain the effects of ocean acidification on marine organisms. </w:t>
            </w:r>
            <w:r w:rsidRPr="00D30712">
              <w:rPr>
                <w:rFonts w:ascii="Arial" w:hAnsi="Arial" w:cs="Arial"/>
                <w:b/>
              </w:rPr>
              <w:t>(6 marks)</w:t>
            </w:r>
          </w:p>
          <w:p w14:paraId="22A5544A" w14:textId="77777777" w:rsidR="00D30712" w:rsidRPr="00D30712" w:rsidRDefault="00D30712" w:rsidP="00D3071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Describe the actions taken by international governments and organisations to reduce future CO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 xml:space="preserve"> emissions, including the role of the Kyoto Protocol and the IPCC. </w:t>
            </w:r>
            <w:r w:rsidRPr="00D30712">
              <w:rPr>
                <w:rFonts w:ascii="Arial" w:hAnsi="Arial" w:cs="Arial"/>
                <w:b/>
              </w:rPr>
              <w:t>(4 marks)</w:t>
            </w:r>
          </w:p>
          <w:p w14:paraId="3B9F6656" w14:textId="77777777" w:rsidR="00D30712" w:rsidRPr="00D30712" w:rsidRDefault="00D30712" w:rsidP="00D30712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5D6B5C1E" w14:textId="77777777" w:rsidR="001F6174" w:rsidRDefault="001F6174" w:rsidP="001F6174">
      <w:pPr>
        <w:rPr>
          <w:rFonts w:ascii="Arial" w:hAnsi="Arial" w:cs="Arial"/>
        </w:rPr>
      </w:pPr>
    </w:p>
    <w:p w14:paraId="7AB9E45B" w14:textId="77777777" w:rsidR="001F6174" w:rsidRDefault="001F6174" w:rsidP="001F61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2: Acids and Bases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992"/>
        <w:gridCol w:w="4976"/>
      </w:tblGrid>
      <w:tr w:rsidR="001F6174" w14:paraId="15BD6C27" w14:textId="77777777" w:rsidTr="00D30712">
        <w:tc>
          <w:tcPr>
            <w:tcW w:w="4786" w:type="dxa"/>
            <w:tcBorders>
              <w:bottom w:val="nil"/>
            </w:tcBorders>
          </w:tcPr>
          <w:p w14:paraId="487A61C2" w14:textId="77777777" w:rsidR="001F6174" w:rsidRPr="001F6174" w:rsidRDefault="001F6174" w:rsidP="001F6174">
            <w:pPr>
              <w:rPr>
                <w:rFonts w:ascii="Arial" w:hAnsi="Arial" w:cs="Arial"/>
                <w:i/>
                <w:color w:val="000000" w:themeColor="text1"/>
              </w:rPr>
            </w:pPr>
            <w:r w:rsidRPr="001F6174">
              <w:rPr>
                <w:rFonts w:ascii="Arial" w:hAnsi="Arial" w:cs="Arial"/>
                <w:i/>
                <w:color w:val="000000" w:themeColor="text1"/>
              </w:rPr>
              <w:t>‘Models and theories are contested and refined or replaced when new evidence challenges them, or when a new model or theory has greater explanatory scope.’</w:t>
            </w:r>
          </w:p>
          <w:p w14:paraId="1A051C21" w14:textId="77777777" w:rsidR="001F6174" w:rsidRPr="001F6174" w:rsidRDefault="001F6174" w:rsidP="001F6174">
            <w:pPr>
              <w:rPr>
                <w:rFonts w:ascii="Arial" w:hAnsi="Arial" w:cs="Arial"/>
                <w:color w:val="000000" w:themeColor="text1"/>
              </w:rPr>
            </w:pPr>
          </w:p>
          <w:p w14:paraId="5114F0DC" w14:textId="77777777" w:rsidR="001F6174" w:rsidRPr="001F6174" w:rsidRDefault="001F6174" w:rsidP="007E09D7">
            <w:pPr>
              <w:rPr>
                <w:rFonts w:ascii="Arial" w:hAnsi="Arial" w:cs="Arial"/>
                <w:color w:val="000000" w:themeColor="text1"/>
              </w:rPr>
            </w:pPr>
            <w:r w:rsidRPr="001F6174">
              <w:rPr>
                <w:rFonts w:ascii="Arial" w:hAnsi="Arial" w:cs="Arial"/>
                <w:color w:val="000000" w:themeColor="text1"/>
              </w:rPr>
              <w:t xml:space="preserve">The Arrhenius theory of acids and bases was contested and replaced by the </w:t>
            </w:r>
            <w:proofErr w:type="spellStart"/>
            <w:r w:rsidRPr="001F6174">
              <w:rPr>
                <w:rFonts w:ascii="Arial" w:hAnsi="Arial" w:cs="Arial"/>
                <w:color w:val="000000" w:themeColor="text1"/>
              </w:rPr>
              <w:t>Bronsted</w:t>
            </w:r>
            <w:proofErr w:type="spellEnd"/>
            <w:r w:rsidRPr="001F6174">
              <w:rPr>
                <w:rFonts w:ascii="Arial" w:hAnsi="Arial" w:cs="Arial"/>
                <w:color w:val="000000" w:themeColor="text1"/>
              </w:rPr>
              <w:t xml:space="preserve">-Lowry model of acids and bases. </w:t>
            </w:r>
          </w:p>
          <w:p w14:paraId="2B68FDB7" w14:textId="77777777" w:rsidR="001F6174" w:rsidRPr="001F6174" w:rsidRDefault="001F6174" w:rsidP="007E09D7">
            <w:pPr>
              <w:rPr>
                <w:rFonts w:ascii="Arial" w:hAnsi="Arial" w:cs="Arial"/>
                <w:color w:val="000000" w:themeColor="text1"/>
              </w:rPr>
            </w:pPr>
          </w:p>
          <w:p w14:paraId="75DA2E7E" w14:textId="77777777" w:rsidR="001F6174" w:rsidRPr="001F6174" w:rsidRDefault="001F6174" w:rsidP="00D30712">
            <w:pPr>
              <w:rPr>
                <w:rFonts w:ascii="Arial" w:hAnsi="Arial" w:cs="Arial"/>
                <w:b/>
                <w:color w:val="4472C4" w:themeColor="accent1"/>
              </w:rPr>
            </w:pPr>
            <w:r w:rsidRPr="001F6174">
              <w:rPr>
                <w:rFonts w:ascii="Arial" w:hAnsi="Arial" w:cs="Arial"/>
                <w:color w:val="000000" w:themeColor="text1"/>
              </w:rPr>
              <w:t xml:space="preserve">Outline the differences between these two models and explain why the </w:t>
            </w:r>
            <w:proofErr w:type="spellStart"/>
            <w:r w:rsidRPr="001F6174">
              <w:rPr>
                <w:rFonts w:ascii="Arial" w:hAnsi="Arial" w:cs="Arial"/>
                <w:color w:val="000000" w:themeColor="text1"/>
              </w:rPr>
              <w:t>Bronsted</w:t>
            </w:r>
            <w:proofErr w:type="spellEnd"/>
            <w:r w:rsidRPr="001F6174">
              <w:rPr>
                <w:rFonts w:ascii="Arial" w:hAnsi="Arial" w:cs="Arial"/>
                <w:color w:val="000000" w:themeColor="text1"/>
              </w:rPr>
              <w:t>-Lowry model was accepted as a better model</w:t>
            </w:r>
            <w:r w:rsidR="00D30712">
              <w:rPr>
                <w:rFonts w:ascii="Arial" w:hAnsi="Arial" w:cs="Arial"/>
                <w:color w:val="000000" w:themeColor="text1"/>
              </w:rPr>
              <w:t>.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4E368FE2" w14:textId="77777777" w:rsidR="001F6174" w:rsidRPr="00A45CFA" w:rsidRDefault="001F6174" w:rsidP="007E09D7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A45CFA">
              <w:rPr>
                <w:rFonts w:ascii="Arial" w:hAnsi="Arial" w:cs="Arial"/>
                <w:b/>
                <w:u w:val="single"/>
              </w:rPr>
              <w:t>or</w:t>
            </w:r>
          </w:p>
        </w:tc>
        <w:tc>
          <w:tcPr>
            <w:tcW w:w="4976" w:type="dxa"/>
            <w:tcBorders>
              <w:bottom w:val="nil"/>
            </w:tcBorders>
          </w:tcPr>
          <w:p w14:paraId="1E3AB189" w14:textId="77777777" w:rsidR="001F6174" w:rsidRPr="001F6174" w:rsidRDefault="001F6174" w:rsidP="001F6174">
            <w:pPr>
              <w:rPr>
                <w:rFonts w:ascii="Arial" w:hAnsi="Arial" w:cs="Arial"/>
                <w:color w:val="000000" w:themeColor="text1"/>
              </w:rPr>
            </w:pPr>
            <w:r w:rsidRPr="001F6174">
              <w:rPr>
                <w:rFonts w:ascii="Arial" w:hAnsi="Arial" w:cs="Arial"/>
                <w:color w:val="000000" w:themeColor="text1"/>
              </w:rPr>
              <w:t xml:space="preserve">Buffers and indicators are two types of substances which both involve weak acids and their conjugate bases. </w:t>
            </w:r>
          </w:p>
          <w:p w14:paraId="4CB9A5D7" w14:textId="77777777" w:rsidR="001F6174" w:rsidRPr="001F6174" w:rsidRDefault="001F6174" w:rsidP="001F6174">
            <w:pPr>
              <w:rPr>
                <w:rFonts w:ascii="Arial" w:hAnsi="Arial" w:cs="Arial"/>
                <w:color w:val="000000" w:themeColor="text1"/>
              </w:rPr>
            </w:pPr>
          </w:p>
          <w:p w14:paraId="091C177B" w14:textId="77777777" w:rsidR="001F6174" w:rsidRPr="00D30712" w:rsidRDefault="001F6174" w:rsidP="001F6174">
            <w:pPr>
              <w:rPr>
                <w:rFonts w:ascii="Arial" w:hAnsi="Arial" w:cs="Arial"/>
                <w:color w:val="000000" w:themeColor="text1"/>
              </w:rPr>
            </w:pPr>
            <w:r w:rsidRPr="001F6174">
              <w:rPr>
                <w:rFonts w:ascii="Arial" w:hAnsi="Arial" w:cs="Arial"/>
                <w:color w:val="000000" w:themeColor="text1"/>
              </w:rPr>
              <w:t xml:space="preserve">Demonstrate how Le </w:t>
            </w:r>
            <w:proofErr w:type="spellStart"/>
            <w:r w:rsidRPr="001F6174">
              <w:rPr>
                <w:rFonts w:ascii="Arial" w:hAnsi="Arial" w:cs="Arial"/>
                <w:color w:val="000000" w:themeColor="text1"/>
              </w:rPr>
              <w:t>Châtelier's</w:t>
            </w:r>
            <w:proofErr w:type="spellEnd"/>
            <w:r w:rsidRPr="001F6174">
              <w:rPr>
                <w:rFonts w:ascii="Arial" w:hAnsi="Arial" w:cs="Arial"/>
                <w:color w:val="000000" w:themeColor="text1"/>
              </w:rPr>
              <w:t xml:space="preserve"> Principle can be used to account for the properties of buffers and indicators. For each type of substance, include a specific example and demonstrate how that system is affected by the addition of acid</w:t>
            </w:r>
            <w:r w:rsidR="00D30712">
              <w:rPr>
                <w:rFonts w:ascii="Arial" w:hAnsi="Arial" w:cs="Arial"/>
                <w:color w:val="000000" w:themeColor="text1"/>
              </w:rPr>
              <w:t>s</w:t>
            </w:r>
            <w:r w:rsidRPr="001F6174">
              <w:rPr>
                <w:rFonts w:ascii="Arial" w:hAnsi="Arial" w:cs="Arial"/>
                <w:color w:val="000000" w:themeColor="text1"/>
              </w:rPr>
              <w:t xml:space="preserve"> and base</w:t>
            </w:r>
            <w:r w:rsidR="00D30712">
              <w:rPr>
                <w:rFonts w:ascii="Arial" w:hAnsi="Arial" w:cs="Arial"/>
                <w:color w:val="000000" w:themeColor="text1"/>
              </w:rPr>
              <w:t>s</w:t>
            </w:r>
            <w:r w:rsidRPr="001F6174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D30712" w14:paraId="4E640368" w14:textId="77777777" w:rsidTr="00D30712">
        <w:tc>
          <w:tcPr>
            <w:tcW w:w="4786" w:type="dxa"/>
            <w:tcBorders>
              <w:top w:val="nil"/>
            </w:tcBorders>
          </w:tcPr>
          <w:p w14:paraId="1EEADCED" w14:textId="77777777" w:rsidR="00D30712" w:rsidRPr="00D30712" w:rsidRDefault="00D30712" w:rsidP="00D30712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(15 marks)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332A31E3" w14:textId="77777777" w:rsidR="00D30712" w:rsidRPr="00A45CFA" w:rsidRDefault="00D30712" w:rsidP="007E09D7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4976" w:type="dxa"/>
            <w:tcBorders>
              <w:top w:val="nil"/>
            </w:tcBorders>
          </w:tcPr>
          <w:p w14:paraId="74C8975F" w14:textId="77777777" w:rsidR="00D30712" w:rsidRPr="001F6174" w:rsidRDefault="00D30712" w:rsidP="00D30712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(15 marks)</w:t>
            </w:r>
          </w:p>
        </w:tc>
      </w:tr>
    </w:tbl>
    <w:p w14:paraId="6DE39C32" w14:textId="77777777" w:rsidR="001F6174" w:rsidRDefault="001F6174" w:rsidP="001F6174">
      <w:pPr>
        <w:rPr>
          <w:rFonts w:ascii="Arial" w:hAnsi="Arial" w:cs="Arial"/>
          <w:b/>
        </w:rPr>
      </w:pPr>
    </w:p>
    <w:p w14:paraId="4FEC2E30" w14:textId="77777777" w:rsidR="001F6174" w:rsidRDefault="001F6174" w:rsidP="001F617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3: Reduction and Oxidation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3"/>
        <w:gridCol w:w="708"/>
        <w:gridCol w:w="5427"/>
      </w:tblGrid>
      <w:tr w:rsidR="00D30712" w14:paraId="62501B02" w14:textId="77777777" w:rsidTr="00D30712">
        <w:tc>
          <w:tcPr>
            <w:tcW w:w="4393" w:type="dxa"/>
            <w:tcBorders>
              <w:bottom w:val="nil"/>
            </w:tcBorders>
          </w:tcPr>
          <w:p w14:paraId="32B4C360" w14:textId="77777777" w:rsidR="001F6174" w:rsidRDefault="001F6174" w:rsidP="001F6174">
            <w:p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F6174">
              <w:rPr>
                <w:rFonts w:ascii="Arial" w:hAnsi="Arial" w:cs="Arial"/>
                <w:color w:val="000000" w:themeColor="text1"/>
              </w:rPr>
              <w:t>Electrorefining</w:t>
            </w:r>
            <w:proofErr w:type="spellEnd"/>
            <w:r w:rsidRPr="001F6174">
              <w:rPr>
                <w:rFonts w:ascii="Arial" w:hAnsi="Arial" w:cs="Arial"/>
                <w:color w:val="000000" w:themeColor="text1"/>
              </w:rPr>
              <w:t xml:space="preserve"> and electroplating are two industrial applications of electrolysis. Describe how these processes are used in industry, and explain how these processes can be understood using concepts of oxidation and reduction. </w:t>
            </w:r>
          </w:p>
          <w:p w14:paraId="5BB80ED8" w14:textId="77777777" w:rsidR="001F6174" w:rsidRPr="001F6174" w:rsidRDefault="001F6174" w:rsidP="001F6174">
            <w:pPr>
              <w:rPr>
                <w:rFonts w:ascii="Arial" w:hAnsi="Arial" w:cs="Arial"/>
                <w:color w:val="000000" w:themeColor="text1"/>
              </w:rPr>
            </w:pPr>
          </w:p>
          <w:p w14:paraId="3F1E4D8F" w14:textId="77777777" w:rsidR="001F6174" w:rsidRPr="00D30712" w:rsidRDefault="001F6174" w:rsidP="007E09D7">
            <w:pPr>
              <w:rPr>
                <w:rFonts w:ascii="Arial" w:hAnsi="Arial" w:cs="Arial"/>
                <w:color w:val="000000" w:themeColor="text1"/>
              </w:rPr>
            </w:pPr>
            <w:r w:rsidRPr="001F6174">
              <w:rPr>
                <w:rFonts w:ascii="Arial" w:hAnsi="Arial" w:cs="Arial"/>
                <w:color w:val="000000" w:themeColor="text1"/>
              </w:rPr>
              <w:t>Your answer should include labelled diagrams and equations where relevant. Key terms should be described to show your understanding of concepts related to redox and electrolysis.</w:t>
            </w:r>
          </w:p>
        </w:tc>
        <w:tc>
          <w:tcPr>
            <w:tcW w:w="708" w:type="dxa"/>
            <w:tcBorders>
              <w:top w:val="nil"/>
              <w:bottom w:val="nil"/>
            </w:tcBorders>
            <w:vAlign w:val="center"/>
          </w:tcPr>
          <w:p w14:paraId="08923FAB" w14:textId="77777777" w:rsidR="001F6174" w:rsidRPr="00A45CFA" w:rsidRDefault="001F6174" w:rsidP="007E09D7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A45CFA">
              <w:rPr>
                <w:rFonts w:ascii="Arial" w:hAnsi="Arial" w:cs="Arial"/>
                <w:b/>
                <w:u w:val="single"/>
              </w:rPr>
              <w:t>or</w:t>
            </w:r>
          </w:p>
        </w:tc>
        <w:tc>
          <w:tcPr>
            <w:tcW w:w="5427" w:type="dxa"/>
            <w:tcBorders>
              <w:bottom w:val="nil"/>
            </w:tcBorders>
          </w:tcPr>
          <w:p w14:paraId="6DA138FE" w14:textId="77777777" w:rsidR="001F6174" w:rsidRPr="001F6174" w:rsidRDefault="001F6174" w:rsidP="001F6174">
            <w:pPr>
              <w:rPr>
                <w:rFonts w:ascii="Arial" w:hAnsi="Arial" w:cs="Arial"/>
                <w:color w:val="000000" w:themeColor="text1"/>
              </w:rPr>
            </w:pPr>
            <w:r w:rsidRPr="001F6174">
              <w:rPr>
                <w:rFonts w:ascii="Arial" w:hAnsi="Arial" w:cs="Arial"/>
                <w:color w:val="000000" w:themeColor="text1"/>
              </w:rPr>
              <w:t xml:space="preserve">The proton exchange membrane fuel cell (PEMFC) was first developed in the late 1960s.  </w:t>
            </w:r>
            <w:proofErr w:type="gramStart"/>
            <w:r w:rsidRPr="001F6174">
              <w:rPr>
                <w:rFonts w:ascii="Arial" w:hAnsi="Arial" w:cs="Arial"/>
                <w:color w:val="000000" w:themeColor="text1"/>
              </w:rPr>
              <w:t>but</w:t>
            </w:r>
            <w:proofErr w:type="gramEnd"/>
            <w:r w:rsidRPr="001F6174">
              <w:rPr>
                <w:rFonts w:ascii="Arial" w:hAnsi="Arial" w:cs="Arial"/>
                <w:color w:val="000000" w:themeColor="text1"/>
              </w:rPr>
              <w:t xml:space="preserve"> are currently being looked at as a power source for modern vehicles. </w:t>
            </w:r>
          </w:p>
          <w:p w14:paraId="5D14591D" w14:textId="77777777" w:rsidR="001F6174" w:rsidRPr="001F6174" w:rsidRDefault="001F6174" w:rsidP="001F6174">
            <w:pPr>
              <w:rPr>
                <w:rFonts w:ascii="Arial" w:hAnsi="Arial" w:cs="Arial"/>
                <w:color w:val="000000" w:themeColor="text1"/>
              </w:rPr>
            </w:pPr>
          </w:p>
          <w:p w14:paraId="70AB9CA7" w14:textId="77777777" w:rsidR="001F6174" w:rsidRPr="001F6174" w:rsidRDefault="001F6174" w:rsidP="001F617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 w:rsidRPr="001F6174">
              <w:rPr>
                <w:rFonts w:ascii="Arial" w:hAnsi="Arial" w:cs="Arial"/>
                <w:color w:val="000000" w:themeColor="text1"/>
              </w:rPr>
              <w:t>Explain, in terms of redox concepts, how the PEMFC is able to generate an electrical current. Your answer should include a labelled diagram of the PEMFC, anode and cathode half-equations and an overall equation.</w:t>
            </w:r>
          </w:p>
          <w:p w14:paraId="02A59AD3" w14:textId="77777777" w:rsidR="001F6174" w:rsidRPr="001F6174" w:rsidRDefault="001F6174" w:rsidP="001F6174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  <w:p w14:paraId="26313059" w14:textId="77777777" w:rsidR="001F6174" w:rsidRPr="001F6174" w:rsidRDefault="001F6174" w:rsidP="001F617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</w:rPr>
            </w:pPr>
            <w:r w:rsidRPr="001F6174">
              <w:rPr>
                <w:rFonts w:ascii="Arial" w:hAnsi="Arial" w:cs="Arial"/>
                <w:color w:val="000000" w:themeColor="text1"/>
              </w:rPr>
              <w:t>Identify the source of reactants for the fuel cell, and use this as a basis to evaluate whether or not hydrogen fuel cars should be considered ‘environmentally friendly’.</w:t>
            </w:r>
          </w:p>
          <w:p w14:paraId="481899CE" w14:textId="77777777" w:rsidR="001F6174" w:rsidRPr="001F6174" w:rsidRDefault="001F6174" w:rsidP="001F6174">
            <w:pPr>
              <w:rPr>
                <w:rFonts w:ascii="Arial" w:hAnsi="Arial" w:cs="Arial"/>
                <w:color w:val="000000" w:themeColor="text1"/>
              </w:rPr>
            </w:pPr>
          </w:p>
          <w:p w14:paraId="72D14BA6" w14:textId="77777777" w:rsidR="001F6174" w:rsidRPr="001F6174" w:rsidRDefault="001F6174" w:rsidP="00D30712">
            <w:pPr>
              <w:rPr>
                <w:rFonts w:ascii="Arial" w:hAnsi="Arial" w:cs="Arial"/>
                <w:b/>
              </w:rPr>
            </w:pPr>
            <w:r w:rsidRPr="001F6174">
              <w:rPr>
                <w:rFonts w:ascii="Arial" w:hAnsi="Arial" w:cs="Arial"/>
                <w:color w:val="000000" w:themeColor="text1"/>
              </w:rPr>
              <w:t>Each of the above dot points should be given roughly equal weight in your response</w:t>
            </w:r>
            <w:r w:rsidR="00D30712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D30712" w14:paraId="77452BE4" w14:textId="77777777" w:rsidTr="00D30712">
        <w:tc>
          <w:tcPr>
            <w:tcW w:w="4393" w:type="dxa"/>
            <w:tcBorders>
              <w:top w:val="nil"/>
            </w:tcBorders>
          </w:tcPr>
          <w:p w14:paraId="362917BC" w14:textId="77777777" w:rsidR="00D30712" w:rsidRPr="00D30712" w:rsidRDefault="00D30712" w:rsidP="007E09D7">
            <w:pPr>
              <w:jc w:val="right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(15 marks)</w:t>
            </w:r>
          </w:p>
        </w:tc>
        <w:tc>
          <w:tcPr>
            <w:tcW w:w="708" w:type="dxa"/>
            <w:tcBorders>
              <w:top w:val="nil"/>
              <w:bottom w:val="nil"/>
            </w:tcBorders>
            <w:vAlign w:val="center"/>
          </w:tcPr>
          <w:p w14:paraId="61805260" w14:textId="77777777" w:rsidR="00D30712" w:rsidRPr="00A45CFA" w:rsidRDefault="00D30712" w:rsidP="007E09D7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5427" w:type="dxa"/>
            <w:tcBorders>
              <w:top w:val="nil"/>
            </w:tcBorders>
          </w:tcPr>
          <w:p w14:paraId="12E506DE" w14:textId="77777777" w:rsidR="00D30712" w:rsidRPr="001F6174" w:rsidRDefault="00D30712" w:rsidP="007E09D7">
            <w:pPr>
              <w:jc w:val="right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(15 marks)</w:t>
            </w:r>
          </w:p>
        </w:tc>
      </w:tr>
    </w:tbl>
    <w:p w14:paraId="33B1C157" w14:textId="77777777" w:rsidR="002E0E0B" w:rsidRDefault="002E0E0B" w:rsidP="001801A0"/>
    <w:sectPr w:rsidR="002E0E0B" w:rsidSect="00A45CFA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A7DBC"/>
    <w:multiLevelType w:val="hybridMultilevel"/>
    <w:tmpl w:val="EE48F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242E9E"/>
    <w:multiLevelType w:val="hybridMultilevel"/>
    <w:tmpl w:val="A8AC64DE"/>
    <w:lvl w:ilvl="0" w:tplc="27623D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61262"/>
    <w:multiLevelType w:val="hybridMultilevel"/>
    <w:tmpl w:val="7AB60190"/>
    <w:lvl w:ilvl="0" w:tplc="63261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A66AA"/>
    <w:multiLevelType w:val="hybridMultilevel"/>
    <w:tmpl w:val="C610EE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96D32"/>
    <w:multiLevelType w:val="hybridMultilevel"/>
    <w:tmpl w:val="DCD68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74"/>
    <w:rsid w:val="001801A0"/>
    <w:rsid w:val="001F6174"/>
    <w:rsid w:val="002E0E0B"/>
    <w:rsid w:val="00A71FF2"/>
    <w:rsid w:val="00CE32F5"/>
    <w:rsid w:val="00D30712"/>
    <w:rsid w:val="00E6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B52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174"/>
    <w:rPr>
      <w:rFonts w:ascii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6174"/>
    <w:rPr>
      <w:rFonts w:ascii="Times New Roman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174"/>
    <w:rPr>
      <w:rFonts w:ascii="Times New Roman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6174"/>
    <w:rPr>
      <w:rFonts w:ascii="Times New Roman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Jijy</cp:lastModifiedBy>
  <cp:revision>2</cp:revision>
  <dcterms:created xsi:type="dcterms:W3CDTF">2018-03-13T10:39:00Z</dcterms:created>
  <dcterms:modified xsi:type="dcterms:W3CDTF">2018-03-13T10:39:00Z</dcterms:modified>
</cp:coreProperties>
</file>