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F6B3" w14:textId="77777777" w:rsidR="003A2BC4" w:rsidRPr="00CB733F" w:rsidRDefault="00BD1743" w:rsidP="00CB733F">
      <w:pPr>
        <w:autoSpaceDE w:val="0"/>
        <w:autoSpaceDN w:val="0"/>
        <w:adjustRightInd w:val="0"/>
        <w:spacing w:line="280" w:lineRule="atLeast"/>
        <w:rPr>
          <w:rFonts w:ascii="Times" w:hAnsi="Times" w:cs="Times"/>
          <w:color w:val="000000"/>
        </w:rPr>
      </w:pPr>
      <w:r>
        <w:rPr>
          <w:rFonts w:ascii="Times" w:hAnsi="Times" w:cs="Times"/>
          <w:noProof/>
          <w:color w:val="000000"/>
          <w:lang w:eastAsia="en-AU"/>
        </w:rPr>
        <w:drawing>
          <wp:inline distT="0" distB="0" distL="0" distR="0" wp14:anchorId="7963E5E4" wp14:editId="08774721">
            <wp:extent cx="992554" cy="1106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8305" cy="1134765"/>
                    </a:xfrm>
                    <a:prstGeom prst="rect">
                      <a:avLst/>
                    </a:prstGeom>
                    <a:noFill/>
                    <a:ln>
                      <a:noFill/>
                    </a:ln>
                  </pic:spPr>
                </pic:pic>
              </a:graphicData>
            </a:graphic>
          </wp:inline>
        </w:drawing>
      </w:r>
    </w:p>
    <w:tbl>
      <w:tblPr>
        <w:tblpPr w:leftFromText="180" w:rightFromText="180" w:vertAnchor="text" w:horzAnchor="margin" w:tblpY="178"/>
        <w:tblW w:w="10750" w:type="dxa"/>
        <w:tblLayout w:type="fixed"/>
        <w:tblLook w:val="04A0" w:firstRow="1" w:lastRow="0" w:firstColumn="1" w:lastColumn="0" w:noHBand="0" w:noVBand="1"/>
      </w:tblPr>
      <w:tblGrid>
        <w:gridCol w:w="226"/>
        <w:gridCol w:w="775"/>
        <w:gridCol w:w="7362"/>
        <w:gridCol w:w="992"/>
        <w:gridCol w:w="1169"/>
        <w:gridCol w:w="226"/>
      </w:tblGrid>
      <w:tr w:rsidR="003A2BC4" w:rsidRPr="008D12CD" w14:paraId="3D9392A7" w14:textId="77777777" w:rsidTr="00EF5FFD">
        <w:trPr>
          <w:gridAfter w:val="1"/>
          <w:wAfter w:w="226" w:type="dxa"/>
          <w:trHeight w:val="640"/>
        </w:trPr>
        <w:tc>
          <w:tcPr>
            <w:tcW w:w="100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7CAFEC24" w14:textId="77777777" w:rsidR="003A2BC4" w:rsidRPr="008D12CD" w:rsidRDefault="003A2BC4" w:rsidP="003A2BC4">
            <w:pPr>
              <w:ind w:left="142" w:hanging="142"/>
              <w:jc w:val="center"/>
              <w:rPr>
                <w:rFonts w:asciiTheme="majorHAnsi" w:eastAsia="Times New Roman" w:hAnsiTheme="majorHAnsi" w:cstheme="majorHAnsi"/>
                <w:b/>
                <w:bCs/>
                <w:color w:val="000000"/>
                <w:lang w:val="en-GB"/>
              </w:rPr>
            </w:pPr>
            <w:r w:rsidRPr="008D12CD">
              <w:rPr>
                <w:rFonts w:asciiTheme="majorHAnsi" w:eastAsia="Times New Roman" w:hAnsiTheme="majorHAnsi" w:cstheme="majorHAnsi"/>
                <w:b/>
                <w:bCs/>
                <w:color w:val="000000"/>
                <w:lang w:val="en-GB"/>
              </w:rPr>
              <w:t>I can</w:t>
            </w:r>
          </w:p>
        </w:tc>
        <w:tc>
          <w:tcPr>
            <w:tcW w:w="7362" w:type="dxa"/>
            <w:tcBorders>
              <w:top w:val="single" w:sz="4" w:space="0" w:color="auto"/>
              <w:left w:val="nil"/>
              <w:bottom w:val="single" w:sz="4" w:space="0" w:color="auto"/>
              <w:right w:val="single" w:sz="4" w:space="0" w:color="auto"/>
            </w:tcBorders>
            <w:shd w:val="clear" w:color="auto" w:fill="auto"/>
            <w:noWrap/>
            <w:vAlign w:val="center"/>
          </w:tcPr>
          <w:p w14:paraId="04032D59" w14:textId="3E5F02D6" w:rsidR="003A2BC4" w:rsidRPr="00EF5FFD" w:rsidRDefault="00225A76" w:rsidP="003A2BC4">
            <w:pPr>
              <w:ind w:left="142" w:hanging="142"/>
              <w:rPr>
                <w:rFonts w:ascii="Arial" w:eastAsia="Times New Roman" w:hAnsi="Arial" w:cs="Arial"/>
                <w:b/>
                <w:bCs/>
                <w:color w:val="000000"/>
                <w:sz w:val="20"/>
                <w:szCs w:val="20"/>
                <w:lang w:val="en-GB"/>
              </w:rPr>
            </w:pPr>
            <w:r>
              <w:rPr>
                <w:rFonts w:ascii="Arial" w:eastAsia="Times New Roman" w:hAnsi="Arial" w:cs="Arial"/>
                <w:b/>
                <w:bCs/>
                <w:color w:val="000000"/>
                <w:sz w:val="20"/>
                <w:szCs w:val="20"/>
                <w:lang w:val="en-GB"/>
              </w:rPr>
              <w:t xml:space="preserve">           </w:t>
            </w:r>
            <w:r w:rsidR="003A2BC4" w:rsidRPr="00EF5FFD">
              <w:rPr>
                <w:rFonts w:ascii="Arial" w:eastAsia="Times New Roman" w:hAnsi="Arial" w:cs="Arial"/>
                <w:b/>
                <w:bCs/>
                <w:color w:val="000000"/>
                <w:sz w:val="20"/>
                <w:szCs w:val="20"/>
                <w:lang w:val="en-GB"/>
              </w:rPr>
              <w:t xml:space="preserve">  Year </w:t>
            </w:r>
            <w:proofErr w:type="gramStart"/>
            <w:r w:rsidR="003A2BC4" w:rsidRPr="00EF5FFD">
              <w:rPr>
                <w:rFonts w:ascii="Arial" w:eastAsia="Times New Roman" w:hAnsi="Arial" w:cs="Arial"/>
                <w:b/>
                <w:bCs/>
                <w:color w:val="000000"/>
                <w:sz w:val="20"/>
                <w:szCs w:val="20"/>
                <w:lang w:val="en-GB"/>
              </w:rPr>
              <w:t>1</w:t>
            </w:r>
            <w:r w:rsidR="00CB483F" w:rsidRPr="00EF5FFD">
              <w:rPr>
                <w:rFonts w:ascii="Arial" w:eastAsia="Times New Roman" w:hAnsi="Arial" w:cs="Arial"/>
                <w:b/>
                <w:bCs/>
                <w:color w:val="000000"/>
                <w:sz w:val="20"/>
                <w:szCs w:val="20"/>
                <w:lang w:val="en-GB"/>
              </w:rPr>
              <w:t>2</w:t>
            </w:r>
            <w:r w:rsidR="003A2BC4" w:rsidRPr="00EF5FFD">
              <w:rPr>
                <w:rFonts w:ascii="Arial" w:eastAsia="Times New Roman" w:hAnsi="Arial" w:cs="Arial"/>
                <w:b/>
                <w:bCs/>
                <w:color w:val="000000"/>
                <w:sz w:val="20"/>
                <w:szCs w:val="20"/>
                <w:lang w:val="en-GB"/>
              </w:rPr>
              <w:t xml:space="preserve">  </w:t>
            </w:r>
            <w:r w:rsidR="00CB483F" w:rsidRPr="00EF5FFD">
              <w:rPr>
                <w:rFonts w:ascii="Arial" w:eastAsia="Times New Roman" w:hAnsi="Arial" w:cs="Arial"/>
                <w:b/>
                <w:bCs/>
                <w:color w:val="000000"/>
                <w:sz w:val="20"/>
                <w:szCs w:val="20"/>
                <w:lang w:val="en-GB"/>
              </w:rPr>
              <w:t>Chemistry</w:t>
            </w:r>
            <w:proofErr w:type="gramEnd"/>
            <w:r w:rsidR="008D12CD" w:rsidRPr="00EF5FFD">
              <w:rPr>
                <w:rFonts w:ascii="Arial" w:eastAsia="Times New Roman" w:hAnsi="Arial" w:cs="Arial"/>
                <w:b/>
                <w:bCs/>
                <w:color w:val="000000"/>
                <w:sz w:val="20"/>
                <w:szCs w:val="20"/>
                <w:lang w:val="en-GB"/>
              </w:rPr>
              <w:t xml:space="preserve"> 2022</w:t>
            </w:r>
            <w:r>
              <w:rPr>
                <w:rFonts w:ascii="Arial" w:eastAsia="Times New Roman" w:hAnsi="Arial" w:cs="Arial"/>
                <w:b/>
                <w:bCs/>
                <w:color w:val="000000"/>
                <w:sz w:val="20"/>
                <w:szCs w:val="20"/>
                <w:lang w:val="en-GB"/>
              </w:rPr>
              <w:t xml:space="preserve"> Unit 3 &amp; 4 Exam Revision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EF6403" w14:textId="77777777" w:rsidR="003A2BC4" w:rsidRPr="008D12CD" w:rsidRDefault="003A2BC4" w:rsidP="003A2BC4">
            <w:pPr>
              <w:ind w:left="142" w:hanging="142"/>
              <w:jc w:val="center"/>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Check</w:t>
            </w:r>
          </w:p>
        </w:tc>
        <w:tc>
          <w:tcPr>
            <w:tcW w:w="1169" w:type="dxa"/>
            <w:tcBorders>
              <w:top w:val="single" w:sz="4" w:space="0" w:color="auto"/>
              <w:left w:val="nil"/>
              <w:bottom w:val="single" w:sz="4" w:space="0" w:color="auto"/>
              <w:right w:val="single" w:sz="4" w:space="0" w:color="auto"/>
            </w:tcBorders>
            <w:shd w:val="clear" w:color="auto" w:fill="auto"/>
            <w:vAlign w:val="center"/>
          </w:tcPr>
          <w:p w14:paraId="62DC6ECD" w14:textId="77777777" w:rsidR="003A2BC4" w:rsidRPr="008D12CD" w:rsidRDefault="003A2BC4" w:rsidP="003A2BC4">
            <w:pPr>
              <w:ind w:left="142" w:hanging="142"/>
              <w:jc w:val="center"/>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Teacher initial</w:t>
            </w:r>
          </w:p>
        </w:tc>
      </w:tr>
      <w:tr w:rsidR="003A2BC4" w:rsidRPr="008D12CD" w14:paraId="348BF828" w14:textId="77777777" w:rsidTr="00EF5FFD">
        <w:trPr>
          <w:gridAfter w:val="1"/>
          <w:wAfter w:w="226" w:type="dxa"/>
          <w:trHeight w:val="640"/>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616DE4E3" w14:textId="77777777" w:rsidR="003A2BC4" w:rsidRPr="008D12CD" w:rsidRDefault="003A2BC4"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134D40DE" w14:textId="3D7BF54C" w:rsidR="00225A76" w:rsidRDefault="00521F45" w:rsidP="00225A76">
            <w:pPr>
              <w:pStyle w:val="ListItem"/>
              <w:spacing w:before="0" w:line="240" w:lineRule="auto"/>
              <w:rPr>
                <w:rFonts w:ascii="Arial" w:hAnsi="Arial" w:cs="Arial"/>
              </w:rPr>
            </w:pPr>
            <w:r w:rsidRPr="00733A0D">
              <w:rPr>
                <w:rFonts w:ascii="Arial" w:eastAsia="Times New Roman" w:hAnsi="Arial" w:cs="Arial"/>
                <w:color w:val="000000"/>
                <w:lang w:val="en-GB"/>
              </w:rPr>
              <w:t xml:space="preserve"> </w:t>
            </w:r>
            <w:r w:rsidR="00733A0D" w:rsidRPr="00E16FCC">
              <w:rPr>
                <w:rFonts w:ascii="Arial" w:hAnsi="Arial" w:cs="Arial"/>
              </w:rPr>
              <w:t xml:space="preserve"> </w:t>
            </w:r>
            <w:r w:rsidR="00225A76" w:rsidRPr="00E16FCC">
              <w:rPr>
                <w:rFonts w:ascii="Arial" w:hAnsi="Arial" w:cs="Arial"/>
              </w:rPr>
              <w:t xml:space="preserve"> </w:t>
            </w:r>
            <w:r w:rsidR="00225A76" w:rsidRPr="00E16FCC">
              <w:rPr>
                <w:rFonts w:ascii="Arial" w:hAnsi="Arial" w:cs="Arial"/>
              </w:rPr>
              <w:t>the reversibility of chemical reactions can be explained in terms of the activation energies of the forward and reverse reactions</w:t>
            </w:r>
          </w:p>
          <w:p w14:paraId="4681DB0D" w14:textId="15BE3821" w:rsidR="00780A82" w:rsidRPr="00733A0D" w:rsidRDefault="00780A82" w:rsidP="00E3241D">
            <w:pPr>
              <w:pStyle w:val="ListItem"/>
              <w:numPr>
                <w:ilvl w:val="0"/>
                <w:numId w:val="0"/>
              </w:numPr>
              <w:spacing w:before="0" w:line="240" w:lineRule="auto"/>
              <w:ind w:left="360"/>
              <w:rPr>
                <w:rFonts w:ascii="Arial" w:hAnsi="Arial" w:cs="Arial"/>
              </w:rPr>
            </w:pPr>
          </w:p>
          <w:p w14:paraId="4FF2B899" w14:textId="4158A988" w:rsidR="003A2BC4" w:rsidRPr="00EF5FFD" w:rsidRDefault="003A2BC4" w:rsidP="00733A0D">
            <w:pPr>
              <w:pStyle w:val="ListItem"/>
              <w:numPr>
                <w:ilvl w:val="0"/>
                <w:numId w:val="0"/>
              </w:numPr>
              <w:spacing w:before="0" w:line="240" w:lineRule="auto"/>
              <w:ind w:left="360"/>
              <w:rPr>
                <w:rFonts w:ascii="Arial" w:eastAsia="Times New Roman" w:hAnsi="Arial" w:cs="Arial"/>
                <w:color w:val="000000"/>
                <w:lang w:val="en-GB"/>
              </w:rPr>
            </w:pPr>
          </w:p>
        </w:tc>
        <w:tc>
          <w:tcPr>
            <w:tcW w:w="992" w:type="dxa"/>
            <w:tcBorders>
              <w:top w:val="nil"/>
              <w:left w:val="nil"/>
              <w:bottom w:val="single" w:sz="4" w:space="0" w:color="auto"/>
              <w:right w:val="single" w:sz="4" w:space="0" w:color="auto"/>
            </w:tcBorders>
            <w:shd w:val="clear" w:color="auto" w:fill="auto"/>
            <w:noWrap/>
            <w:vAlign w:val="bottom"/>
          </w:tcPr>
          <w:p w14:paraId="2DA0A125" w14:textId="77777777" w:rsidR="003A2BC4" w:rsidRPr="008D12CD" w:rsidRDefault="003A2BC4" w:rsidP="003A2BC4">
            <w:pPr>
              <w:ind w:left="142" w:hanging="142"/>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 </w:t>
            </w:r>
          </w:p>
        </w:tc>
        <w:tc>
          <w:tcPr>
            <w:tcW w:w="1169" w:type="dxa"/>
            <w:tcBorders>
              <w:top w:val="nil"/>
              <w:left w:val="nil"/>
              <w:bottom w:val="single" w:sz="4" w:space="0" w:color="auto"/>
              <w:right w:val="single" w:sz="4" w:space="0" w:color="auto"/>
            </w:tcBorders>
            <w:shd w:val="clear" w:color="auto" w:fill="auto"/>
            <w:noWrap/>
            <w:vAlign w:val="bottom"/>
          </w:tcPr>
          <w:p w14:paraId="0652E0F0" w14:textId="77777777" w:rsidR="003A2BC4" w:rsidRPr="008D12CD" w:rsidRDefault="003A2BC4" w:rsidP="003A2BC4">
            <w:pPr>
              <w:ind w:left="142" w:hanging="142"/>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 </w:t>
            </w:r>
          </w:p>
        </w:tc>
      </w:tr>
      <w:tr w:rsidR="003A2BC4" w:rsidRPr="008D12CD" w14:paraId="4644F247" w14:textId="77777777" w:rsidTr="00EF5FFD">
        <w:trPr>
          <w:gridAfter w:val="1"/>
          <w:wAfter w:w="226" w:type="dxa"/>
          <w:trHeight w:val="640"/>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78BBED5F" w14:textId="77777777" w:rsidR="003A2BC4" w:rsidRPr="008D12CD" w:rsidRDefault="003A2BC4"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3FB865EE" w14:textId="77777777" w:rsidR="00225A76" w:rsidRDefault="00225A76" w:rsidP="00225A76">
            <w:pPr>
              <w:pStyle w:val="ListItem"/>
              <w:spacing w:before="0" w:line="240" w:lineRule="auto"/>
              <w:rPr>
                <w:rFonts w:ascii="Arial" w:hAnsi="Arial" w:cs="Arial"/>
              </w:rPr>
            </w:pPr>
            <w:r w:rsidRPr="00E16FCC">
              <w:rPr>
                <w:rFonts w:ascii="Arial" w:hAnsi="Arial" w:cs="Arial"/>
              </w:rPr>
              <w:t>the effect of changes of temperature on chemical systems initially at equilibrium can be predicted</w:t>
            </w:r>
            <w:r w:rsidRPr="00E16FCC">
              <w:rPr>
                <w:rFonts w:ascii="Arial" w:hAnsi="Arial" w:cs="Arial"/>
                <w:color w:val="FF0000"/>
              </w:rPr>
              <w:t xml:space="preserve"> </w:t>
            </w:r>
            <w:r w:rsidRPr="00E16FCC">
              <w:rPr>
                <w:rFonts w:ascii="Arial" w:hAnsi="Arial" w:cs="Arial"/>
              </w:rPr>
              <w:t>by considering the enthalpy changes for the forward and reverse reactions;</w:t>
            </w:r>
            <w:r w:rsidRPr="00E16FCC">
              <w:rPr>
                <w:rFonts w:ascii="Arial" w:hAnsi="Arial" w:cs="Arial"/>
                <w:color w:val="FF0000"/>
              </w:rPr>
              <w:t xml:space="preserve"> </w:t>
            </w:r>
            <w:r w:rsidRPr="00E16FCC">
              <w:rPr>
                <w:rFonts w:ascii="Arial" w:hAnsi="Arial" w:cs="Arial"/>
              </w:rPr>
              <w:t>this can be represented on energy profile diagrams and explained by the changes in the rates of the forward and reverse reactions</w:t>
            </w:r>
          </w:p>
          <w:p w14:paraId="202B40C4" w14:textId="77777777" w:rsidR="00225A76" w:rsidRPr="00E16FCC" w:rsidRDefault="00225A76" w:rsidP="00225A76">
            <w:pPr>
              <w:pStyle w:val="ListItem"/>
              <w:numPr>
                <w:ilvl w:val="0"/>
                <w:numId w:val="0"/>
              </w:numPr>
              <w:spacing w:before="0" w:line="240" w:lineRule="auto"/>
              <w:rPr>
                <w:rFonts w:ascii="Arial" w:hAnsi="Arial" w:cs="Arial"/>
              </w:rPr>
            </w:pPr>
          </w:p>
          <w:p w14:paraId="5C8E435B" w14:textId="1FD36523" w:rsidR="003A2BC4" w:rsidRPr="00EF5FFD" w:rsidRDefault="003A2BC4" w:rsidP="00733A0D">
            <w:pPr>
              <w:pStyle w:val="ListItem"/>
              <w:numPr>
                <w:ilvl w:val="0"/>
                <w:numId w:val="0"/>
              </w:numPr>
              <w:spacing w:before="0" w:line="240" w:lineRule="auto"/>
              <w:ind w:left="360" w:hanging="360"/>
              <w:rPr>
                <w:rFonts w:ascii="Arial" w:eastAsia="Times New Roman" w:hAnsi="Arial" w:cs="Arial"/>
                <w:color w:val="000000"/>
                <w:lang w:val="en-GB"/>
              </w:rPr>
            </w:pPr>
          </w:p>
        </w:tc>
        <w:tc>
          <w:tcPr>
            <w:tcW w:w="992" w:type="dxa"/>
            <w:tcBorders>
              <w:top w:val="nil"/>
              <w:left w:val="nil"/>
              <w:bottom w:val="single" w:sz="4" w:space="0" w:color="auto"/>
              <w:right w:val="single" w:sz="4" w:space="0" w:color="auto"/>
            </w:tcBorders>
            <w:shd w:val="clear" w:color="auto" w:fill="auto"/>
            <w:noWrap/>
            <w:vAlign w:val="bottom"/>
          </w:tcPr>
          <w:p w14:paraId="58BADEFC" w14:textId="77777777" w:rsidR="003A2BC4" w:rsidRPr="008D12CD" w:rsidRDefault="003A2BC4" w:rsidP="003A2BC4">
            <w:pPr>
              <w:ind w:left="142" w:hanging="142"/>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 </w:t>
            </w:r>
          </w:p>
        </w:tc>
        <w:tc>
          <w:tcPr>
            <w:tcW w:w="1169" w:type="dxa"/>
            <w:tcBorders>
              <w:top w:val="nil"/>
              <w:left w:val="nil"/>
              <w:bottom w:val="single" w:sz="4" w:space="0" w:color="auto"/>
              <w:right w:val="single" w:sz="4" w:space="0" w:color="auto"/>
            </w:tcBorders>
            <w:shd w:val="clear" w:color="auto" w:fill="auto"/>
            <w:noWrap/>
            <w:vAlign w:val="bottom"/>
          </w:tcPr>
          <w:p w14:paraId="14095D17" w14:textId="77777777" w:rsidR="003A2BC4" w:rsidRPr="008D12CD" w:rsidRDefault="003A2BC4" w:rsidP="003A2BC4">
            <w:pPr>
              <w:ind w:left="142" w:hanging="142"/>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 </w:t>
            </w:r>
          </w:p>
        </w:tc>
      </w:tr>
      <w:tr w:rsidR="003A2BC4" w:rsidRPr="008D12CD" w14:paraId="76B781F7" w14:textId="77777777" w:rsidTr="00EF5FFD">
        <w:trPr>
          <w:gridAfter w:val="1"/>
          <w:wAfter w:w="226" w:type="dxa"/>
          <w:trHeight w:val="640"/>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5E0F6D1A" w14:textId="77777777" w:rsidR="003A2BC4" w:rsidRPr="008D12CD" w:rsidRDefault="003A2BC4"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465B1321" w14:textId="77777777" w:rsidR="00225A76" w:rsidRPr="00E16FCC" w:rsidRDefault="00225A76" w:rsidP="00225A76">
            <w:pPr>
              <w:pStyle w:val="ListItem"/>
              <w:spacing w:before="0" w:line="240" w:lineRule="auto"/>
              <w:rPr>
                <w:rFonts w:ascii="Arial" w:hAnsi="Arial" w:cs="Arial"/>
                <w:color w:val="000000"/>
              </w:rPr>
            </w:pPr>
            <w:r w:rsidRPr="00E16FCC">
              <w:rPr>
                <w:rFonts w:ascii="Arial" w:hAnsi="Arial" w:cs="Arial"/>
              </w:rPr>
              <w:t>collision theory can be used to explain and predict the effects of concentration, temperature, pressure, the presence of catalysts and surface area of reactants on the rates of chemical reactions</w:t>
            </w:r>
          </w:p>
          <w:p w14:paraId="10D95A16" w14:textId="4496F79E" w:rsidR="00521F45" w:rsidRPr="00EF5FFD" w:rsidRDefault="00521F45" w:rsidP="00521F45">
            <w:pPr>
              <w:rPr>
                <w:rFonts w:ascii="Arial" w:eastAsia="Times New Roman" w:hAnsi="Arial" w:cs="Arial"/>
                <w:color w:val="000000"/>
                <w:sz w:val="20"/>
                <w:szCs w:val="20"/>
                <w:lang w:val="en-GB"/>
              </w:rPr>
            </w:pPr>
          </w:p>
        </w:tc>
        <w:tc>
          <w:tcPr>
            <w:tcW w:w="992" w:type="dxa"/>
            <w:tcBorders>
              <w:top w:val="nil"/>
              <w:left w:val="nil"/>
              <w:bottom w:val="single" w:sz="4" w:space="0" w:color="auto"/>
              <w:right w:val="single" w:sz="4" w:space="0" w:color="auto"/>
            </w:tcBorders>
            <w:shd w:val="clear" w:color="auto" w:fill="auto"/>
            <w:noWrap/>
            <w:vAlign w:val="bottom"/>
          </w:tcPr>
          <w:p w14:paraId="7D61B716" w14:textId="77777777" w:rsidR="003A2BC4" w:rsidRPr="008D12CD" w:rsidRDefault="003A2BC4" w:rsidP="003A2BC4">
            <w:pPr>
              <w:ind w:left="142" w:hanging="142"/>
              <w:rPr>
                <w:rFonts w:asciiTheme="majorHAnsi" w:eastAsia="Times New Roman" w:hAnsiTheme="majorHAnsi" w:cstheme="majorHAnsi"/>
                <w:color w:val="000000"/>
                <w:lang w:val="en-GB"/>
              </w:rPr>
            </w:pPr>
          </w:p>
        </w:tc>
        <w:tc>
          <w:tcPr>
            <w:tcW w:w="1169" w:type="dxa"/>
            <w:tcBorders>
              <w:top w:val="nil"/>
              <w:left w:val="nil"/>
              <w:bottom w:val="single" w:sz="4" w:space="0" w:color="auto"/>
              <w:right w:val="single" w:sz="4" w:space="0" w:color="auto"/>
            </w:tcBorders>
            <w:shd w:val="clear" w:color="auto" w:fill="auto"/>
            <w:noWrap/>
            <w:vAlign w:val="bottom"/>
          </w:tcPr>
          <w:p w14:paraId="28B9B091" w14:textId="77777777" w:rsidR="003A2BC4" w:rsidRPr="008D12CD" w:rsidRDefault="003A2BC4" w:rsidP="003A2BC4">
            <w:pPr>
              <w:ind w:left="142" w:hanging="142"/>
              <w:rPr>
                <w:rFonts w:asciiTheme="majorHAnsi" w:eastAsia="Times New Roman" w:hAnsiTheme="majorHAnsi" w:cstheme="majorHAnsi"/>
                <w:color w:val="000000"/>
                <w:lang w:val="en-GB"/>
              </w:rPr>
            </w:pPr>
          </w:p>
        </w:tc>
      </w:tr>
      <w:tr w:rsidR="003A2BC4" w:rsidRPr="008D12CD" w14:paraId="70FC1A6D" w14:textId="77777777" w:rsidTr="00EF5FFD">
        <w:trPr>
          <w:gridAfter w:val="1"/>
          <w:wAfter w:w="226" w:type="dxa"/>
          <w:trHeight w:val="640"/>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7901D205" w14:textId="77777777" w:rsidR="003A2BC4" w:rsidRPr="008D12CD" w:rsidRDefault="003A2BC4"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2042D3E8" w14:textId="77777777" w:rsidR="005357DF" w:rsidRDefault="005357DF" w:rsidP="005357DF">
            <w:pPr>
              <w:pStyle w:val="Paragraph"/>
              <w:numPr>
                <w:ilvl w:val="0"/>
                <w:numId w:val="8"/>
              </w:numPr>
              <w:spacing w:before="0" w:after="0" w:line="240" w:lineRule="auto"/>
              <w:rPr>
                <w:rFonts w:ascii="Arial" w:hAnsi="Arial" w:cs="Arial"/>
                <w:sz w:val="20"/>
                <w:szCs w:val="20"/>
              </w:rPr>
            </w:pPr>
            <w:r w:rsidRPr="00E16FCC">
              <w:rPr>
                <w:rFonts w:ascii="Arial" w:hAnsi="Arial" w:cs="Arial"/>
                <w:sz w:val="20"/>
                <w:szCs w:val="20"/>
              </w:rPr>
              <w:t>Calcification is the process which results in the formation of calcium carbonate structures in marine organisms. Acidification shifts the equilibrium of carbonate chemistry in seawater, decreasing the rate and amount of calcification among a wide range of marine organisms. The United Nations Kyoto Protocol and the Intergovernmental Panel on Climate Change aim to secure a global commitment to reducing greenhouse gas emissions over the next few decades.</w:t>
            </w:r>
          </w:p>
          <w:p w14:paraId="6E67D427" w14:textId="77777777" w:rsidR="005357DF" w:rsidRDefault="005357DF" w:rsidP="00EA242F">
            <w:pPr>
              <w:pStyle w:val="ListItem"/>
              <w:spacing w:before="0" w:line="240" w:lineRule="auto"/>
              <w:rPr>
                <w:rFonts w:ascii="Arial" w:hAnsi="Arial" w:cs="Arial"/>
              </w:rPr>
            </w:pPr>
          </w:p>
          <w:p w14:paraId="4E4DE355" w14:textId="2943153F" w:rsidR="00EA242F" w:rsidRDefault="00EA242F" w:rsidP="00EA242F">
            <w:pPr>
              <w:pStyle w:val="ListItem"/>
              <w:spacing w:before="0" w:line="240" w:lineRule="auto"/>
              <w:rPr>
                <w:rFonts w:ascii="Arial" w:hAnsi="Arial" w:cs="Arial"/>
              </w:rPr>
            </w:pPr>
            <w:r w:rsidRPr="00E16FCC">
              <w:rPr>
                <w:rFonts w:ascii="Arial" w:hAnsi="Arial" w:cs="Arial"/>
              </w:rPr>
              <w:t xml:space="preserve">acid-base indicators are weak acids, or weak bases, in which the acidic form is a different colour from the basic form </w:t>
            </w:r>
          </w:p>
          <w:p w14:paraId="55173686" w14:textId="77777777" w:rsidR="002E2982" w:rsidRDefault="002E2982" w:rsidP="002E2982">
            <w:pPr>
              <w:pStyle w:val="ListItem"/>
              <w:spacing w:before="0" w:line="240" w:lineRule="auto"/>
              <w:ind w:left="357" w:hanging="357"/>
              <w:rPr>
                <w:rFonts w:ascii="Arial" w:hAnsi="Arial" w:cs="Arial"/>
              </w:rPr>
            </w:pPr>
            <w:r w:rsidRPr="00E16FCC">
              <w:rPr>
                <w:rFonts w:ascii="Arial" w:hAnsi="Arial" w:cs="Arial"/>
              </w:rPr>
              <w:t>the pH scale is a logarithmic scale and the pH of a solution can be calculated from the concentration of hydrogen ions using the relationship pH = - log</w:t>
            </w:r>
            <w:r w:rsidRPr="00E16FCC">
              <w:rPr>
                <w:rFonts w:ascii="Arial" w:hAnsi="Arial" w:cs="Arial"/>
                <w:vertAlign w:val="subscript"/>
              </w:rPr>
              <w:t>10</w:t>
            </w:r>
            <w:r w:rsidRPr="00E16FCC">
              <w:rPr>
                <w:rFonts w:ascii="Arial" w:hAnsi="Arial" w:cs="Arial"/>
              </w:rPr>
              <w:t xml:space="preserve"> [H</w:t>
            </w:r>
            <w:r w:rsidRPr="00E16FCC">
              <w:rPr>
                <w:rFonts w:ascii="Arial" w:hAnsi="Arial" w:cs="Arial"/>
                <w:vertAlign w:val="superscript"/>
              </w:rPr>
              <w:t>+</w:t>
            </w:r>
            <w:r w:rsidRPr="00E16FCC">
              <w:rPr>
                <w:rFonts w:ascii="Arial" w:hAnsi="Arial" w:cs="Arial"/>
              </w:rPr>
              <w:t>]</w:t>
            </w:r>
          </w:p>
          <w:p w14:paraId="76938446" w14:textId="77777777" w:rsidR="002E2982" w:rsidRPr="00E16FCC" w:rsidRDefault="002E2982" w:rsidP="002E2982">
            <w:pPr>
              <w:pStyle w:val="ListItem"/>
              <w:numPr>
                <w:ilvl w:val="0"/>
                <w:numId w:val="0"/>
              </w:numPr>
              <w:spacing w:before="0" w:line="240" w:lineRule="auto"/>
              <w:rPr>
                <w:rFonts w:ascii="Arial" w:hAnsi="Arial" w:cs="Arial"/>
              </w:rPr>
            </w:pPr>
          </w:p>
          <w:p w14:paraId="71C4122D" w14:textId="77777777" w:rsidR="002E2982" w:rsidRDefault="002E2982" w:rsidP="002E2982">
            <w:pPr>
              <w:pStyle w:val="ListItem"/>
              <w:spacing w:before="0" w:line="240" w:lineRule="auto"/>
              <w:rPr>
                <w:rFonts w:ascii="Arial" w:hAnsi="Arial" w:cs="Arial"/>
              </w:rPr>
            </w:pPr>
            <w:r w:rsidRPr="00E16FCC">
              <w:rPr>
                <w:rFonts w:ascii="Arial" w:hAnsi="Arial" w:cs="Arial"/>
              </w:rPr>
              <w:t xml:space="preserve">data obtained from acid-base titrations can be used to calculate the masses of substances and concentrations and volumes of solutions involved </w:t>
            </w:r>
          </w:p>
          <w:p w14:paraId="09FA4D0D" w14:textId="77777777" w:rsidR="002E2982" w:rsidRPr="00E16FCC" w:rsidRDefault="002E2982" w:rsidP="002E2982">
            <w:pPr>
              <w:pStyle w:val="ListItem"/>
              <w:numPr>
                <w:ilvl w:val="0"/>
                <w:numId w:val="0"/>
              </w:numPr>
              <w:spacing w:before="0" w:line="240" w:lineRule="auto"/>
              <w:rPr>
                <w:rFonts w:ascii="Arial" w:hAnsi="Arial" w:cs="Arial"/>
              </w:rPr>
            </w:pPr>
          </w:p>
          <w:p w14:paraId="0D92D58D" w14:textId="77777777" w:rsidR="002E2982" w:rsidRDefault="002E2982" w:rsidP="00EA242F">
            <w:pPr>
              <w:pStyle w:val="ListItem"/>
              <w:spacing w:before="0" w:line="240" w:lineRule="auto"/>
              <w:rPr>
                <w:rFonts w:ascii="Arial" w:hAnsi="Arial" w:cs="Arial"/>
              </w:rPr>
            </w:pPr>
          </w:p>
          <w:p w14:paraId="55E2FC3B" w14:textId="6E70F8C5" w:rsidR="003A2BC4" w:rsidRPr="00EF5FFD" w:rsidRDefault="003A2BC4" w:rsidP="00EA242F">
            <w:pPr>
              <w:pStyle w:val="ListItem"/>
              <w:numPr>
                <w:ilvl w:val="0"/>
                <w:numId w:val="0"/>
              </w:numPr>
              <w:spacing w:before="0" w:line="240" w:lineRule="auto"/>
              <w:ind w:left="720"/>
              <w:rPr>
                <w:rFonts w:ascii="Arial" w:eastAsia="Times New Roman" w:hAnsi="Arial" w:cs="Arial"/>
                <w:color w:val="000000"/>
                <w:lang w:val="en-GB"/>
              </w:rPr>
            </w:pPr>
          </w:p>
        </w:tc>
        <w:tc>
          <w:tcPr>
            <w:tcW w:w="992" w:type="dxa"/>
            <w:tcBorders>
              <w:top w:val="nil"/>
              <w:left w:val="nil"/>
              <w:bottom w:val="single" w:sz="4" w:space="0" w:color="auto"/>
              <w:right w:val="single" w:sz="4" w:space="0" w:color="auto"/>
            </w:tcBorders>
            <w:shd w:val="clear" w:color="auto" w:fill="auto"/>
            <w:noWrap/>
            <w:vAlign w:val="bottom"/>
          </w:tcPr>
          <w:p w14:paraId="7FF34B5B" w14:textId="77777777" w:rsidR="003A2BC4" w:rsidRPr="008D12CD" w:rsidRDefault="003A2BC4" w:rsidP="003A2BC4">
            <w:pPr>
              <w:ind w:left="142" w:hanging="142"/>
              <w:rPr>
                <w:rFonts w:asciiTheme="majorHAnsi" w:eastAsia="Times New Roman" w:hAnsiTheme="majorHAnsi" w:cstheme="majorHAnsi"/>
                <w:color w:val="000000"/>
                <w:lang w:val="en-GB"/>
              </w:rPr>
            </w:pPr>
          </w:p>
        </w:tc>
        <w:tc>
          <w:tcPr>
            <w:tcW w:w="1169" w:type="dxa"/>
            <w:tcBorders>
              <w:top w:val="nil"/>
              <w:left w:val="nil"/>
              <w:bottom w:val="single" w:sz="4" w:space="0" w:color="auto"/>
              <w:right w:val="single" w:sz="4" w:space="0" w:color="auto"/>
            </w:tcBorders>
            <w:shd w:val="clear" w:color="auto" w:fill="auto"/>
            <w:noWrap/>
            <w:vAlign w:val="bottom"/>
          </w:tcPr>
          <w:p w14:paraId="339EDFCA" w14:textId="77777777" w:rsidR="003A2BC4" w:rsidRPr="008D12CD" w:rsidRDefault="003A2BC4" w:rsidP="003A2BC4">
            <w:pPr>
              <w:ind w:left="142" w:hanging="142"/>
              <w:rPr>
                <w:rFonts w:asciiTheme="majorHAnsi" w:eastAsia="Times New Roman" w:hAnsiTheme="majorHAnsi" w:cstheme="majorHAnsi"/>
                <w:color w:val="000000"/>
                <w:lang w:val="en-GB"/>
              </w:rPr>
            </w:pPr>
          </w:p>
        </w:tc>
      </w:tr>
      <w:tr w:rsidR="003A2BC4" w:rsidRPr="008D12CD" w14:paraId="78B4F1E8" w14:textId="77777777" w:rsidTr="00EF5FFD">
        <w:trPr>
          <w:gridAfter w:val="1"/>
          <w:wAfter w:w="226" w:type="dxa"/>
          <w:trHeight w:val="439"/>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128EC3D5" w14:textId="77777777" w:rsidR="003A2BC4" w:rsidRPr="008D12CD" w:rsidRDefault="003A2BC4"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26A21B75" w14:textId="77777777" w:rsidR="005357DF" w:rsidRPr="00E16FCC" w:rsidRDefault="005357DF" w:rsidP="005357DF">
            <w:pPr>
              <w:pStyle w:val="ListItem"/>
              <w:numPr>
                <w:ilvl w:val="0"/>
                <w:numId w:val="0"/>
              </w:numPr>
              <w:spacing w:before="0" w:line="240" w:lineRule="auto"/>
              <w:rPr>
                <w:rFonts w:ascii="Arial" w:hAnsi="Arial" w:cs="Arial"/>
              </w:rPr>
            </w:pPr>
          </w:p>
          <w:p w14:paraId="3404214F" w14:textId="77777777" w:rsidR="005357DF" w:rsidRPr="00E16FCC" w:rsidRDefault="005357DF" w:rsidP="005357DF">
            <w:pPr>
              <w:pStyle w:val="ListItem"/>
              <w:spacing w:before="0" w:line="240" w:lineRule="auto"/>
              <w:rPr>
                <w:rFonts w:ascii="Arial" w:hAnsi="Arial" w:cs="Arial"/>
              </w:rPr>
            </w:pPr>
            <w:r w:rsidRPr="00E16FCC">
              <w:rPr>
                <w:rFonts w:ascii="Arial" w:hAnsi="Arial" w:cs="Arial"/>
              </w:rPr>
              <w:t xml:space="preserve">the relationship between acids and bases in equilibrium systems can be explained using the </w:t>
            </w:r>
            <w:proofErr w:type="spellStart"/>
            <w:r w:rsidRPr="00E16FCC">
              <w:rPr>
                <w:rFonts w:ascii="Arial" w:hAnsi="Arial" w:cs="Arial"/>
              </w:rPr>
              <w:t>Brønsted</w:t>
            </w:r>
            <w:proofErr w:type="spellEnd"/>
            <w:r w:rsidRPr="00E16FCC">
              <w:rPr>
                <w:rFonts w:ascii="Arial" w:hAnsi="Arial" w:cs="Arial"/>
              </w:rPr>
              <w:t>-Lowry model and represented using chemical equations that illustrate the transfer of protons between conjugate acid-base pairs</w:t>
            </w:r>
          </w:p>
          <w:p w14:paraId="29669761" w14:textId="77777777" w:rsidR="005357DF" w:rsidRDefault="005357DF" w:rsidP="005357DF">
            <w:pPr>
              <w:pStyle w:val="ListItem"/>
              <w:numPr>
                <w:ilvl w:val="0"/>
                <w:numId w:val="0"/>
              </w:numPr>
              <w:spacing w:before="0" w:line="240" w:lineRule="auto"/>
              <w:ind w:left="360"/>
              <w:rPr>
                <w:rFonts w:ascii="Arial" w:hAnsi="Arial" w:cs="Arial"/>
              </w:rPr>
            </w:pPr>
          </w:p>
          <w:p w14:paraId="69276031" w14:textId="77777777" w:rsidR="005357DF" w:rsidRDefault="005357DF" w:rsidP="005357DF">
            <w:pPr>
              <w:pStyle w:val="ListItem"/>
              <w:numPr>
                <w:ilvl w:val="0"/>
                <w:numId w:val="0"/>
              </w:numPr>
              <w:spacing w:before="0" w:line="240" w:lineRule="auto"/>
              <w:ind w:left="360"/>
              <w:rPr>
                <w:rFonts w:ascii="Arial" w:hAnsi="Arial" w:cs="Arial"/>
              </w:rPr>
            </w:pPr>
          </w:p>
          <w:p w14:paraId="792FB4D1" w14:textId="5FCA262C" w:rsidR="000C22CB" w:rsidRDefault="000C22CB" w:rsidP="000C22CB">
            <w:pPr>
              <w:pStyle w:val="ListItem"/>
              <w:spacing w:before="0" w:line="240" w:lineRule="auto"/>
              <w:rPr>
                <w:rFonts w:ascii="Arial" w:hAnsi="Arial" w:cs="Arial"/>
              </w:rPr>
            </w:pPr>
            <w:r w:rsidRPr="00E16FCC">
              <w:rPr>
                <w:rFonts w:ascii="Arial" w:hAnsi="Arial" w:cs="Arial"/>
              </w:rPr>
              <w:t>the hydrolysis of salts of weak acids and weak bases can be r</w:t>
            </w:r>
            <w:r>
              <w:rPr>
                <w:rFonts w:ascii="Arial" w:hAnsi="Arial" w:cs="Arial"/>
              </w:rPr>
              <w:t xml:space="preserve">epresented using equations; the </w:t>
            </w:r>
            <w:proofErr w:type="spellStart"/>
            <w:r w:rsidRPr="00E16FCC">
              <w:rPr>
                <w:rFonts w:ascii="Arial" w:hAnsi="Arial" w:cs="Arial"/>
              </w:rPr>
              <w:t>Brønsted</w:t>
            </w:r>
            <w:proofErr w:type="spellEnd"/>
            <w:r w:rsidRPr="00E16FCC">
              <w:rPr>
                <w:rFonts w:ascii="Arial" w:hAnsi="Arial" w:cs="Arial"/>
              </w:rPr>
              <w:t xml:space="preserve">-Lowry model can be applied to explain the acidic, </w:t>
            </w:r>
            <w:proofErr w:type="gramStart"/>
            <w:r w:rsidRPr="00E16FCC">
              <w:rPr>
                <w:rFonts w:ascii="Arial" w:hAnsi="Arial" w:cs="Arial"/>
              </w:rPr>
              <w:t>basic</w:t>
            </w:r>
            <w:proofErr w:type="gramEnd"/>
            <w:r w:rsidRPr="00E16FCC">
              <w:rPr>
                <w:rFonts w:ascii="Arial" w:hAnsi="Arial" w:cs="Arial"/>
              </w:rPr>
              <w:t xml:space="preserve"> and neutral nature of salts derived from bases and monoprotic and polyprotic acids</w:t>
            </w:r>
          </w:p>
          <w:p w14:paraId="5F6E8EF7" w14:textId="77777777" w:rsidR="00877745" w:rsidRPr="00E16FCC" w:rsidRDefault="00877745" w:rsidP="00877745">
            <w:pPr>
              <w:pStyle w:val="ListItem"/>
              <w:numPr>
                <w:ilvl w:val="0"/>
                <w:numId w:val="0"/>
              </w:numPr>
              <w:spacing w:before="0" w:line="240" w:lineRule="auto"/>
              <w:rPr>
                <w:rFonts w:ascii="Arial" w:hAnsi="Arial" w:cs="Arial"/>
              </w:rPr>
            </w:pPr>
          </w:p>
          <w:p w14:paraId="09FB7C27" w14:textId="2F6F8BFF" w:rsidR="003A2BC4" w:rsidRPr="00EF5FFD" w:rsidRDefault="003A2BC4" w:rsidP="00AD4CCA">
            <w:pPr>
              <w:contextualSpacing/>
              <w:rPr>
                <w:rFonts w:ascii="Arial" w:eastAsia="Times New Roman" w:hAnsi="Arial" w:cs="Arial"/>
                <w:color w:val="000000"/>
                <w:sz w:val="20"/>
                <w:szCs w:val="20"/>
                <w:lang w:val="en-GB"/>
              </w:rPr>
            </w:pPr>
          </w:p>
        </w:tc>
        <w:tc>
          <w:tcPr>
            <w:tcW w:w="992" w:type="dxa"/>
            <w:tcBorders>
              <w:top w:val="nil"/>
              <w:left w:val="nil"/>
              <w:bottom w:val="single" w:sz="4" w:space="0" w:color="auto"/>
              <w:right w:val="single" w:sz="4" w:space="0" w:color="auto"/>
            </w:tcBorders>
            <w:shd w:val="clear" w:color="auto" w:fill="auto"/>
            <w:noWrap/>
            <w:vAlign w:val="bottom"/>
          </w:tcPr>
          <w:p w14:paraId="0FD6995F" w14:textId="77777777" w:rsidR="003A2BC4" w:rsidRPr="008D12CD" w:rsidRDefault="003A2BC4" w:rsidP="003A2BC4">
            <w:pPr>
              <w:ind w:left="142" w:hanging="142"/>
              <w:rPr>
                <w:rFonts w:asciiTheme="majorHAnsi" w:eastAsia="Times New Roman" w:hAnsiTheme="majorHAnsi" w:cstheme="majorHAnsi"/>
                <w:color w:val="000000"/>
                <w:lang w:val="en-GB"/>
              </w:rPr>
            </w:pPr>
          </w:p>
        </w:tc>
        <w:tc>
          <w:tcPr>
            <w:tcW w:w="1169" w:type="dxa"/>
            <w:tcBorders>
              <w:top w:val="nil"/>
              <w:left w:val="nil"/>
              <w:bottom w:val="single" w:sz="4" w:space="0" w:color="auto"/>
              <w:right w:val="single" w:sz="4" w:space="0" w:color="auto"/>
            </w:tcBorders>
            <w:shd w:val="clear" w:color="auto" w:fill="auto"/>
            <w:noWrap/>
            <w:vAlign w:val="bottom"/>
          </w:tcPr>
          <w:p w14:paraId="36C683A4" w14:textId="77777777" w:rsidR="003A2BC4" w:rsidRPr="008D12CD" w:rsidRDefault="003A2BC4" w:rsidP="003A2BC4">
            <w:pPr>
              <w:ind w:left="142" w:hanging="142"/>
              <w:rPr>
                <w:rFonts w:asciiTheme="majorHAnsi" w:eastAsia="Times New Roman" w:hAnsiTheme="majorHAnsi" w:cstheme="majorHAnsi"/>
                <w:color w:val="000000"/>
                <w:lang w:val="en-GB"/>
              </w:rPr>
            </w:pPr>
          </w:p>
        </w:tc>
      </w:tr>
      <w:tr w:rsidR="00127C29" w:rsidRPr="008D12CD" w14:paraId="79BE547C" w14:textId="77777777" w:rsidTr="00EF5FFD">
        <w:trPr>
          <w:gridAfter w:val="1"/>
          <w:wAfter w:w="226" w:type="dxa"/>
          <w:trHeight w:val="439"/>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6512C9AA" w14:textId="77777777" w:rsidR="00127C29" w:rsidRPr="008D12CD" w:rsidRDefault="00127C29"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1CCF60B1" w14:textId="77777777" w:rsidR="00127C29" w:rsidRPr="00E16FCC" w:rsidRDefault="00127C29" w:rsidP="005357DF">
            <w:pPr>
              <w:pStyle w:val="ListItem"/>
              <w:numPr>
                <w:ilvl w:val="0"/>
                <w:numId w:val="0"/>
              </w:numPr>
              <w:spacing w:before="0" w:line="240" w:lineRule="auto"/>
              <w:rPr>
                <w:rFonts w:ascii="Arial" w:hAnsi="Arial" w:cs="Arial"/>
              </w:rPr>
            </w:pPr>
          </w:p>
        </w:tc>
        <w:tc>
          <w:tcPr>
            <w:tcW w:w="992" w:type="dxa"/>
            <w:tcBorders>
              <w:top w:val="nil"/>
              <w:left w:val="nil"/>
              <w:bottom w:val="single" w:sz="4" w:space="0" w:color="auto"/>
              <w:right w:val="single" w:sz="4" w:space="0" w:color="auto"/>
            </w:tcBorders>
            <w:shd w:val="clear" w:color="auto" w:fill="auto"/>
            <w:noWrap/>
            <w:vAlign w:val="bottom"/>
          </w:tcPr>
          <w:p w14:paraId="5ABD2949" w14:textId="77777777" w:rsidR="00127C29" w:rsidRPr="008D12CD" w:rsidRDefault="00127C29" w:rsidP="003A2BC4">
            <w:pPr>
              <w:ind w:left="142" w:hanging="142"/>
              <w:rPr>
                <w:rFonts w:asciiTheme="majorHAnsi" w:eastAsia="Times New Roman" w:hAnsiTheme="majorHAnsi" w:cstheme="majorHAnsi"/>
                <w:color w:val="000000"/>
                <w:lang w:val="en-GB"/>
              </w:rPr>
            </w:pPr>
          </w:p>
        </w:tc>
        <w:tc>
          <w:tcPr>
            <w:tcW w:w="1169" w:type="dxa"/>
            <w:tcBorders>
              <w:top w:val="nil"/>
              <w:left w:val="nil"/>
              <w:bottom w:val="single" w:sz="4" w:space="0" w:color="auto"/>
              <w:right w:val="single" w:sz="4" w:space="0" w:color="auto"/>
            </w:tcBorders>
            <w:shd w:val="clear" w:color="auto" w:fill="auto"/>
            <w:noWrap/>
            <w:vAlign w:val="bottom"/>
          </w:tcPr>
          <w:p w14:paraId="25E5BE32" w14:textId="77777777" w:rsidR="00127C29" w:rsidRPr="008D12CD" w:rsidRDefault="00127C29" w:rsidP="003A2BC4">
            <w:pPr>
              <w:ind w:left="142" w:hanging="142"/>
              <w:rPr>
                <w:rFonts w:asciiTheme="majorHAnsi" w:eastAsia="Times New Roman" w:hAnsiTheme="majorHAnsi" w:cstheme="majorHAnsi"/>
                <w:color w:val="000000"/>
                <w:lang w:val="en-GB"/>
              </w:rPr>
            </w:pPr>
          </w:p>
        </w:tc>
      </w:tr>
      <w:tr w:rsidR="000C22CB" w:rsidRPr="008D12CD" w14:paraId="679E775D" w14:textId="77777777" w:rsidTr="00EF5FFD">
        <w:trPr>
          <w:gridAfter w:val="1"/>
          <w:wAfter w:w="226" w:type="dxa"/>
          <w:trHeight w:val="439"/>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05DD3A8F" w14:textId="77777777" w:rsidR="000C22CB" w:rsidRPr="008D12CD" w:rsidRDefault="000C22CB"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128302B4" w14:textId="77777777" w:rsidR="000C22CB" w:rsidRDefault="000C22CB" w:rsidP="000C22CB">
            <w:pPr>
              <w:pStyle w:val="ListItem"/>
              <w:spacing w:before="0" w:line="240" w:lineRule="auto"/>
              <w:rPr>
                <w:rFonts w:ascii="Arial" w:hAnsi="Arial" w:cs="Arial"/>
              </w:rPr>
            </w:pPr>
            <w:r w:rsidRPr="00E16FCC">
              <w:rPr>
                <w:rFonts w:ascii="Arial" w:hAnsi="Arial" w:cs="Arial"/>
                <w:color w:val="000000"/>
              </w:rPr>
              <w:t xml:space="preserve">organic molecules have a hydrocarbon skeleton and can contain functional groups, including alkenes, </w:t>
            </w:r>
            <w:r w:rsidRPr="00E16FCC">
              <w:rPr>
                <w:rFonts w:ascii="Arial" w:hAnsi="Arial" w:cs="Arial"/>
              </w:rPr>
              <w:t xml:space="preserve">alcohols, aldehydes, ketones, carboxylic acids, esters, </w:t>
            </w:r>
            <w:proofErr w:type="gramStart"/>
            <w:r w:rsidRPr="00E16FCC">
              <w:rPr>
                <w:rFonts w:ascii="Arial" w:hAnsi="Arial" w:cs="Arial"/>
              </w:rPr>
              <w:t>amines</w:t>
            </w:r>
            <w:proofErr w:type="gramEnd"/>
            <w:r w:rsidRPr="00E16FCC">
              <w:rPr>
                <w:rFonts w:ascii="Arial" w:hAnsi="Arial" w:cs="Arial"/>
              </w:rPr>
              <w:t xml:space="preserve"> and amides; functional groups are groups of atoms or bonds within molecules which are responsible for the molecule’s characteristic chemical properties</w:t>
            </w:r>
          </w:p>
          <w:p w14:paraId="131C3467" w14:textId="77777777" w:rsidR="000C22CB" w:rsidRPr="00E16FCC" w:rsidRDefault="000C22CB" w:rsidP="000C22CB">
            <w:pPr>
              <w:pStyle w:val="ListItem"/>
              <w:spacing w:before="0" w:line="240" w:lineRule="auto"/>
              <w:rPr>
                <w:rFonts w:ascii="Arial" w:hAnsi="Arial" w:cs="Arial"/>
              </w:rPr>
            </w:pPr>
          </w:p>
        </w:tc>
        <w:tc>
          <w:tcPr>
            <w:tcW w:w="992" w:type="dxa"/>
            <w:tcBorders>
              <w:top w:val="nil"/>
              <w:left w:val="nil"/>
              <w:bottom w:val="single" w:sz="4" w:space="0" w:color="auto"/>
              <w:right w:val="single" w:sz="4" w:space="0" w:color="auto"/>
            </w:tcBorders>
            <w:shd w:val="clear" w:color="auto" w:fill="auto"/>
            <w:noWrap/>
            <w:vAlign w:val="bottom"/>
          </w:tcPr>
          <w:p w14:paraId="3C130C97" w14:textId="77777777" w:rsidR="000C22CB" w:rsidRPr="008D12CD" w:rsidRDefault="000C22CB" w:rsidP="003A2BC4">
            <w:pPr>
              <w:ind w:left="142" w:hanging="142"/>
              <w:rPr>
                <w:rFonts w:asciiTheme="majorHAnsi" w:eastAsia="Times New Roman" w:hAnsiTheme="majorHAnsi" w:cstheme="majorHAnsi"/>
                <w:color w:val="000000"/>
                <w:lang w:val="en-GB"/>
              </w:rPr>
            </w:pPr>
          </w:p>
        </w:tc>
        <w:tc>
          <w:tcPr>
            <w:tcW w:w="1169" w:type="dxa"/>
            <w:tcBorders>
              <w:top w:val="nil"/>
              <w:left w:val="nil"/>
              <w:bottom w:val="single" w:sz="4" w:space="0" w:color="auto"/>
              <w:right w:val="single" w:sz="4" w:space="0" w:color="auto"/>
            </w:tcBorders>
            <w:shd w:val="clear" w:color="auto" w:fill="auto"/>
            <w:noWrap/>
            <w:vAlign w:val="bottom"/>
          </w:tcPr>
          <w:p w14:paraId="41D6C709" w14:textId="77777777" w:rsidR="000C22CB" w:rsidRPr="008D12CD" w:rsidRDefault="000C22CB" w:rsidP="003A2BC4">
            <w:pPr>
              <w:ind w:left="142" w:hanging="142"/>
              <w:rPr>
                <w:rFonts w:asciiTheme="majorHAnsi" w:eastAsia="Times New Roman" w:hAnsiTheme="majorHAnsi" w:cstheme="majorHAnsi"/>
                <w:color w:val="000000"/>
                <w:lang w:val="en-GB"/>
              </w:rPr>
            </w:pPr>
          </w:p>
        </w:tc>
      </w:tr>
      <w:tr w:rsidR="006169D1" w:rsidRPr="008D12CD" w14:paraId="5288C80B" w14:textId="77777777" w:rsidTr="00EF5FFD">
        <w:trPr>
          <w:gridAfter w:val="1"/>
          <w:wAfter w:w="226" w:type="dxa"/>
          <w:trHeight w:val="439"/>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71F99BA3" w14:textId="77777777" w:rsidR="006169D1" w:rsidRPr="008D12CD" w:rsidRDefault="006169D1"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6A83909E" w14:textId="77777777" w:rsidR="00127C29" w:rsidRPr="00E16FCC" w:rsidRDefault="00127C29" w:rsidP="00127C29">
            <w:pPr>
              <w:pStyle w:val="ListItem"/>
              <w:spacing w:before="0" w:line="240" w:lineRule="auto"/>
              <w:rPr>
                <w:rFonts w:ascii="Arial" w:hAnsi="Arial" w:cs="Arial"/>
              </w:rPr>
            </w:pPr>
            <w:r w:rsidRPr="00E16FCC">
              <w:rPr>
                <w:rFonts w:ascii="Arial" w:hAnsi="Arial" w:cs="Arial"/>
              </w:rPr>
              <w:t>oxidation-reduction (redox) reactions involve the transfer of one or more electrons from one species to another</w:t>
            </w:r>
          </w:p>
          <w:p w14:paraId="6CB30FB5" w14:textId="77777777" w:rsidR="00127C29" w:rsidRDefault="00127C29" w:rsidP="00127C29">
            <w:pPr>
              <w:pStyle w:val="ListItem"/>
              <w:spacing w:before="0" w:line="240" w:lineRule="auto"/>
              <w:rPr>
                <w:rFonts w:ascii="Arial" w:hAnsi="Arial" w:cs="Arial"/>
              </w:rPr>
            </w:pPr>
            <w:r w:rsidRPr="00E16FCC">
              <w:rPr>
                <w:rFonts w:ascii="Arial" w:hAnsi="Arial" w:cs="Arial"/>
              </w:rPr>
              <w:lastRenderedPageBreak/>
              <w:t>the species being oxidised and reduced in a redox reaction can be identified using oxidation numbers</w:t>
            </w:r>
          </w:p>
          <w:p w14:paraId="2C6E8A44" w14:textId="77777777" w:rsidR="00127C29" w:rsidRPr="00E16FCC" w:rsidRDefault="00127C29" w:rsidP="00127C29">
            <w:pPr>
              <w:pStyle w:val="ListItem"/>
              <w:numPr>
                <w:ilvl w:val="0"/>
                <w:numId w:val="0"/>
              </w:numPr>
              <w:spacing w:before="0" w:line="240" w:lineRule="auto"/>
              <w:rPr>
                <w:rFonts w:ascii="Arial" w:hAnsi="Arial" w:cs="Arial"/>
              </w:rPr>
            </w:pPr>
          </w:p>
          <w:p w14:paraId="4DD63B94" w14:textId="77777777" w:rsidR="00127C29" w:rsidRDefault="00127C29" w:rsidP="00127C29">
            <w:pPr>
              <w:pStyle w:val="ListItem"/>
              <w:spacing w:before="0" w:line="240" w:lineRule="auto"/>
              <w:rPr>
                <w:rFonts w:ascii="Arial" w:hAnsi="Arial" w:cs="Arial"/>
              </w:rPr>
            </w:pPr>
            <w:r w:rsidRPr="00E16FCC">
              <w:rPr>
                <w:rFonts w:ascii="Arial" w:hAnsi="Arial" w:cs="Arial"/>
              </w:rPr>
              <w:t xml:space="preserve">electrochemical cells, including galvanic and electrolytic cells, consist of oxidation and reduction half-reactions connected via an external circuit through which electrons move from the anode (oxidation reaction) to the cathode (reduction reaction) </w:t>
            </w:r>
          </w:p>
          <w:p w14:paraId="2EB874F5" w14:textId="77777777" w:rsidR="00127C29" w:rsidRPr="00E16FCC" w:rsidRDefault="00127C29" w:rsidP="00127C29">
            <w:pPr>
              <w:pStyle w:val="ListItem"/>
              <w:numPr>
                <w:ilvl w:val="0"/>
                <w:numId w:val="0"/>
              </w:numPr>
              <w:spacing w:before="0" w:line="240" w:lineRule="auto"/>
              <w:rPr>
                <w:rFonts w:ascii="Arial" w:hAnsi="Arial" w:cs="Arial"/>
              </w:rPr>
            </w:pPr>
          </w:p>
          <w:p w14:paraId="448F1833" w14:textId="77777777" w:rsidR="00127C29" w:rsidRDefault="00127C29" w:rsidP="00127C29">
            <w:pPr>
              <w:pStyle w:val="ListItem"/>
              <w:spacing w:before="0" w:line="240" w:lineRule="auto"/>
              <w:rPr>
                <w:rFonts w:ascii="Arial" w:hAnsi="Arial" w:cs="Arial"/>
              </w:rPr>
            </w:pPr>
            <w:r w:rsidRPr="00E16FCC">
              <w:rPr>
                <w:rFonts w:ascii="Arial" w:hAnsi="Arial" w:cs="Arial"/>
              </w:rPr>
              <w:t>galvanic cells produce an electric current f</w:t>
            </w:r>
            <w:r>
              <w:rPr>
                <w:rFonts w:ascii="Arial" w:hAnsi="Arial" w:cs="Arial"/>
              </w:rPr>
              <w:t>rom a spontaneous redox reaction</w:t>
            </w:r>
          </w:p>
          <w:p w14:paraId="40A03192" w14:textId="77777777" w:rsidR="00127C29" w:rsidRPr="00E16FCC" w:rsidRDefault="00127C29" w:rsidP="00127C29">
            <w:pPr>
              <w:pStyle w:val="ListItem"/>
              <w:numPr>
                <w:ilvl w:val="0"/>
                <w:numId w:val="0"/>
              </w:numPr>
              <w:spacing w:before="0" w:line="240" w:lineRule="auto"/>
              <w:rPr>
                <w:rFonts w:ascii="Arial" w:hAnsi="Arial" w:cs="Arial"/>
              </w:rPr>
            </w:pPr>
          </w:p>
          <w:p w14:paraId="5C9A8E19" w14:textId="77777777" w:rsidR="00127C29" w:rsidRDefault="00127C29" w:rsidP="00127C29">
            <w:pPr>
              <w:pStyle w:val="ListItem"/>
              <w:spacing w:before="0" w:line="240" w:lineRule="auto"/>
              <w:rPr>
                <w:rFonts w:ascii="Arial" w:hAnsi="Arial" w:cs="Arial"/>
              </w:rPr>
            </w:pPr>
            <w:r w:rsidRPr="00E16FCC">
              <w:rPr>
                <w:rFonts w:ascii="Arial" w:hAnsi="Arial" w:cs="Arial"/>
              </w:rPr>
              <w:t>the electric potential difference of a cell under standard conditions can be calculated from standard electrode potentials; these values can be used to compare the voltages generated by cells constructed from different materials</w:t>
            </w:r>
          </w:p>
          <w:p w14:paraId="304A29AD" w14:textId="77777777" w:rsidR="00127C29" w:rsidRPr="00E16FCC" w:rsidRDefault="00127C29" w:rsidP="00127C29">
            <w:pPr>
              <w:pStyle w:val="ListItem"/>
              <w:numPr>
                <w:ilvl w:val="0"/>
                <w:numId w:val="0"/>
              </w:numPr>
              <w:spacing w:before="0" w:line="240" w:lineRule="auto"/>
              <w:rPr>
                <w:rFonts w:ascii="Arial" w:hAnsi="Arial" w:cs="Arial"/>
              </w:rPr>
            </w:pPr>
          </w:p>
          <w:p w14:paraId="282DAE76" w14:textId="77777777" w:rsidR="00127C29" w:rsidRDefault="00127C29" w:rsidP="00127C29">
            <w:pPr>
              <w:pStyle w:val="ListItem"/>
              <w:spacing w:before="0" w:line="240" w:lineRule="auto"/>
              <w:rPr>
                <w:rFonts w:ascii="Arial" w:hAnsi="Arial" w:cs="Arial"/>
              </w:rPr>
            </w:pPr>
            <w:r w:rsidRPr="00E16FCC">
              <w:rPr>
                <w:rFonts w:ascii="Arial" w:hAnsi="Arial" w:cs="Arial"/>
              </w:rPr>
              <w:t>electrochemical cells can be described in terms of the reactions occurring at the anode and cathode, the role of the electrolyte, salt bridge (galvanic cell), ion migration, and electron flow in the external circuit</w:t>
            </w:r>
            <w:r>
              <w:rPr>
                <w:rFonts w:ascii="Arial" w:hAnsi="Arial" w:cs="Arial"/>
              </w:rPr>
              <w:t xml:space="preserve"> </w:t>
            </w:r>
          </w:p>
          <w:p w14:paraId="76D0328D" w14:textId="77777777" w:rsidR="00127C29" w:rsidRPr="000F2A95" w:rsidRDefault="00127C29" w:rsidP="00127C29">
            <w:pPr>
              <w:pStyle w:val="ListItem"/>
              <w:rPr>
                <w:rFonts w:ascii="Arial" w:hAnsi="Arial" w:cs="Arial"/>
              </w:rPr>
            </w:pPr>
            <w:r w:rsidRPr="000F2A95">
              <w:rPr>
                <w:rFonts w:ascii="Arial" w:hAnsi="Arial" w:cs="Arial"/>
              </w:rPr>
              <w:t>corrosion of iron is an electrochemical process that can be prevented by a range of techniques, including by exclusion of oxygen and/or water and through cathodic protection and sacrificial anodes</w:t>
            </w:r>
          </w:p>
          <w:p w14:paraId="0FD4AF3C" w14:textId="77777777" w:rsidR="006169D1" w:rsidRPr="00E16FCC" w:rsidRDefault="006169D1" w:rsidP="002E2982">
            <w:pPr>
              <w:pStyle w:val="ListItem"/>
              <w:numPr>
                <w:ilvl w:val="0"/>
                <w:numId w:val="0"/>
              </w:numPr>
              <w:spacing w:before="0" w:line="240" w:lineRule="auto"/>
              <w:ind w:left="360" w:hanging="360"/>
              <w:rPr>
                <w:rFonts w:ascii="Arial" w:hAnsi="Arial" w:cs="Arial"/>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6D533D60" w14:textId="77777777" w:rsidR="006169D1" w:rsidRPr="008D12CD" w:rsidRDefault="006169D1" w:rsidP="003A2BC4">
            <w:pPr>
              <w:ind w:left="142" w:hanging="142"/>
              <w:rPr>
                <w:rFonts w:asciiTheme="majorHAnsi" w:eastAsia="Times New Roman" w:hAnsiTheme="majorHAnsi" w:cstheme="majorHAnsi"/>
                <w:color w:val="000000"/>
                <w:lang w:val="en-GB"/>
              </w:rPr>
            </w:pPr>
          </w:p>
        </w:tc>
        <w:tc>
          <w:tcPr>
            <w:tcW w:w="1169" w:type="dxa"/>
            <w:tcBorders>
              <w:top w:val="nil"/>
              <w:left w:val="nil"/>
              <w:bottom w:val="single" w:sz="4" w:space="0" w:color="auto"/>
              <w:right w:val="single" w:sz="4" w:space="0" w:color="auto"/>
            </w:tcBorders>
            <w:shd w:val="clear" w:color="auto" w:fill="auto"/>
            <w:noWrap/>
            <w:vAlign w:val="bottom"/>
          </w:tcPr>
          <w:p w14:paraId="2D668F00" w14:textId="77777777" w:rsidR="006169D1" w:rsidRPr="008D12CD" w:rsidRDefault="006169D1" w:rsidP="003A2BC4">
            <w:pPr>
              <w:ind w:left="142" w:hanging="142"/>
              <w:rPr>
                <w:rFonts w:asciiTheme="majorHAnsi" w:eastAsia="Times New Roman" w:hAnsiTheme="majorHAnsi" w:cstheme="majorHAnsi"/>
                <w:color w:val="000000"/>
                <w:lang w:val="en-GB"/>
              </w:rPr>
            </w:pPr>
          </w:p>
        </w:tc>
      </w:tr>
      <w:tr w:rsidR="00BB1EDF" w:rsidRPr="008D12CD" w14:paraId="39410A34" w14:textId="77777777" w:rsidTr="00EF5FFD">
        <w:trPr>
          <w:gridAfter w:val="1"/>
          <w:wAfter w:w="226" w:type="dxa"/>
          <w:trHeight w:val="439"/>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0382E28E" w14:textId="77777777" w:rsidR="00BB1EDF" w:rsidRPr="008D12CD" w:rsidRDefault="00BB1EDF"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706AA5FE" w14:textId="500EDF4A" w:rsidR="00BB1EDF" w:rsidRDefault="00BB1EDF" w:rsidP="00BB1EDF">
            <w:pPr>
              <w:pStyle w:val="ListItem"/>
              <w:spacing w:before="0" w:line="240" w:lineRule="auto"/>
              <w:rPr>
                <w:rFonts w:ascii="Arial" w:hAnsi="Arial" w:cs="Arial"/>
              </w:rPr>
            </w:pPr>
            <w:r w:rsidRPr="00E16FCC">
              <w:rPr>
                <w:rFonts w:ascii="Arial" w:hAnsi="Arial" w:cs="Arial"/>
              </w:rPr>
              <w:t>all alcohols can undergo complete combustion; with oxidising agents, including acidified MnO</w:t>
            </w:r>
            <w:r w:rsidRPr="00E16FCC">
              <w:rPr>
                <w:rFonts w:ascii="Arial" w:hAnsi="Arial" w:cs="Arial"/>
                <w:vertAlign w:val="subscript"/>
              </w:rPr>
              <w:t>4</w:t>
            </w:r>
            <w:r w:rsidRPr="00E16FCC">
              <w:rPr>
                <w:rFonts w:ascii="Arial" w:hAnsi="Arial" w:cs="Arial"/>
                <w:vertAlign w:val="superscript"/>
              </w:rPr>
              <w:t>-</w:t>
            </w:r>
            <w:r w:rsidRPr="00E16FCC">
              <w:rPr>
                <w:rFonts w:ascii="Arial" w:hAnsi="Arial" w:cs="Arial"/>
              </w:rPr>
              <w:t xml:space="preserve"> or Cr</w:t>
            </w:r>
            <w:r w:rsidRPr="00E16FCC">
              <w:rPr>
                <w:rFonts w:ascii="Arial" w:hAnsi="Arial" w:cs="Arial"/>
                <w:vertAlign w:val="subscript"/>
              </w:rPr>
              <w:t>2</w:t>
            </w:r>
            <w:r w:rsidRPr="00E16FCC">
              <w:rPr>
                <w:rFonts w:ascii="Arial" w:hAnsi="Arial" w:cs="Arial"/>
              </w:rPr>
              <w:t>O</w:t>
            </w:r>
            <w:r w:rsidRPr="00E16FCC">
              <w:rPr>
                <w:rFonts w:ascii="Arial" w:hAnsi="Arial" w:cs="Arial"/>
                <w:vertAlign w:val="subscript"/>
              </w:rPr>
              <w:t>7</w:t>
            </w:r>
            <w:r w:rsidRPr="00E16FCC">
              <w:rPr>
                <w:rFonts w:ascii="Arial" w:hAnsi="Arial" w:cs="Arial"/>
                <w:vertAlign w:val="superscript"/>
              </w:rPr>
              <w:t>2-</w:t>
            </w:r>
            <w:r w:rsidRPr="00E16FCC">
              <w:rPr>
                <w:rFonts w:ascii="Arial" w:hAnsi="Arial" w:cs="Arial"/>
              </w:rPr>
              <w:t xml:space="preserve"> oxidation of primary alcohols produces aldehydes and carboxylic acids, while the oxidation of secondary alcohols produce ketones; these reactions have characteristic observations and can be represented with equations</w:t>
            </w:r>
          </w:p>
          <w:p w14:paraId="6598EF00" w14:textId="77777777" w:rsidR="00BB1EDF" w:rsidRDefault="00BB1EDF" w:rsidP="00BB1EDF">
            <w:pPr>
              <w:pStyle w:val="ListItem"/>
              <w:spacing w:before="0" w:line="240" w:lineRule="auto"/>
              <w:rPr>
                <w:rFonts w:ascii="Arial" w:hAnsi="Arial" w:cs="Arial"/>
              </w:rPr>
            </w:pPr>
          </w:p>
          <w:p w14:paraId="136EDC74" w14:textId="77777777" w:rsidR="00BB1EDF" w:rsidRDefault="00BB1EDF" w:rsidP="00BB1EDF">
            <w:pPr>
              <w:pStyle w:val="ListItem"/>
              <w:spacing w:before="0" w:line="240" w:lineRule="auto"/>
              <w:rPr>
                <w:rFonts w:ascii="Arial" w:hAnsi="Arial" w:cs="Arial"/>
              </w:rPr>
            </w:pPr>
            <w:r w:rsidRPr="00E16FCC">
              <w:rPr>
                <w:rFonts w:ascii="Arial" w:hAnsi="Arial" w:cs="Arial"/>
              </w:rPr>
              <w:t xml:space="preserve">organic compounds display characteristic physical properties, including boiling point and solubility in water and organic solvents; these properties can be explained in terms of intermolecular forces (dispersion forces, dipole-dipole </w:t>
            </w:r>
            <w:proofErr w:type="gramStart"/>
            <w:r w:rsidRPr="00E16FCC">
              <w:rPr>
                <w:rFonts w:ascii="Arial" w:hAnsi="Arial" w:cs="Arial"/>
              </w:rPr>
              <w:t>interactions</w:t>
            </w:r>
            <w:proofErr w:type="gramEnd"/>
            <w:r w:rsidRPr="00E16FCC">
              <w:rPr>
                <w:rFonts w:ascii="Arial" w:hAnsi="Arial" w:cs="Arial"/>
              </w:rPr>
              <w:t xml:space="preserve"> and hydrogen bonds) which are influenced by the nature of the functional groups</w:t>
            </w:r>
          </w:p>
          <w:p w14:paraId="1F0C00DF" w14:textId="77777777" w:rsidR="00BB1EDF" w:rsidRPr="00E16FCC" w:rsidRDefault="00BB1EDF" w:rsidP="00BB1EDF">
            <w:pPr>
              <w:pStyle w:val="ListItem"/>
              <w:numPr>
                <w:ilvl w:val="0"/>
                <w:numId w:val="0"/>
              </w:numPr>
              <w:spacing w:before="0" w:line="240" w:lineRule="auto"/>
              <w:rPr>
                <w:rFonts w:ascii="Arial" w:hAnsi="Arial" w:cs="Arial"/>
              </w:rPr>
            </w:pPr>
          </w:p>
          <w:p w14:paraId="4F3A1CEE" w14:textId="77777777" w:rsidR="00BB1EDF" w:rsidRPr="00E16FCC" w:rsidRDefault="00BB1EDF" w:rsidP="00BB1EDF">
            <w:pPr>
              <w:pStyle w:val="ListItem"/>
              <w:numPr>
                <w:ilvl w:val="0"/>
                <w:numId w:val="0"/>
              </w:numPr>
              <w:spacing w:before="0" w:line="240" w:lineRule="auto"/>
              <w:ind w:left="360" w:hanging="360"/>
              <w:rPr>
                <w:rFonts w:ascii="Arial" w:hAnsi="Arial" w:cs="Arial"/>
                <w:color w:val="000000"/>
              </w:rPr>
            </w:pPr>
          </w:p>
        </w:tc>
        <w:tc>
          <w:tcPr>
            <w:tcW w:w="992" w:type="dxa"/>
            <w:tcBorders>
              <w:top w:val="nil"/>
              <w:left w:val="nil"/>
              <w:bottom w:val="single" w:sz="4" w:space="0" w:color="auto"/>
              <w:right w:val="single" w:sz="4" w:space="0" w:color="auto"/>
            </w:tcBorders>
            <w:shd w:val="clear" w:color="auto" w:fill="auto"/>
            <w:noWrap/>
            <w:vAlign w:val="bottom"/>
          </w:tcPr>
          <w:p w14:paraId="0374AAE9" w14:textId="77777777" w:rsidR="00BB1EDF" w:rsidRPr="008D12CD" w:rsidRDefault="00BB1EDF" w:rsidP="003A2BC4">
            <w:pPr>
              <w:ind w:left="142" w:hanging="142"/>
              <w:rPr>
                <w:rFonts w:asciiTheme="majorHAnsi" w:eastAsia="Times New Roman" w:hAnsiTheme="majorHAnsi" w:cstheme="majorHAnsi"/>
                <w:color w:val="000000"/>
                <w:lang w:val="en-GB"/>
              </w:rPr>
            </w:pPr>
          </w:p>
        </w:tc>
        <w:tc>
          <w:tcPr>
            <w:tcW w:w="1169" w:type="dxa"/>
            <w:tcBorders>
              <w:top w:val="nil"/>
              <w:left w:val="nil"/>
              <w:bottom w:val="single" w:sz="4" w:space="0" w:color="auto"/>
              <w:right w:val="single" w:sz="4" w:space="0" w:color="auto"/>
            </w:tcBorders>
            <w:shd w:val="clear" w:color="auto" w:fill="auto"/>
            <w:noWrap/>
            <w:vAlign w:val="bottom"/>
          </w:tcPr>
          <w:p w14:paraId="2DCD54F5" w14:textId="77777777" w:rsidR="00BB1EDF" w:rsidRPr="008D12CD" w:rsidRDefault="00BB1EDF" w:rsidP="003A2BC4">
            <w:pPr>
              <w:ind w:left="142" w:hanging="142"/>
              <w:rPr>
                <w:rFonts w:asciiTheme="majorHAnsi" w:eastAsia="Times New Roman" w:hAnsiTheme="majorHAnsi" w:cstheme="majorHAnsi"/>
                <w:color w:val="000000"/>
                <w:lang w:val="en-GB"/>
              </w:rPr>
            </w:pPr>
          </w:p>
        </w:tc>
      </w:tr>
      <w:tr w:rsidR="003A2BC4" w:rsidRPr="008D12CD" w14:paraId="608B6260" w14:textId="77777777" w:rsidTr="00EF5FFD">
        <w:trPr>
          <w:gridAfter w:val="1"/>
          <w:wAfter w:w="226" w:type="dxa"/>
          <w:trHeight w:val="417"/>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50B14E7C" w14:textId="77777777" w:rsidR="003A2BC4" w:rsidRPr="008D12CD" w:rsidRDefault="003A2BC4"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62FCF50E" w14:textId="24884FCA" w:rsidR="00877745" w:rsidRDefault="00862BCC" w:rsidP="00877745">
            <w:pPr>
              <w:pStyle w:val="ListItem"/>
              <w:spacing w:before="0" w:line="240" w:lineRule="auto"/>
              <w:rPr>
                <w:rFonts w:ascii="Arial" w:hAnsi="Arial" w:cs="Arial"/>
              </w:rPr>
            </w:pPr>
            <w:r>
              <w:rPr>
                <w:rFonts w:ascii="Arial" w:hAnsi="Arial" w:cs="Arial"/>
              </w:rPr>
              <w:t xml:space="preserve">understand </w:t>
            </w:r>
            <w:r w:rsidR="00877745" w:rsidRPr="00E16FCC">
              <w:rPr>
                <w:rFonts w:ascii="Arial" w:hAnsi="Arial" w:cs="Arial"/>
              </w:rPr>
              <w:t>the structure of soaps contains a non-polar hydrocarbon chain and a carboxylate group; the structure of the anionic detergents derived from dodecylbenzene contains a non-polar hydrocarbon chain and a sulfonate group</w:t>
            </w:r>
          </w:p>
          <w:p w14:paraId="22428B6D" w14:textId="77777777" w:rsidR="000C22CB" w:rsidRDefault="000C22CB" w:rsidP="000C22CB">
            <w:pPr>
              <w:pStyle w:val="ListItem"/>
              <w:spacing w:before="0" w:line="240" w:lineRule="auto"/>
              <w:rPr>
                <w:rFonts w:ascii="Arial" w:hAnsi="Arial" w:cs="Arial"/>
              </w:rPr>
            </w:pPr>
            <w:r w:rsidRPr="000F2A95">
              <w:rPr>
                <w:rFonts w:ascii="Arial" w:hAnsi="Arial" w:cs="Arial"/>
              </w:rPr>
              <w:t xml:space="preserve">α-amino acids </w:t>
            </w:r>
            <w:r w:rsidRPr="00E16FCC">
              <w:rPr>
                <w:rFonts w:ascii="Arial" w:hAnsi="Arial" w:cs="Arial"/>
              </w:rPr>
              <w:t>undergo condensation reactions to form polypeptides (proteins) in which the α-amino acid monomers are joined by peptide bonds</w:t>
            </w:r>
            <w:r>
              <w:rPr>
                <w:rFonts w:ascii="Arial" w:hAnsi="Arial" w:cs="Arial"/>
              </w:rPr>
              <w:t xml:space="preserve"> </w:t>
            </w:r>
          </w:p>
          <w:p w14:paraId="6DEB8EE4" w14:textId="77777777" w:rsidR="000C22CB" w:rsidRPr="00E16FCC" w:rsidRDefault="000C22CB" w:rsidP="000C22CB">
            <w:pPr>
              <w:pStyle w:val="ListItem"/>
              <w:numPr>
                <w:ilvl w:val="0"/>
                <w:numId w:val="0"/>
              </w:numPr>
              <w:spacing w:before="0" w:line="240" w:lineRule="auto"/>
              <w:rPr>
                <w:rFonts w:ascii="Arial" w:hAnsi="Arial" w:cs="Arial"/>
              </w:rPr>
            </w:pPr>
          </w:p>
          <w:p w14:paraId="00D5A6CF" w14:textId="77777777" w:rsidR="000C22CB" w:rsidRDefault="000C22CB" w:rsidP="000C22CB">
            <w:pPr>
              <w:pStyle w:val="ListItem"/>
              <w:spacing w:before="0" w:line="240" w:lineRule="auto"/>
              <w:rPr>
                <w:rFonts w:ascii="Arial" w:hAnsi="Arial" w:cs="Arial"/>
              </w:rPr>
            </w:pPr>
            <w:r w:rsidRPr="00E16FCC">
              <w:rPr>
                <w:rFonts w:ascii="Arial" w:hAnsi="Arial" w:cs="Arial"/>
              </w:rPr>
              <w:t>the sequence of α-amino acids in a protein is called its primary structure</w:t>
            </w:r>
          </w:p>
          <w:p w14:paraId="7B58A81F" w14:textId="77777777" w:rsidR="000365BB" w:rsidRDefault="000365BB" w:rsidP="000365BB">
            <w:pPr>
              <w:pStyle w:val="ListItem"/>
              <w:spacing w:before="0" w:line="240" w:lineRule="auto"/>
              <w:rPr>
                <w:rFonts w:ascii="Arial" w:hAnsi="Arial" w:cs="Arial"/>
              </w:rPr>
            </w:pPr>
            <w:r w:rsidRPr="00E16FCC">
              <w:rPr>
                <w:rFonts w:ascii="Arial" w:hAnsi="Arial" w:cs="Arial"/>
              </w:rPr>
              <w:t>seco</w:t>
            </w:r>
            <w:r>
              <w:rPr>
                <w:rFonts w:ascii="Arial" w:hAnsi="Arial" w:cs="Arial"/>
              </w:rPr>
              <w:t>ndary structures of proteins</w:t>
            </w:r>
            <w:r w:rsidRPr="000F2A95">
              <w:rPr>
                <w:rFonts w:ascii="Arial" w:hAnsi="Arial" w:cs="Arial"/>
              </w:rPr>
              <w:t>, (</w:t>
            </w:r>
            <w:r w:rsidRPr="000F2A95">
              <w:rPr>
                <w:rFonts w:ascii="Symbol" w:hAnsi="Symbol"/>
              </w:rPr>
              <w:t></w:t>
            </w:r>
            <w:r w:rsidRPr="000F2A95">
              <w:t>-</w:t>
            </w:r>
            <w:r w:rsidRPr="000F2A95">
              <w:rPr>
                <w:rFonts w:ascii="Arial" w:hAnsi="Arial" w:cs="Arial"/>
              </w:rPr>
              <w:t xml:space="preserve">helix and </w:t>
            </w:r>
            <w:r w:rsidRPr="000F2A95">
              <w:rPr>
                <w:rFonts w:ascii="Symbol" w:hAnsi="Symbol"/>
              </w:rPr>
              <w:t></w:t>
            </w:r>
            <w:r w:rsidRPr="000F2A95">
              <w:t>-</w:t>
            </w:r>
            <w:r w:rsidRPr="000F2A95">
              <w:rPr>
                <w:rFonts w:ascii="Arial" w:hAnsi="Arial" w:cs="Arial"/>
              </w:rPr>
              <w:t xml:space="preserve">pleated sheets) </w:t>
            </w:r>
            <w:r w:rsidRPr="00E16FCC">
              <w:rPr>
                <w:rFonts w:ascii="Arial" w:hAnsi="Arial" w:cs="Arial"/>
              </w:rPr>
              <w:t>result from hydrogen bonding between amide and carbonyl functional groups; hydrogen bonding between amide and carbonyl functional groups w</w:t>
            </w:r>
            <w:r>
              <w:rPr>
                <w:rFonts w:ascii="Arial" w:hAnsi="Arial" w:cs="Arial"/>
              </w:rPr>
              <w:t xml:space="preserve">ithin a peptide chain leads </w:t>
            </w:r>
            <w:r w:rsidRPr="000F2A95">
              <w:rPr>
                <w:rFonts w:ascii="Arial" w:hAnsi="Arial" w:cs="Arial"/>
              </w:rPr>
              <w:t xml:space="preserve">to </w:t>
            </w:r>
            <w:r w:rsidRPr="000F2A95">
              <w:rPr>
                <w:rFonts w:ascii="Symbol" w:hAnsi="Symbol"/>
              </w:rPr>
              <w:t></w:t>
            </w:r>
            <w:r w:rsidRPr="000F2A95">
              <w:t>-</w:t>
            </w:r>
            <w:r w:rsidRPr="000F2A95">
              <w:rPr>
                <w:rFonts w:ascii="Arial" w:hAnsi="Arial" w:cs="Arial"/>
              </w:rPr>
              <w:t xml:space="preserve">helix structures </w:t>
            </w:r>
            <w:r w:rsidRPr="00E16FCC">
              <w:rPr>
                <w:rFonts w:ascii="Arial" w:hAnsi="Arial" w:cs="Arial"/>
              </w:rPr>
              <w:t>while hydrogen bonding between adjace</w:t>
            </w:r>
            <w:r>
              <w:rPr>
                <w:rFonts w:ascii="Arial" w:hAnsi="Arial" w:cs="Arial"/>
              </w:rPr>
              <w:t xml:space="preserve">nt polypeptide chains leads to </w:t>
            </w:r>
            <w:r w:rsidRPr="000F2A95">
              <w:rPr>
                <w:rFonts w:ascii="Symbol" w:hAnsi="Symbol"/>
              </w:rPr>
              <w:t></w:t>
            </w:r>
            <w:r w:rsidRPr="000F2A95">
              <w:t>-</w:t>
            </w:r>
            <w:r w:rsidRPr="000F2A95">
              <w:rPr>
                <w:rFonts w:ascii="Arial" w:hAnsi="Arial" w:cs="Arial"/>
              </w:rPr>
              <w:t xml:space="preserve">pleated </w:t>
            </w:r>
            <w:r w:rsidRPr="00E16FCC">
              <w:rPr>
                <w:rFonts w:ascii="Arial" w:hAnsi="Arial" w:cs="Arial"/>
              </w:rPr>
              <w:t>sheets</w:t>
            </w:r>
          </w:p>
          <w:p w14:paraId="1336AD78" w14:textId="77777777" w:rsidR="000365BB" w:rsidRPr="00E16FCC" w:rsidRDefault="000365BB" w:rsidP="000365BB">
            <w:pPr>
              <w:pStyle w:val="ListItem"/>
              <w:numPr>
                <w:ilvl w:val="0"/>
                <w:numId w:val="0"/>
              </w:numPr>
              <w:spacing w:before="0" w:line="240" w:lineRule="auto"/>
              <w:rPr>
                <w:rFonts w:ascii="Arial" w:hAnsi="Arial" w:cs="Arial"/>
              </w:rPr>
            </w:pPr>
          </w:p>
          <w:p w14:paraId="783688F1" w14:textId="77777777" w:rsidR="002E2982" w:rsidRDefault="002E2982" w:rsidP="002E2982">
            <w:pPr>
              <w:pStyle w:val="ListItem"/>
              <w:spacing w:before="0" w:line="240" w:lineRule="auto"/>
              <w:rPr>
                <w:rFonts w:ascii="Arial" w:hAnsi="Arial" w:cs="Arial"/>
              </w:rPr>
            </w:pPr>
            <w:r w:rsidRPr="00E16FCC">
              <w:rPr>
                <w:rFonts w:ascii="Arial" w:hAnsi="Arial" w:cs="Arial"/>
              </w:rPr>
              <w:t>empirical and molecular formulae can be determined by calculation</w:t>
            </w:r>
            <w:r w:rsidRPr="00E16FCC">
              <w:rPr>
                <w:rFonts w:ascii="Arial" w:hAnsi="Arial" w:cs="Arial"/>
                <w:color w:val="548DD4"/>
              </w:rPr>
              <w:t xml:space="preserve"> </w:t>
            </w:r>
            <w:r w:rsidRPr="00E16FCC">
              <w:rPr>
                <w:rFonts w:ascii="Arial" w:hAnsi="Arial" w:cs="Arial"/>
              </w:rPr>
              <w:t>and the structure of an organic compound established from the chemical reactions they undergo, and other analytical data</w:t>
            </w:r>
          </w:p>
          <w:p w14:paraId="5F308D05" w14:textId="77777777" w:rsidR="002E2982" w:rsidRPr="00E16FCC" w:rsidRDefault="002E2982" w:rsidP="002E2982">
            <w:pPr>
              <w:pStyle w:val="ListItem"/>
              <w:numPr>
                <w:ilvl w:val="0"/>
                <w:numId w:val="0"/>
              </w:numPr>
              <w:spacing w:before="0" w:line="240" w:lineRule="auto"/>
              <w:rPr>
                <w:rFonts w:ascii="Arial" w:hAnsi="Arial" w:cs="Arial"/>
              </w:rPr>
            </w:pPr>
            <w:r w:rsidRPr="00E16FCC">
              <w:rPr>
                <w:rFonts w:ascii="Arial" w:hAnsi="Arial" w:cs="Arial"/>
              </w:rPr>
              <w:t xml:space="preserve"> </w:t>
            </w:r>
          </w:p>
          <w:p w14:paraId="649EE23D" w14:textId="77777777" w:rsidR="002E2982" w:rsidRDefault="002E2982" w:rsidP="002E2982">
            <w:pPr>
              <w:pStyle w:val="ListItem"/>
              <w:spacing w:before="0" w:line="240" w:lineRule="auto"/>
              <w:rPr>
                <w:rFonts w:ascii="Arial" w:hAnsi="Arial" w:cs="Arial"/>
              </w:rPr>
            </w:pPr>
            <w:r w:rsidRPr="00E16FCC">
              <w:rPr>
                <w:rFonts w:ascii="Arial" w:hAnsi="Arial" w:cs="Arial"/>
              </w:rPr>
              <w:t xml:space="preserve">addition reactions can be used to produce polymers, including polyethene and </w:t>
            </w:r>
            <w:proofErr w:type="spellStart"/>
            <w:r w:rsidRPr="00E16FCC">
              <w:rPr>
                <w:rFonts w:ascii="Arial" w:hAnsi="Arial" w:cs="Arial"/>
              </w:rPr>
              <w:t>polytetrafluoroethene</w:t>
            </w:r>
            <w:proofErr w:type="spellEnd"/>
          </w:p>
          <w:p w14:paraId="3E5A2DCE" w14:textId="77777777" w:rsidR="002E2982" w:rsidRPr="00E16FCC" w:rsidRDefault="002E2982" w:rsidP="002E2982">
            <w:pPr>
              <w:pStyle w:val="ListItem"/>
              <w:numPr>
                <w:ilvl w:val="0"/>
                <w:numId w:val="0"/>
              </w:numPr>
              <w:spacing w:before="0" w:line="240" w:lineRule="auto"/>
              <w:rPr>
                <w:rFonts w:ascii="Arial" w:hAnsi="Arial" w:cs="Arial"/>
              </w:rPr>
            </w:pPr>
          </w:p>
          <w:p w14:paraId="249C040A" w14:textId="77777777" w:rsidR="002E2982" w:rsidRDefault="002E2982" w:rsidP="002E2982">
            <w:pPr>
              <w:pStyle w:val="ListItem"/>
              <w:spacing w:before="0" w:line="240" w:lineRule="auto"/>
              <w:rPr>
                <w:rFonts w:ascii="Arial" w:hAnsi="Arial" w:cs="Arial"/>
              </w:rPr>
            </w:pPr>
            <w:r w:rsidRPr="00E16FCC">
              <w:rPr>
                <w:rFonts w:ascii="Arial" w:hAnsi="Arial" w:cs="Arial"/>
              </w:rPr>
              <w:t>the structure of an addition polymer can be predicted from its monomer and the structure of an addition polymer can be used to predict the monomer from which it was derived</w:t>
            </w:r>
          </w:p>
          <w:p w14:paraId="3D1CD8F8" w14:textId="1D51F3ED" w:rsidR="003A2BC4" w:rsidRPr="00EF5FFD" w:rsidRDefault="003A2BC4" w:rsidP="00AD4CCA">
            <w:pPr>
              <w:ind w:left="142" w:hanging="142"/>
              <w:rPr>
                <w:rFonts w:ascii="Arial" w:eastAsia="Times New Roman" w:hAnsi="Arial" w:cs="Arial"/>
                <w:color w:val="000000"/>
                <w:sz w:val="20"/>
                <w:szCs w:val="20"/>
                <w:lang w:val="en-GB"/>
              </w:rPr>
            </w:pPr>
          </w:p>
        </w:tc>
        <w:tc>
          <w:tcPr>
            <w:tcW w:w="992" w:type="dxa"/>
            <w:tcBorders>
              <w:top w:val="nil"/>
              <w:left w:val="nil"/>
              <w:bottom w:val="single" w:sz="4" w:space="0" w:color="auto"/>
              <w:right w:val="single" w:sz="4" w:space="0" w:color="auto"/>
            </w:tcBorders>
            <w:shd w:val="clear" w:color="auto" w:fill="auto"/>
            <w:noWrap/>
            <w:vAlign w:val="bottom"/>
          </w:tcPr>
          <w:p w14:paraId="16BC677B" w14:textId="77777777" w:rsidR="003A2BC4" w:rsidRPr="008D12CD" w:rsidRDefault="003A2BC4" w:rsidP="003A2BC4">
            <w:pPr>
              <w:ind w:left="142" w:hanging="142"/>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 </w:t>
            </w:r>
          </w:p>
        </w:tc>
        <w:tc>
          <w:tcPr>
            <w:tcW w:w="1169" w:type="dxa"/>
            <w:tcBorders>
              <w:top w:val="nil"/>
              <w:left w:val="nil"/>
              <w:bottom w:val="single" w:sz="4" w:space="0" w:color="auto"/>
              <w:right w:val="single" w:sz="4" w:space="0" w:color="auto"/>
            </w:tcBorders>
            <w:shd w:val="clear" w:color="auto" w:fill="auto"/>
            <w:noWrap/>
            <w:vAlign w:val="bottom"/>
          </w:tcPr>
          <w:p w14:paraId="54DA94CD" w14:textId="77777777" w:rsidR="003A2BC4" w:rsidRPr="008D12CD" w:rsidRDefault="003A2BC4" w:rsidP="003A2BC4">
            <w:pPr>
              <w:ind w:left="142" w:hanging="142"/>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 </w:t>
            </w:r>
          </w:p>
        </w:tc>
      </w:tr>
      <w:tr w:rsidR="003A2BC4" w:rsidRPr="008D12CD" w14:paraId="146DB102" w14:textId="77777777" w:rsidTr="00EF5FFD">
        <w:trPr>
          <w:gridAfter w:val="1"/>
          <w:wAfter w:w="226" w:type="dxa"/>
          <w:trHeight w:val="423"/>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5E49D7E9" w14:textId="77777777" w:rsidR="003A2BC4" w:rsidRPr="008D12CD" w:rsidRDefault="003A2BC4"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09837BC1" w14:textId="07BD634A" w:rsidR="00877745" w:rsidRDefault="00877745" w:rsidP="00877745">
            <w:pPr>
              <w:pStyle w:val="ListItem"/>
              <w:spacing w:before="0" w:line="240" w:lineRule="auto"/>
              <w:rPr>
                <w:rFonts w:ascii="Arial" w:hAnsi="Arial" w:cs="Arial"/>
              </w:rPr>
            </w:pPr>
            <w:r>
              <w:rPr>
                <w:rFonts w:ascii="Arial" w:hAnsi="Arial" w:cs="Arial"/>
              </w:rPr>
              <w:t>explain</w:t>
            </w:r>
            <w:r w:rsidRPr="00E16FCC">
              <w:rPr>
                <w:rFonts w:ascii="Arial" w:hAnsi="Arial" w:cs="Arial"/>
              </w:rPr>
              <w:t xml:space="preserve"> the cleaning action of soaps and detergents in terms of their non-polar hydrocarbon chain and charged group</w:t>
            </w:r>
            <w:r>
              <w:rPr>
                <w:rFonts w:ascii="Arial" w:hAnsi="Arial" w:cs="Arial"/>
              </w:rPr>
              <w:t>.</w:t>
            </w:r>
          </w:p>
          <w:p w14:paraId="0796D43F" w14:textId="77777777" w:rsidR="00877745" w:rsidRDefault="00877745" w:rsidP="00877745">
            <w:pPr>
              <w:pStyle w:val="ListItem"/>
              <w:numPr>
                <w:ilvl w:val="0"/>
                <w:numId w:val="0"/>
              </w:numPr>
              <w:spacing w:before="0" w:line="240" w:lineRule="auto"/>
              <w:ind w:left="360"/>
              <w:rPr>
                <w:rFonts w:ascii="Arial" w:hAnsi="Arial" w:cs="Arial"/>
              </w:rPr>
            </w:pPr>
          </w:p>
          <w:p w14:paraId="015C7A6C" w14:textId="3C47F35D" w:rsidR="00877745" w:rsidRDefault="00877745" w:rsidP="00877745">
            <w:pPr>
              <w:pStyle w:val="ListItem"/>
              <w:spacing w:before="0" w:line="240" w:lineRule="auto"/>
              <w:rPr>
                <w:rFonts w:ascii="Arial" w:hAnsi="Arial" w:cs="Arial"/>
              </w:rPr>
            </w:pPr>
            <w:r>
              <w:rPr>
                <w:rFonts w:ascii="Arial" w:hAnsi="Arial" w:cs="Arial"/>
              </w:rPr>
              <w:t>explain</w:t>
            </w:r>
            <w:r w:rsidRPr="00E16FCC">
              <w:rPr>
                <w:rFonts w:ascii="Arial" w:hAnsi="Arial" w:cs="Arial"/>
              </w:rPr>
              <w:t xml:space="preserve"> the properties of soaps and detergents in hard water in terms of the solubilities of their calcium salts</w:t>
            </w:r>
            <w:r>
              <w:rPr>
                <w:rFonts w:ascii="Arial" w:hAnsi="Arial" w:cs="Arial"/>
              </w:rPr>
              <w:t>.</w:t>
            </w:r>
          </w:p>
          <w:p w14:paraId="29EBC638" w14:textId="77777777" w:rsidR="00C41C7C" w:rsidRDefault="00C41C7C" w:rsidP="00C41C7C">
            <w:pPr>
              <w:pStyle w:val="ListParagraph"/>
              <w:rPr>
                <w:rFonts w:ascii="Arial" w:hAnsi="Arial" w:cs="Arial"/>
              </w:rPr>
            </w:pPr>
          </w:p>
          <w:p w14:paraId="2F4FF80D" w14:textId="00F737E7" w:rsidR="00C41C7C" w:rsidRDefault="00C41C7C" w:rsidP="00C41C7C">
            <w:pPr>
              <w:pStyle w:val="ListItem"/>
              <w:numPr>
                <w:ilvl w:val="0"/>
                <w:numId w:val="5"/>
              </w:numPr>
              <w:spacing w:before="0" w:line="240" w:lineRule="auto"/>
              <w:rPr>
                <w:rFonts w:ascii="Arial" w:hAnsi="Arial" w:cs="Arial"/>
              </w:rPr>
            </w:pPr>
            <w:r>
              <w:rPr>
                <w:rFonts w:ascii="Arial" w:hAnsi="Arial" w:cs="Arial"/>
              </w:rPr>
              <w:t>Surfactants</w:t>
            </w:r>
          </w:p>
          <w:p w14:paraId="15F2762F" w14:textId="53D13EC0" w:rsidR="00862BCC" w:rsidRDefault="00862BCC" w:rsidP="00877745">
            <w:pPr>
              <w:pStyle w:val="ListItem"/>
              <w:numPr>
                <w:ilvl w:val="0"/>
                <w:numId w:val="0"/>
              </w:numPr>
              <w:spacing w:before="0" w:line="240" w:lineRule="auto"/>
              <w:ind w:left="360"/>
              <w:rPr>
                <w:rFonts w:ascii="Arial" w:hAnsi="Arial" w:cs="Arial"/>
              </w:rPr>
            </w:pPr>
          </w:p>
          <w:p w14:paraId="51ECFA15" w14:textId="4D06B8F5" w:rsidR="00521F45" w:rsidRPr="00EF5FFD" w:rsidRDefault="00521F45" w:rsidP="00EF5FFD">
            <w:pPr>
              <w:rPr>
                <w:rFonts w:ascii="Arial" w:eastAsia="Times New Roman" w:hAnsi="Arial" w:cs="Arial"/>
                <w:color w:val="000000"/>
                <w:sz w:val="20"/>
                <w:szCs w:val="20"/>
                <w:lang w:val="en-GB"/>
              </w:rPr>
            </w:pPr>
          </w:p>
        </w:tc>
        <w:tc>
          <w:tcPr>
            <w:tcW w:w="992" w:type="dxa"/>
            <w:tcBorders>
              <w:top w:val="nil"/>
              <w:left w:val="nil"/>
              <w:bottom w:val="single" w:sz="4" w:space="0" w:color="auto"/>
              <w:right w:val="single" w:sz="4" w:space="0" w:color="auto"/>
            </w:tcBorders>
            <w:shd w:val="clear" w:color="auto" w:fill="auto"/>
            <w:noWrap/>
            <w:vAlign w:val="bottom"/>
          </w:tcPr>
          <w:p w14:paraId="0B42DBD0" w14:textId="77777777" w:rsidR="003A2BC4" w:rsidRPr="008D12CD" w:rsidRDefault="003A2BC4" w:rsidP="003A2BC4">
            <w:pPr>
              <w:ind w:left="142" w:hanging="142"/>
              <w:rPr>
                <w:rFonts w:asciiTheme="majorHAnsi" w:eastAsia="Times New Roman" w:hAnsiTheme="majorHAnsi" w:cstheme="majorHAnsi"/>
                <w:color w:val="000000"/>
                <w:lang w:val="en-GB"/>
              </w:rPr>
            </w:pPr>
          </w:p>
        </w:tc>
        <w:tc>
          <w:tcPr>
            <w:tcW w:w="1169" w:type="dxa"/>
            <w:tcBorders>
              <w:top w:val="nil"/>
              <w:left w:val="nil"/>
              <w:bottom w:val="single" w:sz="4" w:space="0" w:color="auto"/>
              <w:right w:val="single" w:sz="4" w:space="0" w:color="auto"/>
            </w:tcBorders>
            <w:shd w:val="clear" w:color="auto" w:fill="auto"/>
            <w:noWrap/>
            <w:vAlign w:val="bottom"/>
          </w:tcPr>
          <w:p w14:paraId="1EF7686C" w14:textId="77777777" w:rsidR="003A2BC4" w:rsidRPr="008D12CD" w:rsidRDefault="003A2BC4" w:rsidP="003A2BC4">
            <w:pPr>
              <w:ind w:left="142" w:hanging="142"/>
              <w:rPr>
                <w:rFonts w:asciiTheme="majorHAnsi" w:eastAsia="Times New Roman" w:hAnsiTheme="majorHAnsi" w:cstheme="majorHAnsi"/>
                <w:color w:val="000000"/>
                <w:lang w:val="en-GB"/>
              </w:rPr>
            </w:pPr>
          </w:p>
        </w:tc>
      </w:tr>
      <w:tr w:rsidR="003A2BC4" w:rsidRPr="008D12CD" w14:paraId="4F829BA3" w14:textId="77777777" w:rsidTr="00EF5FFD">
        <w:trPr>
          <w:gridAfter w:val="1"/>
          <w:wAfter w:w="226" w:type="dxa"/>
          <w:trHeight w:val="645"/>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4F2C4EED" w14:textId="77777777" w:rsidR="003A2BC4" w:rsidRPr="008D12CD" w:rsidRDefault="003A2BC4" w:rsidP="003A2BC4">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5B78B3C7" w14:textId="5B566DF6" w:rsidR="00B50320" w:rsidRPr="00DA72CE" w:rsidRDefault="00B50320" w:rsidP="00B50320">
            <w:pPr>
              <w:pStyle w:val="ListItem"/>
              <w:spacing w:before="0" w:line="240" w:lineRule="auto"/>
              <w:rPr>
                <w:rFonts w:ascii="Arial" w:hAnsi="Arial" w:cs="Arial"/>
              </w:rPr>
            </w:pPr>
            <w:r>
              <w:rPr>
                <w:rFonts w:ascii="Arial" w:hAnsi="Arial" w:cs="Arial"/>
              </w:rPr>
              <w:t xml:space="preserve">recognise that </w:t>
            </w:r>
            <w:r w:rsidRPr="00DA72CE">
              <w:rPr>
                <w:rFonts w:ascii="Arial" w:hAnsi="Arial" w:cs="Arial"/>
              </w:rPr>
              <w:t xml:space="preserve">industry produces a vast range of plastics, including addition polymers (for example polyethene, </w:t>
            </w:r>
            <w:proofErr w:type="spellStart"/>
            <w:r w:rsidRPr="00DA72CE">
              <w:rPr>
                <w:rFonts w:ascii="Arial" w:hAnsi="Arial" w:cs="Arial"/>
              </w:rPr>
              <w:t>polytetrafluoroethene</w:t>
            </w:r>
            <w:proofErr w:type="spellEnd"/>
            <w:r w:rsidRPr="00DA72CE">
              <w:rPr>
                <w:rFonts w:ascii="Arial" w:hAnsi="Arial" w:cs="Arial"/>
              </w:rPr>
              <w:t>) and condensation polymers (for example, nylon and polyethylene terephthalate [PET]) which have different properties and uses</w:t>
            </w:r>
          </w:p>
          <w:p w14:paraId="56CA78F5" w14:textId="4095CA96" w:rsidR="00862BCC" w:rsidRDefault="00862BCC" w:rsidP="00B50320">
            <w:pPr>
              <w:pStyle w:val="ListItem"/>
              <w:numPr>
                <w:ilvl w:val="0"/>
                <w:numId w:val="0"/>
              </w:numPr>
              <w:spacing w:before="0" w:line="240" w:lineRule="auto"/>
              <w:ind w:left="360"/>
              <w:rPr>
                <w:rFonts w:ascii="Arial" w:hAnsi="Arial" w:cs="Arial"/>
              </w:rPr>
            </w:pPr>
          </w:p>
          <w:p w14:paraId="71DCB296" w14:textId="6F22F6D9" w:rsidR="003A2BC4" w:rsidRPr="00EF5FFD" w:rsidRDefault="003A2BC4" w:rsidP="003A2BC4">
            <w:pPr>
              <w:pStyle w:val="NoSpacing"/>
              <w:rPr>
                <w:rFonts w:ascii="Arial" w:hAnsi="Arial" w:cs="Arial"/>
                <w:sz w:val="20"/>
                <w:szCs w:val="20"/>
              </w:rPr>
            </w:pPr>
          </w:p>
        </w:tc>
        <w:tc>
          <w:tcPr>
            <w:tcW w:w="992" w:type="dxa"/>
            <w:tcBorders>
              <w:top w:val="nil"/>
              <w:left w:val="nil"/>
              <w:bottom w:val="single" w:sz="4" w:space="0" w:color="auto"/>
              <w:right w:val="single" w:sz="4" w:space="0" w:color="auto"/>
            </w:tcBorders>
            <w:shd w:val="clear" w:color="auto" w:fill="auto"/>
            <w:noWrap/>
            <w:vAlign w:val="bottom"/>
          </w:tcPr>
          <w:p w14:paraId="3ABC1230" w14:textId="77777777" w:rsidR="003A2BC4" w:rsidRPr="008D12CD" w:rsidRDefault="003A2BC4" w:rsidP="003A2BC4">
            <w:pPr>
              <w:ind w:left="142" w:hanging="142"/>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 </w:t>
            </w:r>
          </w:p>
        </w:tc>
        <w:tc>
          <w:tcPr>
            <w:tcW w:w="1169" w:type="dxa"/>
            <w:tcBorders>
              <w:top w:val="nil"/>
              <w:left w:val="nil"/>
              <w:bottom w:val="single" w:sz="4" w:space="0" w:color="auto"/>
              <w:right w:val="single" w:sz="4" w:space="0" w:color="auto"/>
            </w:tcBorders>
            <w:shd w:val="clear" w:color="auto" w:fill="auto"/>
            <w:noWrap/>
            <w:vAlign w:val="bottom"/>
          </w:tcPr>
          <w:p w14:paraId="5C129247" w14:textId="77777777" w:rsidR="003A2BC4" w:rsidRPr="008D12CD" w:rsidRDefault="003A2BC4" w:rsidP="003A2BC4">
            <w:pPr>
              <w:ind w:left="142" w:hanging="142"/>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 </w:t>
            </w:r>
          </w:p>
        </w:tc>
      </w:tr>
      <w:tr w:rsidR="003134EA" w:rsidRPr="008D12CD" w14:paraId="6D4D8C90" w14:textId="77777777" w:rsidTr="00EF5FFD">
        <w:trPr>
          <w:gridAfter w:val="1"/>
          <w:wAfter w:w="226" w:type="dxa"/>
          <w:trHeight w:val="640"/>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6099A0FE" w14:textId="77777777" w:rsidR="003134EA" w:rsidRPr="008D12CD" w:rsidRDefault="003134EA" w:rsidP="003134EA">
            <w:pPr>
              <w:ind w:left="142" w:hanging="142"/>
              <w:rPr>
                <w:rFonts w:asciiTheme="majorHAnsi" w:eastAsia="Times New Roman" w:hAnsiTheme="majorHAnsi" w:cstheme="majorHAnsi"/>
                <w:b/>
                <w:bCs/>
                <w:color w:val="000000"/>
                <w:lang w:val="en-GB"/>
              </w:rPr>
            </w:pPr>
          </w:p>
        </w:tc>
        <w:tc>
          <w:tcPr>
            <w:tcW w:w="7362" w:type="dxa"/>
            <w:tcBorders>
              <w:top w:val="nil"/>
              <w:left w:val="nil"/>
              <w:bottom w:val="single" w:sz="4" w:space="0" w:color="auto"/>
              <w:right w:val="single" w:sz="4" w:space="0" w:color="auto"/>
            </w:tcBorders>
            <w:shd w:val="clear" w:color="auto" w:fill="auto"/>
            <w:noWrap/>
            <w:vAlign w:val="center"/>
          </w:tcPr>
          <w:p w14:paraId="4AC39ACD" w14:textId="55E568E8" w:rsidR="00B50320" w:rsidRDefault="00850FB3" w:rsidP="002E2982">
            <w:pPr>
              <w:pStyle w:val="ListItem"/>
              <w:numPr>
                <w:ilvl w:val="0"/>
                <w:numId w:val="5"/>
              </w:numPr>
              <w:spacing w:before="0" w:line="240" w:lineRule="auto"/>
              <w:rPr>
                <w:rFonts w:ascii="Arial" w:hAnsi="Arial" w:cs="Arial"/>
              </w:rPr>
            </w:pPr>
            <w:r w:rsidRPr="00EF5FFD">
              <w:rPr>
                <w:rFonts w:ascii="Arial" w:eastAsia="Times New Roman" w:hAnsi="Arial" w:cs="Arial"/>
                <w:color w:val="000000"/>
                <w:lang w:val="en-GB"/>
              </w:rPr>
              <w:t xml:space="preserve"> </w:t>
            </w:r>
            <w:r w:rsidR="00862BCC" w:rsidRPr="00E16FCC">
              <w:rPr>
                <w:rFonts w:ascii="Arial" w:hAnsi="Arial" w:cs="Arial"/>
              </w:rPr>
              <w:t xml:space="preserve"> </w:t>
            </w:r>
            <w:r w:rsidR="00B50320">
              <w:rPr>
                <w:rFonts w:ascii="Arial" w:hAnsi="Arial" w:cs="Arial"/>
              </w:rPr>
              <w:t>explain</w:t>
            </w:r>
            <w:r w:rsidR="00B50320" w:rsidRPr="00DA72CE">
              <w:rPr>
                <w:rFonts w:ascii="Arial" w:hAnsi="Arial" w:cs="Arial"/>
              </w:rPr>
              <w:t xml:space="preserve"> the varied structures of different plastics due to characteristics, including cross-linking, chain length, and intermolecular forces leads to a range of distinct properties and consequent uses </w:t>
            </w:r>
          </w:p>
          <w:p w14:paraId="5CF66FC9" w14:textId="77777777" w:rsidR="00C41C7C" w:rsidRDefault="00C41C7C" w:rsidP="00C41C7C">
            <w:pPr>
              <w:pStyle w:val="ListItem"/>
              <w:numPr>
                <w:ilvl w:val="0"/>
                <w:numId w:val="0"/>
              </w:numPr>
              <w:spacing w:before="0" w:line="240" w:lineRule="auto"/>
              <w:ind w:left="720"/>
              <w:rPr>
                <w:rFonts w:ascii="Arial" w:hAnsi="Arial" w:cs="Arial"/>
              </w:rPr>
            </w:pPr>
          </w:p>
          <w:p w14:paraId="7164C304" w14:textId="7B530DDE" w:rsidR="00C41C7C" w:rsidRDefault="00C41C7C" w:rsidP="002E2982">
            <w:pPr>
              <w:pStyle w:val="ListItem"/>
              <w:numPr>
                <w:ilvl w:val="0"/>
                <w:numId w:val="5"/>
              </w:numPr>
              <w:spacing w:before="0" w:line="240" w:lineRule="auto"/>
              <w:rPr>
                <w:rFonts w:ascii="Arial" w:hAnsi="Arial" w:cs="Arial"/>
              </w:rPr>
            </w:pPr>
            <w:r>
              <w:rPr>
                <w:rFonts w:ascii="Arial" w:hAnsi="Arial" w:cs="Arial"/>
              </w:rPr>
              <w:t>Properties of LDPE and HDPE including diagrams of LDPE and HDPE</w:t>
            </w:r>
          </w:p>
          <w:p w14:paraId="10C3EA7C" w14:textId="77777777" w:rsidR="00B50320" w:rsidRDefault="00B50320" w:rsidP="00B50320">
            <w:pPr>
              <w:pStyle w:val="ListItem"/>
              <w:numPr>
                <w:ilvl w:val="0"/>
                <w:numId w:val="0"/>
              </w:numPr>
              <w:spacing w:before="0" w:line="240" w:lineRule="auto"/>
              <w:ind w:left="360"/>
              <w:rPr>
                <w:rFonts w:ascii="Arial" w:hAnsi="Arial" w:cs="Arial"/>
              </w:rPr>
            </w:pPr>
          </w:p>
          <w:p w14:paraId="7F31C625" w14:textId="6FC6DC82" w:rsidR="00B50320" w:rsidRDefault="00B50320" w:rsidP="00B50320">
            <w:pPr>
              <w:pStyle w:val="ListItem"/>
              <w:numPr>
                <w:ilvl w:val="0"/>
                <w:numId w:val="0"/>
              </w:numPr>
              <w:spacing w:before="0" w:line="240" w:lineRule="auto"/>
              <w:ind w:left="360"/>
              <w:rPr>
                <w:rFonts w:ascii="Arial" w:hAnsi="Arial" w:cs="Arial"/>
              </w:rPr>
            </w:pPr>
            <w:r>
              <w:rPr>
                <w:rFonts w:ascii="Arial" w:hAnsi="Arial" w:cs="Arial"/>
              </w:rPr>
              <w:t>-Addition reactions can be used to</w:t>
            </w:r>
            <w:r w:rsidRPr="00E16FCC">
              <w:rPr>
                <w:rFonts w:ascii="Arial" w:hAnsi="Arial" w:cs="Arial"/>
              </w:rPr>
              <w:t xml:space="preserve"> produce polymers, including polyethene and </w:t>
            </w:r>
            <w:proofErr w:type="spellStart"/>
            <w:r w:rsidRPr="00E16FCC">
              <w:rPr>
                <w:rFonts w:ascii="Arial" w:hAnsi="Arial" w:cs="Arial"/>
              </w:rPr>
              <w:t>polytetrafluoroethene</w:t>
            </w:r>
            <w:proofErr w:type="spellEnd"/>
          </w:p>
          <w:p w14:paraId="007D48EE" w14:textId="77777777" w:rsidR="00B50320" w:rsidRDefault="00B50320" w:rsidP="00B50320">
            <w:pPr>
              <w:pStyle w:val="ListItem"/>
              <w:numPr>
                <w:ilvl w:val="0"/>
                <w:numId w:val="0"/>
              </w:numPr>
              <w:spacing w:before="0" w:line="240" w:lineRule="auto"/>
              <w:ind w:left="360"/>
              <w:rPr>
                <w:rFonts w:ascii="Arial" w:hAnsi="Arial" w:cs="Arial"/>
              </w:rPr>
            </w:pPr>
          </w:p>
          <w:p w14:paraId="416C817E" w14:textId="77777777" w:rsidR="00B50320" w:rsidRDefault="00B50320" w:rsidP="002E2982">
            <w:pPr>
              <w:pStyle w:val="ListItem"/>
              <w:numPr>
                <w:ilvl w:val="0"/>
                <w:numId w:val="5"/>
              </w:numPr>
              <w:spacing w:before="0" w:line="240" w:lineRule="auto"/>
              <w:rPr>
                <w:rFonts w:ascii="Arial" w:hAnsi="Arial" w:cs="Arial"/>
              </w:rPr>
            </w:pPr>
            <w:r w:rsidRPr="00E16FCC">
              <w:rPr>
                <w:rFonts w:ascii="Arial" w:hAnsi="Arial" w:cs="Arial"/>
              </w:rPr>
              <w:t>condensation reactions can be used to produce polymers, including polyamides and polyesters</w:t>
            </w:r>
          </w:p>
          <w:p w14:paraId="3925B400" w14:textId="77777777" w:rsidR="002E2982" w:rsidRDefault="002E2982" w:rsidP="002E2982">
            <w:pPr>
              <w:pStyle w:val="ListItem"/>
              <w:numPr>
                <w:ilvl w:val="0"/>
                <w:numId w:val="5"/>
              </w:numPr>
              <w:spacing w:before="0" w:line="240" w:lineRule="auto"/>
              <w:rPr>
                <w:rFonts w:ascii="Arial" w:hAnsi="Arial" w:cs="Arial"/>
              </w:rPr>
            </w:pPr>
            <w:r w:rsidRPr="000F2A95">
              <w:rPr>
                <w:rFonts w:ascii="Arial" w:hAnsi="Arial" w:cs="Arial"/>
              </w:rPr>
              <w:t xml:space="preserve">α-amino acids </w:t>
            </w:r>
            <w:r w:rsidRPr="00E16FCC">
              <w:rPr>
                <w:rFonts w:ascii="Arial" w:hAnsi="Arial" w:cs="Arial"/>
              </w:rPr>
              <w:t>undergo condensation reactions to form polypeptides (proteins) in which the α-amino acid monomers are joined by peptide bonds</w:t>
            </w:r>
            <w:r>
              <w:rPr>
                <w:rFonts w:ascii="Arial" w:hAnsi="Arial" w:cs="Arial"/>
              </w:rPr>
              <w:t xml:space="preserve"> </w:t>
            </w:r>
          </w:p>
          <w:p w14:paraId="767729C1" w14:textId="77777777" w:rsidR="002E2982" w:rsidRPr="00E16FCC" w:rsidRDefault="002E2982" w:rsidP="002E2982">
            <w:pPr>
              <w:pStyle w:val="ListItem"/>
              <w:numPr>
                <w:ilvl w:val="0"/>
                <w:numId w:val="0"/>
              </w:numPr>
              <w:spacing w:before="0" w:line="240" w:lineRule="auto"/>
              <w:rPr>
                <w:rFonts w:ascii="Arial" w:hAnsi="Arial" w:cs="Arial"/>
              </w:rPr>
            </w:pPr>
          </w:p>
          <w:p w14:paraId="364B002F" w14:textId="338B8017" w:rsidR="00B50320" w:rsidRDefault="00B50320" w:rsidP="002E2982">
            <w:pPr>
              <w:pStyle w:val="ListItem"/>
              <w:numPr>
                <w:ilvl w:val="0"/>
                <w:numId w:val="5"/>
              </w:numPr>
              <w:spacing w:before="0" w:line="240" w:lineRule="auto"/>
              <w:rPr>
                <w:rFonts w:ascii="Arial" w:hAnsi="Arial" w:cs="Arial"/>
              </w:rPr>
            </w:pPr>
          </w:p>
          <w:p w14:paraId="751534C4" w14:textId="77777777" w:rsidR="00B50320" w:rsidRDefault="00B50320" w:rsidP="00B50320">
            <w:pPr>
              <w:pStyle w:val="ListItem"/>
              <w:numPr>
                <w:ilvl w:val="0"/>
                <w:numId w:val="0"/>
              </w:numPr>
              <w:spacing w:before="0" w:line="240" w:lineRule="auto"/>
              <w:ind w:left="360"/>
              <w:rPr>
                <w:rFonts w:ascii="Arial" w:hAnsi="Arial" w:cs="Arial"/>
              </w:rPr>
            </w:pPr>
          </w:p>
          <w:p w14:paraId="0337DF4F" w14:textId="48DB832F" w:rsidR="00B50320" w:rsidRPr="00DA72CE" w:rsidRDefault="00B50320" w:rsidP="00B50320">
            <w:pPr>
              <w:pStyle w:val="ListItem"/>
              <w:numPr>
                <w:ilvl w:val="0"/>
                <w:numId w:val="0"/>
              </w:numPr>
              <w:spacing w:before="0" w:line="240" w:lineRule="auto"/>
              <w:rPr>
                <w:rFonts w:ascii="Arial" w:hAnsi="Arial" w:cs="Arial"/>
              </w:rPr>
            </w:pPr>
            <w:r>
              <w:rPr>
                <w:rFonts w:ascii="Arial" w:hAnsi="Arial" w:cs="Arial"/>
              </w:rPr>
              <w:t xml:space="preserve">   -</w:t>
            </w:r>
            <w:r w:rsidRPr="00DA72CE">
              <w:rPr>
                <w:rFonts w:ascii="Arial" w:hAnsi="Arial" w:cs="Arial"/>
              </w:rPr>
              <w:t xml:space="preserve"> the different structures, properties and related uses for </w:t>
            </w:r>
            <w:proofErr w:type="spellStart"/>
            <w:proofErr w:type="gramStart"/>
            <w:r w:rsidRPr="00DA72CE">
              <w:rPr>
                <w:rFonts w:ascii="Arial" w:hAnsi="Arial" w:cs="Arial"/>
              </w:rPr>
              <w:t>polyethene,polytetrafluoroethene</w:t>
            </w:r>
            <w:proofErr w:type="spellEnd"/>
            <w:proofErr w:type="gramEnd"/>
            <w:r w:rsidRPr="00DA72CE">
              <w:rPr>
                <w:rFonts w:ascii="Arial" w:hAnsi="Arial" w:cs="Arial"/>
              </w:rPr>
              <w:t>, nylon and polyethylene terephthalate [PET])</w:t>
            </w:r>
          </w:p>
          <w:p w14:paraId="3A93BF5F" w14:textId="117E92A6" w:rsidR="00862BCC" w:rsidRDefault="00862BCC" w:rsidP="00B50320">
            <w:pPr>
              <w:pStyle w:val="ListItem"/>
              <w:numPr>
                <w:ilvl w:val="0"/>
                <w:numId w:val="0"/>
              </w:numPr>
              <w:spacing w:before="0" w:line="240" w:lineRule="auto"/>
              <w:ind w:left="360"/>
              <w:rPr>
                <w:rFonts w:ascii="Arial" w:hAnsi="Arial" w:cs="Arial"/>
              </w:rPr>
            </w:pPr>
          </w:p>
          <w:p w14:paraId="30CE17E7" w14:textId="512164AB" w:rsidR="003134EA" w:rsidRPr="00EF5FFD" w:rsidRDefault="003134EA" w:rsidP="003134EA">
            <w:pPr>
              <w:pStyle w:val="NoSpacing"/>
              <w:rPr>
                <w:rFonts w:ascii="Arial" w:hAnsi="Arial" w:cs="Arial"/>
                <w:color w:val="000000" w:themeColor="text1"/>
                <w:sz w:val="20"/>
                <w:szCs w:val="20"/>
              </w:rPr>
            </w:pPr>
          </w:p>
        </w:tc>
        <w:tc>
          <w:tcPr>
            <w:tcW w:w="992" w:type="dxa"/>
            <w:tcBorders>
              <w:top w:val="nil"/>
              <w:left w:val="nil"/>
              <w:bottom w:val="single" w:sz="4" w:space="0" w:color="auto"/>
              <w:right w:val="single" w:sz="4" w:space="0" w:color="auto"/>
            </w:tcBorders>
            <w:shd w:val="clear" w:color="auto" w:fill="auto"/>
            <w:noWrap/>
            <w:vAlign w:val="bottom"/>
          </w:tcPr>
          <w:p w14:paraId="6D77D77A" w14:textId="77777777" w:rsidR="003134EA" w:rsidRPr="008D12CD" w:rsidRDefault="003134EA" w:rsidP="003134EA">
            <w:pPr>
              <w:ind w:left="142" w:hanging="142"/>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 </w:t>
            </w:r>
          </w:p>
        </w:tc>
        <w:tc>
          <w:tcPr>
            <w:tcW w:w="1169" w:type="dxa"/>
            <w:tcBorders>
              <w:top w:val="nil"/>
              <w:left w:val="nil"/>
              <w:bottom w:val="single" w:sz="4" w:space="0" w:color="auto"/>
              <w:right w:val="single" w:sz="4" w:space="0" w:color="auto"/>
            </w:tcBorders>
            <w:shd w:val="clear" w:color="auto" w:fill="auto"/>
            <w:noWrap/>
            <w:vAlign w:val="bottom"/>
          </w:tcPr>
          <w:p w14:paraId="29925181" w14:textId="77777777" w:rsidR="003134EA" w:rsidRPr="008D12CD" w:rsidRDefault="003134EA" w:rsidP="003134EA">
            <w:pPr>
              <w:ind w:left="142" w:hanging="142"/>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 </w:t>
            </w:r>
          </w:p>
        </w:tc>
      </w:tr>
      <w:tr w:rsidR="00C16D94" w:rsidRPr="008D12CD" w14:paraId="2B5B7B8A" w14:textId="49C32232" w:rsidTr="00EF5FFD">
        <w:trPr>
          <w:gridAfter w:val="3"/>
          <w:wAfter w:w="2387" w:type="dxa"/>
          <w:trHeight w:val="58"/>
        </w:trPr>
        <w:tc>
          <w:tcPr>
            <w:tcW w:w="1001" w:type="dxa"/>
            <w:gridSpan w:val="2"/>
            <w:vMerge/>
            <w:tcBorders>
              <w:top w:val="single" w:sz="4" w:space="0" w:color="auto"/>
              <w:left w:val="single" w:sz="4" w:space="0" w:color="auto"/>
              <w:bottom w:val="single" w:sz="4" w:space="0" w:color="auto"/>
              <w:right w:val="single" w:sz="4" w:space="0" w:color="auto"/>
            </w:tcBorders>
            <w:vAlign w:val="center"/>
          </w:tcPr>
          <w:p w14:paraId="33CF1B6A" w14:textId="77777777" w:rsidR="00C16D94" w:rsidRPr="008D12CD" w:rsidRDefault="00C16D94" w:rsidP="00C16D94">
            <w:pPr>
              <w:ind w:left="142" w:hanging="142"/>
              <w:rPr>
                <w:rFonts w:asciiTheme="majorHAnsi" w:eastAsia="Times New Roman" w:hAnsiTheme="majorHAnsi" w:cstheme="majorHAnsi"/>
                <w:b/>
                <w:bCs/>
                <w:color w:val="000000"/>
                <w:lang w:val="en-GB"/>
              </w:rPr>
            </w:pPr>
          </w:p>
        </w:tc>
        <w:tc>
          <w:tcPr>
            <w:tcW w:w="7362" w:type="dxa"/>
            <w:vAlign w:val="center"/>
          </w:tcPr>
          <w:p w14:paraId="5E03C389" w14:textId="31C5E1EE" w:rsidR="00C16D94" w:rsidRPr="008D12CD" w:rsidRDefault="00C16D94" w:rsidP="00C16D94">
            <w:pPr>
              <w:rPr>
                <w:rFonts w:asciiTheme="majorHAnsi" w:hAnsiTheme="majorHAnsi" w:cstheme="majorHAnsi"/>
              </w:rPr>
            </w:pPr>
          </w:p>
        </w:tc>
      </w:tr>
      <w:tr w:rsidR="00C16D94" w:rsidRPr="008D12CD" w14:paraId="024961B5" w14:textId="77777777" w:rsidTr="00EF5FFD">
        <w:trPr>
          <w:gridBefore w:val="1"/>
          <w:wBefore w:w="226" w:type="dxa"/>
          <w:trHeight w:val="300"/>
        </w:trPr>
        <w:tc>
          <w:tcPr>
            <w:tcW w:w="10524" w:type="dxa"/>
            <w:gridSpan w:val="5"/>
            <w:vMerge w:val="restart"/>
            <w:tcBorders>
              <w:top w:val="single" w:sz="4" w:space="0" w:color="auto"/>
              <w:left w:val="single" w:sz="4" w:space="0" w:color="auto"/>
              <w:bottom w:val="single" w:sz="4" w:space="0" w:color="auto"/>
              <w:right w:val="single" w:sz="4" w:space="0" w:color="auto"/>
            </w:tcBorders>
            <w:shd w:val="clear" w:color="auto" w:fill="auto"/>
            <w:noWrap/>
          </w:tcPr>
          <w:p w14:paraId="6F9F224A" w14:textId="77777777" w:rsidR="00C16D94" w:rsidRPr="008D12CD" w:rsidRDefault="00C16D94" w:rsidP="00C16D94">
            <w:pPr>
              <w:ind w:left="142" w:hanging="142"/>
              <w:rPr>
                <w:rFonts w:asciiTheme="majorHAnsi" w:eastAsia="Times New Roman" w:hAnsiTheme="majorHAnsi" w:cstheme="majorHAnsi"/>
                <w:color w:val="000000"/>
                <w:lang w:val="en-GB"/>
              </w:rPr>
            </w:pPr>
            <w:r w:rsidRPr="008D12CD">
              <w:rPr>
                <w:rFonts w:asciiTheme="majorHAnsi" w:eastAsia="Times New Roman" w:hAnsiTheme="majorHAnsi" w:cstheme="majorHAnsi"/>
                <w:color w:val="000000"/>
                <w:lang w:val="en-GB"/>
              </w:rPr>
              <w:t>Comment</w:t>
            </w:r>
          </w:p>
          <w:p w14:paraId="46F363D3" w14:textId="77777777" w:rsidR="00C16D94" w:rsidRPr="008D12CD" w:rsidRDefault="00C16D94" w:rsidP="00C16D94">
            <w:pPr>
              <w:ind w:left="142" w:hanging="142"/>
              <w:rPr>
                <w:rFonts w:asciiTheme="majorHAnsi" w:eastAsia="Times New Roman" w:hAnsiTheme="majorHAnsi" w:cstheme="majorHAnsi"/>
                <w:color w:val="000000"/>
                <w:lang w:val="en-GB"/>
              </w:rPr>
            </w:pPr>
          </w:p>
        </w:tc>
      </w:tr>
      <w:tr w:rsidR="00C16D94" w:rsidRPr="008D12CD" w14:paraId="3B3300ED" w14:textId="77777777" w:rsidTr="00EF5FFD">
        <w:trPr>
          <w:gridBefore w:val="1"/>
          <w:wBefore w:w="226" w:type="dxa"/>
          <w:trHeight w:val="300"/>
        </w:trPr>
        <w:tc>
          <w:tcPr>
            <w:tcW w:w="10524" w:type="dxa"/>
            <w:gridSpan w:val="5"/>
            <w:vMerge/>
            <w:tcBorders>
              <w:top w:val="single" w:sz="4" w:space="0" w:color="auto"/>
              <w:left w:val="single" w:sz="4" w:space="0" w:color="auto"/>
              <w:bottom w:val="single" w:sz="4" w:space="0" w:color="auto"/>
              <w:right w:val="single" w:sz="4" w:space="0" w:color="auto"/>
            </w:tcBorders>
            <w:vAlign w:val="center"/>
          </w:tcPr>
          <w:p w14:paraId="54361E3E" w14:textId="77777777" w:rsidR="00C16D94" w:rsidRPr="008D12CD" w:rsidRDefault="00C16D94" w:rsidP="00C16D94">
            <w:pPr>
              <w:ind w:left="142" w:hanging="142"/>
              <w:rPr>
                <w:rFonts w:asciiTheme="majorHAnsi" w:eastAsia="Times New Roman" w:hAnsiTheme="majorHAnsi" w:cstheme="majorHAnsi"/>
                <w:color w:val="000000"/>
                <w:lang w:val="en-GB"/>
              </w:rPr>
            </w:pPr>
          </w:p>
        </w:tc>
      </w:tr>
      <w:tr w:rsidR="00C16D94" w:rsidRPr="008D12CD" w14:paraId="48BBB2F7" w14:textId="77777777" w:rsidTr="00EF5FFD">
        <w:trPr>
          <w:gridBefore w:val="1"/>
          <w:wBefore w:w="226" w:type="dxa"/>
          <w:trHeight w:val="300"/>
        </w:trPr>
        <w:tc>
          <w:tcPr>
            <w:tcW w:w="10524" w:type="dxa"/>
            <w:gridSpan w:val="5"/>
            <w:vMerge/>
            <w:tcBorders>
              <w:top w:val="single" w:sz="4" w:space="0" w:color="auto"/>
              <w:left w:val="single" w:sz="4" w:space="0" w:color="auto"/>
              <w:bottom w:val="single" w:sz="4" w:space="0" w:color="auto"/>
              <w:right w:val="single" w:sz="4" w:space="0" w:color="auto"/>
            </w:tcBorders>
            <w:vAlign w:val="center"/>
          </w:tcPr>
          <w:p w14:paraId="2EB74AC2" w14:textId="77777777" w:rsidR="00C16D94" w:rsidRPr="008D12CD" w:rsidRDefault="00C16D94" w:rsidP="00C16D94">
            <w:pPr>
              <w:ind w:left="142" w:hanging="142"/>
              <w:rPr>
                <w:rFonts w:asciiTheme="majorHAnsi" w:eastAsia="Times New Roman" w:hAnsiTheme="majorHAnsi" w:cstheme="majorHAnsi"/>
                <w:color w:val="000000"/>
                <w:lang w:val="en-GB"/>
              </w:rPr>
            </w:pPr>
          </w:p>
        </w:tc>
      </w:tr>
      <w:tr w:rsidR="00C16D94" w:rsidRPr="008D12CD" w14:paraId="61A55D61" w14:textId="77777777" w:rsidTr="00EF5FFD">
        <w:trPr>
          <w:gridBefore w:val="1"/>
          <w:wBefore w:w="226" w:type="dxa"/>
          <w:trHeight w:val="300"/>
        </w:trPr>
        <w:tc>
          <w:tcPr>
            <w:tcW w:w="10524" w:type="dxa"/>
            <w:gridSpan w:val="5"/>
            <w:vMerge/>
            <w:tcBorders>
              <w:top w:val="single" w:sz="4" w:space="0" w:color="auto"/>
              <w:left w:val="single" w:sz="4" w:space="0" w:color="auto"/>
              <w:bottom w:val="single" w:sz="4" w:space="0" w:color="auto"/>
              <w:right w:val="single" w:sz="4" w:space="0" w:color="auto"/>
            </w:tcBorders>
            <w:vAlign w:val="center"/>
          </w:tcPr>
          <w:p w14:paraId="63CD9A4D" w14:textId="77777777" w:rsidR="00C16D94" w:rsidRPr="008D12CD" w:rsidRDefault="00C16D94" w:rsidP="00C16D94">
            <w:pPr>
              <w:ind w:left="142" w:hanging="142"/>
              <w:rPr>
                <w:rFonts w:asciiTheme="majorHAnsi" w:eastAsia="Times New Roman" w:hAnsiTheme="majorHAnsi" w:cstheme="majorHAnsi"/>
                <w:color w:val="000000"/>
                <w:lang w:val="en-GB"/>
              </w:rPr>
            </w:pPr>
          </w:p>
        </w:tc>
      </w:tr>
      <w:tr w:rsidR="00C16D94" w:rsidRPr="008D12CD" w14:paraId="28F74425" w14:textId="77777777" w:rsidTr="00EF5FFD">
        <w:trPr>
          <w:gridBefore w:val="1"/>
          <w:wBefore w:w="226" w:type="dxa"/>
          <w:trHeight w:val="300"/>
        </w:trPr>
        <w:tc>
          <w:tcPr>
            <w:tcW w:w="10524" w:type="dxa"/>
            <w:gridSpan w:val="5"/>
            <w:vMerge/>
            <w:tcBorders>
              <w:top w:val="single" w:sz="4" w:space="0" w:color="auto"/>
              <w:left w:val="single" w:sz="4" w:space="0" w:color="auto"/>
              <w:bottom w:val="single" w:sz="4" w:space="0" w:color="auto"/>
              <w:right w:val="single" w:sz="4" w:space="0" w:color="auto"/>
            </w:tcBorders>
            <w:vAlign w:val="center"/>
          </w:tcPr>
          <w:p w14:paraId="1FFC312D" w14:textId="77777777" w:rsidR="00C16D94" w:rsidRPr="008D12CD" w:rsidRDefault="00C16D94" w:rsidP="00C16D94">
            <w:pPr>
              <w:ind w:left="142" w:hanging="142"/>
              <w:rPr>
                <w:rFonts w:asciiTheme="majorHAnsi" w:eastAsia="Times New Roman" w:hAnsiTheme="majorHAnsi" w:cstheme="majorHAnsi"/>
                <w:color w:val="000000"/>
                <w:lang w:val="en-GB"/>
              </w:rPr>
            </w:pPr>
          </w:p>
        </w:tc>
      </w:tr>
      <w:tr w:rsidR="00C16D94" w:rsidRPr="008D12CD" w14:paraId="1D4B05C8" w14:textId="77777777" w:rsidTr="00EF5FFD">
        <w:trPr>
          <w:gridBefore w:val="1"/>
          <w:wBefore w:w="226" w:type="dxa"/>
          <w:trHeight w:val="300"/>
        </w:trPr>
        <w:tc>
          <w:tcPr>
            <w:tcW w:w="10524" w:type="dxa"/>
            <w:gridSpan w:val="5"/>
            <w:vMerge/>
            <w:tcBorders>
              <w:top w:val="single" w:sz="4" w:space="0" w:color="auto"/>
              <w:left w:val="single" w:sz="4" w:space="0" w:color="auto"/>
              <w:bottom w:val="single" w:sz="4" w:space="0" w:color="auto"/>
              <w:right w:val="single" w:sz="4" w:space="0" w:color="auto"/>
            </w:tcBorders>
            <w:vAlign w:val="center"/>
          </w:tcPr>
          <w:p w14:paraId="30FE0D25" w14:textId="77777777" w:rsidR="00C16D94" w:rsidRPr="008D12CD" w:rsidRDefault="00C16D94" w:rsidP="00C16D94">
            <w:pPr>
              <w:ind w:left="142" w:hanging="142"/>
              <w:rPr>
                <w:rFonts w:asciiTheme="majorHAnsi" w:eastAsia="Times New Roman" w:hAnsiTheme="majorHAnsi" w:cstheme="majorHAnsi"/>
                <w:color w:val="000000"/>
                <w:lang w:val="en-GB"/>
              </w:rPr>
            </w:pPr>
          </w:p>
        </w:tc>
      </w:tr>
    </w:tbl>
    <w:p w14:paraId="62298C1E" w14:textId="77777777" w:rsidR="00DF68A9" w:rsidRPr="008D12CD" w:rsidRDefault="00DF68A9" w:rsidP="00DF68A9">
      <w:pPr>
        <w:ind w:left="142" w:hanging="142"/>
        <w:rPr>
          <w:rFonts w:asciiTheme="majorHAnsi" w:hAnsiTheme="majorHAnsi" w:cstheme="majorHAnsi"/>
        </w:rPr>
      </w:pPr>
    </w:p>
    <w:p w14:paraId="372AA0B4" w14:textId="77777777" w:rsidR="00DF68A9" w:rsidRPr="008D12CD" w:rsidRDefault="00DF68A9" w:rsidP="00DF68A9">
      <w:pPr>
        <w:ind w:left="142" w:hanging="142"/>
        <w:rPr>
          <w:rFonts w:asciiTheme="majorHAnsi" w:hAnsiTheme="majorHAnsi" w:cstheme="majorHAnsi"/>
        </w:rPr>
      </w:pPr>
    </w:p>
    <w:sectPr w:rsidR="00DF68A9" w:rsidRPr="008D12CD" w:rsidSect="00CB733F">
      <w:pgSz w:w="11900" w:h="16840"/>
      <w:pgMar w:top="333" w:right="0" w:bottom="426" w:left="96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ED5E8" w14:textId="77777777" w:rsidR="00D7362B" w:rsidRDefault="00D7362B" w:rsidP="00DF68A9">
      <w:r>
        <w:separator/>
      </w:r>
    </w:p>
  </w:endnote>
  <w:endnote w:type="continuationSeparator" w:id="0">
    <w:p w14:paraId="0AA2AB11" w14:textId="77777777" w:rsidR="00D7362B" w:rsidRDefault="00D7362B" w:rsidP="00DF6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297B8" w14:textId="77777777" w:rsidR="00D7362B" w:rsidRDefault="00D7362B" w:rsidP="00DF68A9">
      <w:r>
        <w:separator/>
      </w:r>
    </w:p>
  </w:footnote>
  <w:footnote w:type="continuationSeparator" w:id="0">
    <w:p w14:paraId="3D4F177C" w14:textId="77777777" w:rsidR="00D7362B" w:rsidRDefault="00D7362B" w:rsidP="00DF6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B3214"/>
    <w:multiLevelType w:val="hybridMultilevel"/>
    <w:tmpl w:val="0712A688"/>
    <w:lvl w:ilvl="0" w:tplc="13D086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C6230B"/>
    <w:multiLevelType w:val="hybridMultilevel"/>
    <w:tmpl w:val="2EE8D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7055E5"/>
    <w:multiLevelType w:val="hybridMultilevel"/>
    <w:tmpl w:val="0AEC8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CF1A8D"/>
    <w:multiLevelType w:val="hybridMultilevel"/>
    <w:tmpl w:val="A98E2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D27240"/>
    <w:multiLevelType w:val="hybridMultilevel"/>
    <w:tmpl w:val="A8C62D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6606F5B"/>
    <w:multiLevelType w:val="hybridMultilevel"/>
    <w:tmpl w:val="A80A3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BF2513"/>
    <w:multiLevelType w:val="hybridMultilevel"/>
    <w:tmpl w:val="A3301280"/>
    <w:lvl w:ilvl="0" w:tplc="31109C40">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7" w15:restartNumberingAfterBreak="0">
    <w:nsid w:val="702A5CA9"/>
    <w:multiLevelType w:val="hybridMultilevel"/>
    <w:tmpl w:val="520E5536"/>
    <w:lvl w:ilvl="0" w:tplc="4F46C83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1D"/>
    <w:rsid w:val="000148B5"/>
    <w:rsid w:val="000365BB"/>
    <w:rsid w:val="000678BD"/>
    <w:rsid w:val="000A6E9A"/>
    <w:rsid w:val="000C22CB"/>
    <w:rsid w:val="000D6682"/>
    <w:rsid w:val="000F44BD"/>
    <w:rsid w:val="00123E00"/>
    <w:rsid w:val="00127C29"/>
    <w:rsid w:val="00140498"/>
    <w:rsid w:val="001D6711"/>
    <w:rsid w:val="00225A76"/>
    <w:rsid w:val="00232720"/>
    <w:rsid w:val="0025573B"/>
    <w:rsid w:val="002E2199"/>
    <w:rsid w:val="002E2982"/>
    <w:rsid w:val="00305CDB"/>
    <w:rsid w:val="003134EA"/>
    <w:rsid w:val="003A191B"/>
    <w:rsid w:val="003A2BC4"/>
    <w:rsid w:val="003A6FC7"/>
    <w:rsid w:val="003F2B76"/>
    <w:rsid w:val="004D57E1"/>
    <w:rsid w:val="004E6BE6"/>
    <w:rsid w:val="004F645F"/>
    <w:rsid w:val="004F7ACB"/>
    <w:rsid w:val="00521F45"/>
    <w:rsid w:val="005357DF"/>
    <w:rsid w:val="00541805"/>
    <w:rsid w:val="00564337"/>
    <w:rsid w:val="005D4C72"/>
    <w:rsid w:val="005E0E10"/>
    <w:rsid w:val="006169D1"/>
    <w:rsid w:val="006C2D3B"/>
    <w:rsid w:val="006E76D4"/>
    <w:rsid w:val="00702A2F"/>
    <w:rsid w:val="00733A0D"/>
    <w:rsid w:val="00734ABB"/>
    <w:rsid w:val="00780A82"/>
    <w:rsid w:val="0079557F"/>
    <w:rsid w:val="00826C7D"/>
    <w:rsid w:val="0084620E"/>
    <w:rsid w:val="00850FB3"/>
    <w:rsid w:val="00853EA9"/>
    <w:rsid w:val="00862BCC"/>
    <w:rsid w:val="00867E59"/>
    <w:rsid w:val="00877745"/>
    <w:rsid w:val="00895EDF"/>
    <w:rsid w:val="008D12CD"/>
    <w:rsid w:val="009169E5"/>
    <w:rsid w:val="0095221D"/>
    <w:rsid w:val="009659C3"/>
    <w:rsid w:val="00A33F35"/>
    <w:rsid w:val="00A60E0E"/>
    <w:rsid w:val="00AA319E"/>
    <w:rsid w:val="00AC06F4"/>
    <w:rsid w:val="00AD4CCA"/>
    <w:rsid w:val="00B02406"/>
    <w:rsid w:val="00B26241"/>
    <w:rsid w:val="00B50320"/>
    <w:rsid w:val="00B51518"/>
    <w:rsid w:val="00B53D07"/>
    <w:rsid w:val="00B65743"/>
    <w:rsid w:val="00B66A4C"/>
    <w:rsid w:val="00B81960"/>
    <w:rsid w:val="00BB1EDF"/>
    <w:rsid w:val="00BD1743"/>
    <w:rsid w:val="00BE0F82"/>
    <w:rsid w:val="00C16D94"/>
    <w:rsid w:val="00C41C7C"/>
    <w:rsid w:val="00C6191E"/>
    <w:rsid w:val="00CB483F"/>
    <w:rsid w:val="00CB733F"/>
    <w:rsid w:val="00CD370B"/>
    <w:rsid w:val="00D7362B"/>
    <w:rsid w:val="00D80D25"/>
    <w:rsid w:val="00DA5032"/>
    <w:rsid w:val="00DB475D"/>
    <w:rsid w:val="00DD34FB"/>
    <w:rsid w:val="00DF68A9"/>
    <w:rsid w:val="00E245D3"/>
    <w:rsid w:val="00E9032B"/>
    <w:rsid w:val="00EA242F"/>
    <w:rsid w:val="00EE2671"/>
    <w:rsid w:val="00EF5FFD"/>
    <w:rsid w:val="00F2435B"/>
    <w:rsid w:val="00F24869"/>
    <w:rsid w:val="00F53451"/>
    <w:rsid w:val="00F71D39"/>
    <w:rsid w:val="00FB5A24"/>
    <w:rsid w:val="00FB735C"/>
    <w:rsid w:val="00FF03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8FE"/>
  <w15:docId w15:val="{28E634FD-40EB-49E9-B8BE-3118464B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8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03BD"/>
    <w:rPr>
      <w:rFonts w:ascii="Lucida Grande" w:hAnsi="Lucida Grande"/>
      <w:sz w:val="18"/>
      <w:szCs w:val="18"/>
    </w:rPr>
  </w:style>
  <w:style w:type="character" w:customStyle="1" w:styleId="BalloonTextChar">
    <w:name w:val="Balloon Text Char"/>
    <w:link w:val="BalloonText"/>
    <w:uiPriority w:val="99"/>
    <w:semiHidden/>
    <w:rsid w:val="00C103BD"/>
    <w:rPr>
      <w:rFonts w:ascii="Lucida Grande" w:hAnsi="Lucida Grande"/>
      <w:sz w:val="18"/>
      <w:szCs w:val="18"/>
      <w:lang w:val="en-AU"/>
    </w:rPr>
  </w:style>
  <w:style w:type="paragraph" w:styleId="Header">
    <w:name w:val="header"/>
    <w:basedOn w:val="Normal"/>
    <w:link w:val="HeaderChar"/>
    <w:uiPriority w:val="99"/>
    <w:unhideWhenUsed/>
    <w:rsid w:val="00CB74C0"/>
    <w:pPr>
      <w:tabs>
        <w:tab w:val="center" w:pos="4513"/>
        <w:tab w:val="right" w:pos="9026"/>
      </w:tabs>
    </w:pPr>
  </w:style>
  <w:style w:type="character" w:customStyle="1" w:styleId="HeaderChar">
    <w:name w:val="Header Char"/>
    <w:link w:val="Header"/>
    <w:uiPriority w:val="99"/>
    <w:rsid w:val="00CB74C0"/>
    <w:rPr>
      <w:lang w:val="en-AU"/>
    </w:rPr>
  </w:style>
  <w:style w:type="paragraph" w:styleId="Footer">
    <w:name w:val="footer"/>
    <w:basedOn w:val="Normal"/>
    <w:link w:val="FooterChar"/>
    <w:uiPriority w:val="99"/>
    <w:unhideWhenUsed/>
    <w:rsid w:val="00CB74C0"/>
    <w:pPr>
      <w:tabs>
        <w:tab w:val="center" w:pos="4513"/>
        <w:tab w:val="right" w:pos="9026"/>
      </w:tabs>
    </w:pPr>
  </w:style>
  <w:style w:type="character" w:customStyle="1" w:styleId="FooterChar">
    <w:name w:val="Footer Char"/>
    <w:link w:val="Footer"/>
    <w:uiPriority w:val="99"/>
    <w:rsid w:val="00CB74C0"/>
    <w:rPr>
      <w:lang w:val="en-AU"/>
    </w:rPr>
  </w:style>
  <w:style w:type="paragraph" w:styleId="NoSpacing">
    <w:name w:val="No Spacing"/>
    <w:uiPriority w:val="1"/>
    <w:qFormat/>
    <w:rsid w:val="00541805"/>
    <w:rPr>
      <w:rFonts w:ascii="Times New Roman" w:eastAsia="Times New Roman" w:hAnsi="Times New Roman"/>
      <w:sz w:val="24"/>
      <w:szCs w:val="24"/>
      <w:lang w:eastAsia="en-AU"/>
    </w:rPr>
  </w:style>
  <w:style w:type="character" w:customStyle="1" w:styleId="ListItemChar">
    <w:name w:val="List Item Char"/>
    <w:basedOn w:val="DefaultParagraphFont"/>
    <w:link w:val="ListItem"/>
    <w:locked/>
    <w:rsid w:val="00E9032B"/>
    <w:rPr>
      <w:rFonts w:ascii="Franklin Gothic Book" w:eastAsiaTheme="minorHAnsi" w:hAnsi="Franklin Gothic Book" w:cs="Calibri"/>
      <w:iCs/>
      <w:lang w:eastAsia="en-AU"/>
    </w:rPr>
  </w:style>
  <w:style w:type="paragraph" w:customStyle="1" w:styleId="ListItem">
    <w:name w:val="List Item"/>
    <w:basedOn w:val="Normal"/>
    <w:link w:val="ListItemChar"/>
    <w:qFormat/>
    <w:rsid w:val="00E9032B"/>
    <w:pPr>
      <w:numPr>
        <w:numId w:val="1"/>
      </w:numPr>
      <w:spacing w:before="120" w:line="276" w:lineRule="auto"/>
    </w:pPr>
    <w:rPr>
      <w:rFonts w:ascii="Franklin Gothic Book" w:eastAsiaTheme="minorHAnsi" w:hAnsi="Franklin Gothic Book" w:cs="Calibri"/>
      <w:iCs/>
      <w:sz w:val="20"/>
      <w:szCs w:val="20"/>
      <w:lang w:eastAsia="en-AU"/>
    </w:rPr>
  </w:style>
  <w:style w:type="paragraph" w:styleId="ListParagraph">
    <w:name w:val="List Paragraph"/>
    <w:basedOn w:val="Normal"/>
    <w:uiPriority w:val="72"/>
    <w:rsid w:val="00C41C7C"/>
    <w:pPr>
      <w:ind w:left="720"/>
      <w:contextualSpacing/>
    </w:pPr>
  </w:style>
  <w:style w:type="paragraph" w:customStyle="1" w:styleId="Paragraph">
    <w:name w:val="Paragraph"/>
    <w:basedOn w:val="Normal"/>
    <w:link w:val="ParagraphChar"/>
    <w:qFormat/>
    <w:rsid w:val="005357DF"/>
    <w:pPr>
      <w:spacing w:before="120" w:after="120" w:line="276" w:lineRule="auto"/>
    </w:pPr>
    <w:rPr>
      <w:rFonts w:ascii="Calibri" w:eastAsiaTheme="minorHAnsi" w:hAnsi="Calibri" w:cs="Calibri"/>
      <w:sz w:val="22"/>
      <w:szCs w:val="22"/>
      <w:lang w:eastAsia="en-AU"/>
    </w:rPr>
  </w:style>
  <w:style w:type="character" w:customStyle="1" w:styleId="ParagraphChar">
    <w:name w:val="Paragraph Char"/>
    <w:basedOn w:val="DefaultParagraphFont"/>
    <w:link w:val="Paragraph"/>
    <w:locked/>
    <w:rsid w:val="005357DF"/>
    <w:rPr>
      <w:rFonts w:ascii="Calibri" w:eastAsiaTheme="minorHAnsi" w:hAnsi="Calibri" w:cs="Calibri"/>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22003">
      <w:bodyDiv w:val="1"/>
      <w:marLeft w:val="0"/>
      <w:marRight w:val="0"/>
      <w:marTop w:val="0"/>
      <w:marBottom w:val="0"/>
      <w:divBdr>
        <w:top w:val="none" w:sz="0" w:space="0" w:color="auto"/>
        <w:left w:val="none" w:sz="0" w:space="0" w:color="auto"/>
        <w:bottom w:val="none" w:sz="0" w:space="0" w:color="auto"/>
        <w:right w:val="none" w:sz="0" w:space="0" w:color="auto"/>
      </w:divBdr>
    </w:div>
    <w:div w:id="107310562">
      <w:bodyDiv w:val="1"/>
      <w:marLeft w:val="0"/>
      <w:marRight w:val="0"/>
      <w:marTop w:val="0"/>
      <w:marBottom w:val="0"/>
      <w:divBdr>
        <w:top w:val="none" w:sz="0" w:space="0" w:color="auto"/>
        <w:left w:val="none" w:sz="0" w:space="0" w:color="auto"/>
        <w:bottom w:val="none" w:sz="0" w:space="0" w:color="auto"/>
        <w:right w:val="none" w:sz="0" w:space="0" w:color="auto"/>
      </w:divBdr>
    </w:div>
    <w:div w:id="404453064">
      <w:bodyDiv w:val="1"/>
      <w:marLeft w:val="0"/>
      <w:marRight w:val="0"/>
      <w:marTop w:val="0"/>
      <w:marBottom w:val="0"/>
      <w:divBdr>
        <w:top w:val="none" w:sz="0" w:space="0" w:color="auto"/>
        <w:left w:val="none" w:sz="0" w:space="0" w:color="auto"/>
        <w:bottom w:val="none" w:sz="0" w:space="0" w:color="auto"/>
        <w:right w:val="none" w:sz="0" w:space="0" w:color="auto"/>
      </w:divBdr>
    </w:div>
    <w:div w:id="1363049881">
      <w:bodyDiv w:val="1"/>
      <w:marLeft w:val="0"/>
      <w:marRight w:val="0"/>
      <w:marTop w:val="0"/>
      <w:marBottom w:val="0"/>
      <w:divBdr>
        <w:top w:val="none" w:sz="0" w:space="0" w:color="auto"/>
        <w:left w:val="none" w:sz="0" w:space="0" w:color="auto"/>
        <w:bottom w:val="none" w:sz="0" w:space="0" w:color="auto"/>
        <w:right w:val="none" w:sz="0" w:space="0" w:color="auto"/>
      </w:divBdr>
    </w:div>
    <w:div w:id="1380592419">
      <w:bodyDiv w:val="1"/>
      <w:marLeft w:val="0"/>
      <w:marRight w:val="0"/>
      <w:marTop w:val="0"/>
      <w:marBottom w:val="0"/>
      <w:divBdr>
        <w:top w:val="none" w:sz="0" w:space="0" w:color="auto"/>
        <w:left w:val="none" w:sz="0" w:space="0" w:color="auto"/>
        <w:bottom w:val="none" w:sz="0" w:space="0" w:color="auto"/>
        <w:right w:val="none" w:sz="0" w:space="0" w:color="auto"/>
      </w:divBdr>
    </w:div>
    <w:div w:id="1572690412">
      <w:bodyDiv w:val="1"/>
      <w:marLeft w:val="0"/>
      <w:marRight w:val="0"/>
      <w:marTop w:val="0"/>
      <w:marBottom w:val="0"/>
      <w:divBdr>
        <w:top w:val="none" w:sz="0" w:space="0" w:color="auto"/>
        <w:left w:val="none" w:sz="0" w:space="0" w:color="auto"/>
        <w:bottom w:val="none" w:sz="0" w:space="0" w:color="auto"/>
        <w:right w:val="none" w:sz="0" w:space="0" w:color="auto"/>
      </w:divBdr>
    </w:div>
    <w:div w:id="2091727706">
      <w:bodyDiv w:val="1"/>
      <w:marLeft w:val="0"/>
      <w:marRight w:val="0"/>
      <w:marTop w:val="0"/>
      <w:marBottom w:val="0"/>
      <w:divBdr>
        <w:top w:val="none" w:sz="0" w:space="0" w:color="auto"/>
        <w:left w:val="none" w:sz="0" w:space="0" w:color="auto"/>
        <w:bottom w:val="none" w:sz="0" w:space="0" w:color="auto"/>
        <w:right w:val="none" w:sz="0" w:space="0" w:color="auto"/>
      </w:divBdr>
    </w:div>
    <w:div w:id="20998609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1021</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D'CRUZ Jijy [Safety Bay Senior High School]</cp:lastModifiedBy>
  <cp:revision>2</cp:revision>
  <cp:lastPrinted>2022-03-23T03:32:00Z</cp:lastPrinted>
  <dcterms:created xsi:type="dcterms:W3CDTF">2022-09-15T17:18:00Z</dcterms:created>
  <dcterms:modified xsi:type="dcterms:W3CDTF">2022-09-15T17:18:00Z</dcterms:modified>
</cp:coreProperties>
</file>