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29" w:rsidRPr="003B089E" w:rsidRDefault="00C10C29" w:rsidP="00C10C29">
      <w:pPr>
        <w:jc w:val="center"/>
        <w:rPr>
          <w:rFonts w:cstheme="minorHAnsi"/>
          <w:sz w:val="36"/>
        </w:rPr>
      </w:pPr>
      <w:r w:rsidRPr="003B089E">
        <w:rPr>
          <w:rFonts w:cstheme="minorHAnsi"/>
          <w:sz w:val="36"/>
        </w:rPr>
        <w:t>YEAR 12 ATAR ECONOMICS</w:t>
      </w:r>
    </w:p>
    <w:p w:rsidR="00C10C29" w:rsidRPr="003B089E" w:rsidRDefault="00C10C29" w:rsidP="00C10C29">
      <w:pPr>
        <w:rPr>
          <w:rFonts w:cstheme="minorHAnsi"/>
          <w:sz w:val="28"/>
          <w:u w:val="single"/>
        </w:rPr>
      </w:pPr>
      <w:r w:rsidRPr="003B089E">
        <w:rPr>
          <w:rFonts w:cstheme="minorHAnsi"/>
          <w:sz w:val="28"/>
          <w:u w:val="single"/>
        </w:rPr>
        <w:t>Assessment Details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>Unit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3B089E">
        <w:rPr>
          <w:rFonts w:eastAsia="Times New Roman" w:cstheme="minorHAnsi"/>
          <w:bCs/>
          <w:sz w:val="24"/>
        </w:rPr>
        <w:t xml:space="preserve">Unit 3, Australia and the Global Economy, </w:t>
      </w:r>
      <w:r w:rsidR="00A36E3C">
        <w:rPr>
          <w:rFonts w:eastAsia="Times New Roman" w:cstheme="minorHAnsi"/>
          <w:bCs/>
          <w:sz w:val="24"/>
        </w:rPr>
        <w:t>Exchange Rates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>Schedule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3B089E">
        <w:rPr>
          <w:rFonts w:eastAsia="Times New Roman" w:cstheme="minorHAnsi"/>
          <w:bCs/>
          <w:sz w:val="24"/>
        </w:rPr>
        <w:t>Ta</w:t>
      </w:r>
      <w:r w:rsidR="00A36E3C">
        <w:rPr>
          <w:rFonts w:eastAsia="Times New Roman" w:cstheme="minorHAnsi"/>
          <w:bCs/>
          <w:sz w:val="24"/>
        </w:rPr>
        <w:t>sk 4, Semester 1, Term 2, Week 1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>Assessment Type</w:t>
      </w:r>
    </w:p>
    <w:p w:rsidR="00C10C29" w:rsidRDefault="00A36E3C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A36E3C">
        <w:rPr>
          <w:rFonts w:eastAsia="Times New Roman" w:cstheme="minorHAnsi"/>
          <w:bCs/>
          <w:sz w:val="24"/>
        </w:rPr>
        <w:t>Extended answer</w:t>
      </w:r>
    </w:p>
    <w:p w:rsidR="00A36E3C" w:rsidRPr="003B089E" w:rsidRDefault="00A36E3C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>Task weighting</w:t>
      </w:r>
      <w:r w:rsidRPr="003B089E">
        <w:rPr>
          <w:rFonts w:eastAsia="Times New Roman" w:cstheme="minorHAnsi"/>
          <w:bCs/>
          <w:sz w:val="24"/>
        </w:rPr>
        <w:t xml:space="preserve">  </w:t>
      </w:r>
    </w:p>
    <w:p w:rsidR="00C10C29" w:rsidRPr="003B089E" w:rsidRDefault="00A36E3C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>
        <w:rPr>
          <w:rFonts w:eastAsia="Times New Roman" w:cstheme="minorHAnsi"/>
          <w:bCs/>
          <w:sz w:val="24"/>
        </w:rPr>
        <w:t>7.</w:t>
      </w:r>
      <w:r w:rsidR="00C10C29" w:rsidRPr="003B089E">
        <w:rPr>
          <w:rFonts w:eastAsia="Times New Roman" w:cstheme="minorHAnsi"/>
          <w:bCs/>
          <w:sz w:val="24"/>
        </w:rPr>
        <w:t>5% of the school mark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 xml:space="preserve">Conditions 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sz w:val="24"/>
        </w:rPr>
        <w:t>In class under test conditions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 xml:space="preserve">Duration  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3B089E">
        <w:rPr>
          <w:rFonts w:eastAsia="Times New Roman" w:cstheme="minorHAnsi"/>
          <w:bCs/>
          <w:sz w:val="24"/>
        </w:rPr>
        <w:t>50 minutes + 5 minutes reading time = 55 minutes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 xml:space="preserve">Contents  </w:t>
      </w:r>
    </w:p>
    <w:p w:rsidR="00C10C29" w:rsidRPr="003B089E" w:rsidRDefault="00A36E3C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>
        <w:rPr>
          <w:rFonts w:eastAsia="Times New Roman" w:cstheme="minorHAnsi"/>
          <w:bCs/>
          <w:sz w:val="24"/>
        </w:rPr>
        <w:t>One extended answer question with two parts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>Structure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219"/>
        <w:gridCol w:w="1524"/>
        <w:gridCol w:w="1426"/>
        <w:gridCol w:w="1547"/>
        <w:gridCol w:w="1418"/>
        <w:gridCol w:w="1492"/>
      </w:tblGrid>
      <w:tr w:rsidR="00C10C29" w:rsidRPr="003B089E" w:rsidTr="00AD3176">
        <w:trPr>
          <w:trHeight w:val="1100"/>
        </w:trPr>
        <w:tc>
          <w:tcPr>
            <w:tcW w:w="2219" w:type="dxa"/>
          </w:tcPr>
          <w:p w:rsidR="00C10C29" w:rsidRPr="003B089E" w:rsidRDefault="00C10C29" w:rsidP="006170AD">
            <w:pPr>
              <w:jc w:val="center"/>
              <w:rPr>
                <w:rFonts w:cstheme="minorHAnsi"/>
                <w:sz w:val="24"/>
              </w:rPr>
            </w:pPr>
            <w:r w:rsidRPr="003B089E">
              <w:rPr>
                <w:rFonts w:cstheme="minorHAnsi"/>
                <w:sz w:val="24"/>
              </w:rPr>
              <w:t>Section</w:t>
            </w:r>
          </w:p>
        </w:tc>
        <w:tc>
          <w:tcPr>
            <w:tcW w:w="1524" w:type="dxa"/>
          </w:tcPr>
          <w:p w:rsidR="00C10C29" w:rsidRPr="003B089E" w:rsidRDefault="00C10C29" w:rsidP="006170AD">
            <w:pPr>
              <w:jc w:val="center"/>
              <w:rPr>
                <w:rFonts w:cstheme="minorHAnsi"/>
                <w:sz w:val="24"/>
              </w:rPr>
            </w:pPr>
            <w:r w:rsidRPr="003B089E">
              <w:rPr>
                <w:rFonts w:cstheme="minorHAnsi"/>
                <w:sz w:val="24"/>
              </w:rPr>
              <w:t>Number of questions available</w:t>
            </w:r>
          </w:p>
        </w:tc>
        <w:tc>
          <w:tcPr>
            <w:tcW w:w="1426" w:type="dxa"/>
          </w:tcPr>
          <w:p w:rsidR="00C10C29" w:rsidRPr="003B089E" w:rsidRDefault="00C10C29" w:rsidP="006170AD">
            <w:pPr>
              <w:jc w:val="center"/>
              <w:rPr>
                <w:rFonts w:cstheme="minorHAnsi"/>
                <w:sz w:val="24"/>
              </w:rPr>
            </w:pPr>
            <w:r w:rsidRPr="003B089E">
              <w:rPr>
                <w:rFonts w:cstheme="minorHAnsi"/>
                <w:sz w:val="24"/>
              </w:rPr>
              <w:t>Number of questions to be answered</w:t>
            </w:r>
          </w:p>
        </w:tc>
        <w:tc>
          <w:tcPr>
            <w:tcW w:w="1547" w:type="dxa"/>
          </w:tcPr>
          <w:p w:rsidR="00C10C29" w:rsidRPr="003B089E" w:rsidRDefault="00C10C29" w:rsidP="006170AD">
            <w:pPr>
              <w:jc w:val="center"/>
              <w:rPr>
                <w:rFonts w:cstheme="minorHAnsi"/>
                <w:sz w:val="24"/>
              </w:rPr>
            </w:pPr>
            <w:r w:rsidRPr="003B089E">
              <w:rPr>
                <w:rFonts w:cstheme="minorHAnsi"/>
                <w:sz w:val="24"/>
              </w:rPr>
              <w:t>Suggested working time (minutes)</w:t>
            </w:r>
          </w:p>
        </w:tc>
        <w:tc>
          <w:tcPr>
            <w:tcW w:w="1418" w:type="dxa"/>
          </w:tcPr>
          <w:p w:rsidR="00C10C29" w:rsidRPr="003B089E" w:rsidRDefault="00C10C29" w:rsidP="006170AD">
            <w:pPr>
              <w:jc w:val="center"/>
              <w:rPr>
                <w:rFonts w:cstheme="minorHAnsi"/>
                <w:sz w:val="24"/>
              </w:rPr>
            </w:pPr>
            <w:r w:rsidRPr="003B089E">
              <w:rPr>
                <w:rFonts w:cstheme="minorHAnsi"/>
                <w:sz w:val="24"/>
              </w:rPr>
              <w:t>Marks available</w:t>
            </w:r>
          </w:p>
        </w:tc>
        <w:tc>
          <w:tcPr>
            <w:tcW w:w="1492" w:type="dxa"/>
          </w:tcPr>
          <w:p w:rsidR="00C10C29" w:rsidRPr="003B089E" w:rsidRDefault="00C10C29" w:rsidP="006170AD">
            <w:pPr>
              <w:jc w:val="center"/>
              <w:rPr>
                <w:rFonts w:cstheme="minorHAnsi"/>
                <w:sz w:val="24"/>
              </w:rPr>
            </w:pPr>
            <w:r w:rsidRPr="003B089E">
              <w:rPr>
                <w:rFonts w:cstheme="minorHAnsi"/>
                <w:sz w:val="24"/>
              </w:rPr>
              <w:t>Percentage of assessment</w:t>
            </w:r>
          </w:p>
        </w:tc>
      </w:tr>
      <w:tr w:rsidR="00C10C29" w:rsidRPr="003B089E" w:rsidTr="00AD3176">
        <w:trPr>
          <w:trHeight w:val="825"/>
        </w:trPr>
        <w:tc>
          <w:tcPr>
            <w:tcW w:w="2219" w:type="dxa"/>
            <w:vAlign w:val="center"/>
          </w:tcPr>
          <w:p w:rsidR="00C10C29" w:rsidRPr="003B089E" w:rsidRDefault="00C10C29" w:rsidP="00AD3176">
            <w:pPr>
              <w:jc w:val="center"/>
              <w:rPr>
                <w:rFonts w:cstheme="minorHAnsi"/>
                <w:sz w:val="24"/>
              </w:rPr>
            </w:pPr>
            <w:r w:rsidRPr="003B089E">
              <w:rPr>
                <w:rFonts w:cstheme="minorHAnsi"/>
                <w:sz w:val="24"/>
              </w:rPr>
              <w:t xml:space="preserve">Section One: </w:t>
            </w:r>
            <w:r w:rsidR="00AD3176">
              <w:rPr>
                <w:rFonts w:cstheme="minorHAnsi"/>
                <w:sz w:val="24"/>
              </w:rPr>
              <w:t>Extended Answer</w:t>
            </w:r>
          </w:p>
        </w:tc>
        <w:tc>
          <w:tcPr>
            <w:tcW w:w="1524" w:type="dxa"/>
            <w:vAlign w:val="center"/>
          </w:tcPr>
          <w:p w:rsidR="00C10C29" w:rsidRPr="003B089E" w:rsidRDefault="00AD3176" w:rsidP="006170A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426" w:type="dxa"/>
            <w:vAlign w:val="center"/>
          </w:tcPr>
          <w:p w:rsidR="00C10C29" w:rsidRPr="003B089E" w:rsidRDefault="00AD3176" w:rsidP="006170A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547" w:type="dxa"/>
            <w:vAlign w:val="center"/>
          </w:tcPr>
          <w:p w:rsidR="00C10C29" w:rsidRPr="003B089E" w:rsidRDefault="00AD3176" w:rsidP="006170A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10C29" w:rsidRPr="003B089E" w:rsidRDefault="00AD3176" w:rsidP="006170A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</w:t>
            </w:r>
          </w:p>
        </w:tc>
        <w:tc>
          <w:tcPr>
            <w:tcW w:w="1492" w:type="dxa"/>
            <w:vAlign w:val="center"/>
          </w:tcPr>
          <w:p w:rsidR="00C10C29" w:rsidRPr="003B089E" w:rsidRDefault="00AD3176" w:rsidP="006170A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100%</w:t>
            </w:r>
          </w:p>
        </w:tc>
      </w:tr>
    </w:tbl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3B089E">
        <w:rPr>
          <w:rFonts w:eastAsia="Times New Roman" w:cstheme="minorHAnsi"/>
          <w:b/>
          <w:bCs/>
          <w:sz w:val="24"/>
        </w:rPr>
        <w:t>Items Allowed</w:t>
      </w:r>
    </w:p>
    <w:p w:rsidR="00C10C29" w:rsidRPr="003B089E" w:rsidRDefault="00C10C29" w:rsidP="00C10C29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3B089E">
        <w:rPr>
          <w:rFonts w:eastAsia="Times New Roman" w:cstheme="minorHAnsi"/>
          <w:bCs/>
          <w:sz w:val="24"/>
        </w:rPr>
        <w:t>Pens (blue / black preferred), pencils (including coloured), sharpener, correction fluid / tape, eraser, ruler, highlighters and non – programmable calculators approved for use in the WACE examinations.</w:t>
      </w:r>
    </w:p>
    <w:p w:rsidR="00C10C29" w:rsidRPr="003B089E" w:rsidRDefault="00C10C29" w:rsidP="00C10C29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</w:p>
    <w:p w:rsidR="00C10C29" w:rsidRPr="003B089E" w:rsidRDefault="00C10C29" w:rsidP="00C10C29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</w:p>
    <w:p w:rsidR="00C10C29" w:rsidRPr="003B089E" w:rsidRDefault="00C10C29" w:rsidP="00C10C29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</w:p>
    <w:p w:rsidR="00C10C29" w:rsidRPr="003B089E" w:rsidRDefault="00C10C29" w:rsidP="00C10C29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  <w:r w:rsidRPr="003B089E">
        <w:rPr>
          <w:rFonts w:eastAsia="Times New Roman" w:cstheme="minorHAnsi"/>
          <w:sz w:val="36"/>
        </w:rPr>
        <w:t>REMEMBER TO USE YOUR READING TIME EFFECTIVELY!</w:t>
      </w:r>
    </w:p>
    <w:p w:rsidR="00C10C29" w:rsidRPr="003B089E" w:rsidRDefault="00C10C29" w:rsidP="00C10C29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</w:p>
    <w:p w:rsidR="00C10C29" w:rsidRPr="003B089E" w:rsidRDefault="00C10C29" w:rsidP="00C10C29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  <w:r w:rsidRPr="003B089E">
        <w:rPr>
          <w:rFonts w:eastAsia="Times New Roman" w:cstheme="minorHAnsi"/>
          <w:sz w:val="36"/>
        </w:rPr>
        <w:t>GOOD LUCK!</w:t>
      </w:r>
    </w:p>
    <w:p w:rsidR="00C32305" w:rsidRPr="003B089E" w:rsidRDefault="00C32305">
      <w:pPr>
        <w:rPr>
          <w:rFonts w:cstheme="minorHAnsi"/>
          <w:b/>
          <w:sz w:val="24"/>
          <w:szCs w:val="24"/>
        </w:rPr>
      </w:pPr>
    </w:p>
    <w:p w:rsidR="00C32305" w:rsidRPr="003B089E" w:rsidRDefault="00C32305">
      <w:pPr>
        <w:rPr>
          <w:rFonts w:cstheme="minorHAnsi"/>
          <w:b/>
          <w:sz w:val="24"/>
          <w:szCs w:val="24"/>
        </w:rPr>
      </w:pPr>
    </w:p>
    <w:p w:rsidR="00AD3176" w:rsidRDefault="00AD3176">
      <w:pPr>
        <w:rPr>
          <w:rFonts w:cstheme="minorHAnsi"/>
          <w:b/>
          <w:sz w:val="24"/>
          <w:szCs w:val="24"/>
        </w:rPr>
      </w:pPr>
    </w:p>
    <w:p w:rsidR="00E5196B" w:rsidRDefault="00E5196B">
      <w:pPr>
        <w:rPr>
          <w:rFonts w:cstheme="minorHAnsi"/>
          <w:b/>
          <w:sz w:val="24"/>
          <w:szCs w:val="24"/>
        </w:rPr>
      </w:pPr>
      <w:r w:rsidRPr="003B089E">
        <w:rPr>
          <w:rFonts w:cstheme="minorHAnsi"/>
          <w:b/>
          <w:sz w:val="24"/>
          <w:szCs w:val="24"/>
        </w:rPr>
        <w:lastRenderedPageBreak/>
        <w:t xml:space="preserve">Section One – </w:t>
      </w:r>
      <w:r w:rsidR="00AD3176">
        <w:rPr>
          <w:rFonts w:cstheme="minorHAnsi"/>
          <w:b/>
          <w:sz w:val="24"/>
          <w:szCs w:val="24"/>
        </w:rPr>
        <w:t xml:space="preserve">Extended Answer </w:t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AD3176">
        <w:rPr>
          <w:rFonts w:cstheme="minorHAnsi"/>
          <w:b/>
          <w:sz w:val="24"/>
          <w:szCs w:val="24"/>
        </w:rPr>
        <w:tab/>
      </w:r>
      <w:r w:rsidR="00415DEE">
        <w:rPr>
          <w:rFonts w:cstheme="minorHAnsi"/>
          <w:b/>
          <w:sz w:val="24"/>
          <w:szCs w:val="24"/>
        </w:rPr>
        <w:tab/>
      </w:r>
      <w:r w:rsidRPr="003B089E">
        <w:rPr>
          <w:rFonts w:cstheme="minorHAnsi"/>
          <w:b/>
          <w:sz w:val="24"/>
          <w:szCs w:val="24"/>
        </w:rPr>
        <w:t>2</w:t>
      </w:r>
      <w:r w:rsidR="00AD3176">
        <w:rPr>
          <w:rFonts w:cstheme="minorHAnsi"/>
          <w:b/>
          <w:sz w:val="24"/>
          <w:szCs w:val="24"/>
        </w:rPr>
        <w:t>0</w:t>
      </w:r>
      <w:r w:rsidRPr="003B089E">
        <w:rPr>
          <w:rFonts w:cstheme="minorHAnsi"/>
          <w:b/>
          <w:sz w:val="24"/>
          <w:szCs w:val="24"/>
        </w:rPr>
        <w:t xml:space="preserve"> marks</w:t>
      </w:r>
    </w:p>
    <w:p w:rsidR="00AD3176" w:rsidRDefault="00AD317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</w:p>
    <w:p w:rsidR="00415DEE" w:rsidRPr="00AD3176" w:rsidRDefault="00AD3176" w:rsidP="00AD3176">
      <w:pPr>
        <w:rPr>
          <w:rFonts w:cstheme="minorHAnsi"/>
          <w:i/>
          <w:sz w:val="24"/>
          <w:szCs w:val="24"/>
        </w:rPr>
      </w:pPr>
      <w:r w:rsidRPr="00AD3176">
        <w:rPr>
          <w:rFonts w:cstheme="minorHAnsi"/>
          <w:i/>
          <w:sz w:val="24"/>
          <w:szCs w:val="24"/>
        </w:rPr>
        <w:t>Answer both parts of the question</w:t>
      </w:r>
    </w:p>
    <w:p w:rsidR="00DE08B0" w:rsidRPr="00DE08B0" w:rsidRDefault="00DE08B0" w:rsidP="00DE08B0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</w:rPr>
      </w:pPr>
      <w:r w:rsidRPr="00DE08B0">
        <w:rPr>
          <w:rFonts w:cstheme="minorHAnsi"/>
          <w:sz w:val="24"/>
        </w:rPr>
        <w:t xml:space="preserve">Australia's exchange rate may depreciate. Explain the impact of a depreciation of the exchange rate on the Balance of Payments and on the Australian economy.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DE08B0">
        <w:rPr>
          <w:rFonts w:cstheme="minorHAnsi"/>
          <w:sz w:val="24"/>
        </w:rPr>
        <w:t>(12 marks)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lastRenderedPageBreak/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lastRenderedPageBreak/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F13714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Default="009A77B1" w:rsidP="009A77B1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9A77B1" w:rsidRPr="00DE08B0" w:rsidRDefault="00DE08B0" w:rsidP="00DE08B0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bCs/>
          <w:sz w:val="24"/>
          <w:szCs w:val="24"/>
        </w:rPr>
      </w:pPr>
      <w:r w:rsidRPr="00DE08B0">
        <w:rPr>
          <w:rFonts w:cstheme="minorHAnsi"/>
          <w:bCs/>
          <w:sz w:val="24"/>
          <w:szCs w:val="24"/>
        </w:rPr>
        <w:lastRenderedPageBreak/>
        <w:t>Assume that the Reserve Bank of Australia (RBA) cash rate is 1.5%. The U.S. Federal reserve has increased the cash rate in the USA from 1.5% to 1.75%. Using a diagram, explain how this change to interest rates would impact on Australia’s exchange rate.</w:t>
      </w:r>
      <w:r w:rsidR="00415DEE" w:rsidRPr="00DE08B0">
        <w:rPr>
          <w:rFonts w:cstheme="minorHAnsi"/>
          <w:bCs/>
          <w:sz w:val="24"/>
          <w:szCs w:val="24"/>
        </w:rPr>
        <w:tab/>
      </w:r>
      <w:r w:rsidR="00415DEE" w:rsidRPr="00DE08B0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="00D90D29">
        <w:rPr>
          <w:rFonts w:cstheme="minorHAnsi"/>
          <w:bCs/>
          <w:sz w:val="24"/>
          <w:szCs w:val="24"/>
        </w:rPr>
        <w:t>(8</w:t>
      </w:r>
      <w:r w:rsidR="00415DEE" w:rsidRPr="00DE08B0">
        <w:rPr>
          <w:rFonts w:cstheme="minorHAnsi"/>
          <w:bCs/>
          <w:sz w:val="24"/>
          <w:szCs w:val="24"/>
        </w:rPr>
        <w:t xml:space="preserve"> marks)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lastRenderedPageBreak/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Pr="00F13714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415DEE" w:rsidRDefault="00415DEE" w:rsidP="00415DEE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lastRenderedPageBreak/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Pr="00F13714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6D0CFF" w:rsidRDefault="006D0CFF" w:rsidP="006D0CFF">
      <w:pPr>
        <w:spacing w:line="360" w:lineRule="auto"/>
        <w:rPr>
          <w:rFonts w:cstheme="minorHAnsi"/>
          <w:bCs/>
          <w:sz w:val="24"/>
          <w:szCs w:val="24"/>
        </w:rPr>
      </w:pPr>
      <w:r w:rsidRPr="00F13714">
        <w:rPr>
          <w:rFonts w:cstheme="minorHAnsi"/>
          <w:bCs/>
          <w:sz w:val="24"/>
          <w:szCs w:val="24"/>
        </w:rPr>
        <w:t>_________________________________________________________________________</w:t>
      </w:r>
      <w:r>
        <w:rPr>
          <w:rFonts w:cstheme="minorHAnsi"/>
          <w:bCs/>
          <w:sz w:val="24"/>
          <w:szCs w:val="24"/>
        </w:rPr>
        <w:t>______________</w:t>
      </w:r>
    </w:p>
    <w:p w:rsidR="00D235F2" w:rsidRDefault="00D235F2" w:rsidP="00D235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MARKING KEY</w:t>
      </w:r>
    </w:p>
    <w:p w:rsidR="00D235F2" w:rsidRDefault="00D235F2" w:rsidP="00D235F2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 w:rsidRPr="0025428A">
        <w:rPr>
          <w:rFonts w:ascii="Arial" w:hAnsi="Arial" w:cs="Arial"/>
          <w:sz w:val="24"/>
        </w:rPr>
        <w:t>Australia’s exchange rate may deprecia</w:t>
      </w:r>
      <w:bookmarkStart w:id="0" w:name="_GoBack"/>
      <w:bookmarkEnd w:id="0"/>
      <w:r w:rsidRPr="0025428A">
        <w:rPr>
          <w:rFonts w:ascii="Arial" w:hAnsi="Arial" w:cs="Arial"/>
          <w:sz w:val="24"/>
        </w:rPr>
        <w:t>te. Explain the impact of a depreciation of the exchange rate on the Balance of Payments and on the Australian economy.</w:t>
      </w:r>
      <w:r>
        <w:rPr>
          <w:rFonts w:ascii="Arial" w:hAnsi="Arial" w:cs="Arial"/>
          <w:sz w:val="24"/>
        </w:rPr>
        <w:t xml:space="preserve"> </w:t>
      </w:r>
    </w:p>
    <w:p w:rsidR="00D235F2" w:rsidRDefault="00D235F2" w:rsidP="00D235F2">
      <w:pPr>
        <w:pStyle w:val="ListParagraph"/>
        <w:ind w:left="792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814"/>
      </w:tblGrid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1814" w:type="dxa"/>
          </w:tcPr>
          <w:p w:rsidR="00D235F2" w:rsidRDefault="00D235F2" w:rsidP="00983B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Marks</w:t>
            </w:r>
          </w:p>
        </w:tc>
      </w:tr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Define exchange rate/depreciation</w:t>
            </w:r>
          </w:p>
        </w:tc>
        <w:tc>
          <w:tcPr>
            <w:tcW w:w="1814" w:type="dxa"/>
          </w:tcPr>
          <w:p w:rsidR="00D235F2" w:rsidRDefault="00770D85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D235F2">
              <w:rPr>
                <w:rFonts w:ascii="Arial" w:hAnsi="Arial" w:cs="Arial"/>
                <w:sz w:val="24"/>
              </w:rPr>
              <w:t>poss 2 marks</w:t>
            </w:r>
          </w:p>
        </w:tc>
      </w:tr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Identify the causes of a depreciation (increased supply / decreased demand) – may include diagram (don’t need both)</w:t>
            </w:r>
          </w:p>
          <w:p w:rsidR="0006434A" w:rsidRDefault="0006434A" w:rsidP="0006434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 in commodity prices and the terms of trade – AUD considered to be a commodity currency</w:t>
            </w:r>
          </w:p>
          <w:p w:rsidR="0006434A" w:rsidRDefault="0006434A" w:rsidP="0006434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 in AUS interest rates relative to major trading partners</w:t>
            </w:r>
          </w:p>
          <w:p w:rsidR="003B4E5B" w:rsidRDefault="0006434A" w:rsidP="003B4E5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Expectations that the exchange rate will fall –</w:t>
            </w:r>
            <w:r w:rsidR="003B4E5B">
              <w:rPr>
                <w:rFonts w:ascii="Arial" w:hAnsi="Arial" w:cs="Arial"/>
                <w:sz w:val="24"/>
              </w:rPr>
              <w:t xml:space="preserve"> RBA discourse </w:t>
            </w:r>
          </w:p>
          <w:p w:rsidR="003B4E5B" w:rsidRPr="003B4E5B" w:rsidRDefault="003B4E5B" w:rsidP="003B4E5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Poor performance of the AUS economy </w:t>
            </w:r>
          </w:p>
        </w:tc>
        <w:tc>
          <w:tcPr>
            <w:tcW w:w="1814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marks</w:t>
            </w:r>
          </w:p>
        </w:tc>
      </w:tr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Effect on Balance of Payments</w:t>
            </w:r>
          </w:p>
          <w:p w:rsidR="003B4E5B" w:rsidRDefault="00D235F2" w:rsidP="00D235F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 xml:space="preserve">Effect on trade balance (X </w:t>
            </w:r>
            <w:r>
              <w:rPr>
                <w:rFonts w:ascii="Arial" w:hAnsi="Arial" w:cs="Arial"/>
                <w:sz w:val="24"/>
              </w:rPr>
              <w:t xml:space="preserve">increase </w:t>
            </w:r>
            <w:r w:rsidRPr="00091846">
              <w:rPr>
                <w:rFonts w:ascii="Arial" w:hAnsi="Arial" w:cs="Arial"/>
                <w:sz w:val="24"/>
              </w:rPr>
              <w:t>and M</w:t>
            </w:r>
            <w:r>
              <w:rPr>
                <w:rFonts w:ascii="Arial" w:hAnsi="Arial" w:cs="Arial"/>
                <w:sz w:val="24"/>
              </w:rPr>
              <w:t xml:space="preserve"> decrease</w:t>
            </w:r>
            <w:r w:rsidRPr="00091846">
              <w:rPr>
                <w:rFonts w:ascii="Arial" w:hAnsi="Arial" w:cs="Arial"/>
                <w:sz w:val="24"/>
              </w:rPr>
              <w:t>)</w:t>
            </w:r>
            <w:r w:rsidR="00B5116D">
              <w:rPr>
                <w:rFonts w:ascii="Arial" w:hAnsi="Arial" w:cs="Arial"/>
                <w:sz w:val="24"/>
              </w:rPr>
              <w:t>. Direct and short term im</w:t>
            </w:r>
            <w:r w:rsidR="003B4E5B">
              <w:rPr>
                <w:rFonts w:ascii="Arial" w:hAnsi="Arial" w:cs="Arial"/>
                <w:sz w:val="24"/>
              </w:rPr>
              <w:t>pacts vs indirect and medium-</w:t>
            </w:r>
            <w:r w:rsidR="00B5116D">
              <w:rPr>
                <w:rFonts w:ascii="Arial" w:hAnsi="Arial" w:cs="Arial"/>
                <w:sz w:val="24"/>
              </w:rPr>
              <w:t xml:space="preserve">long term impacts. Short term/direct = increase in M price and decrease in X price. Indirect/med-long term = decrease in M quantity and increase in X quantity. </w:t>
            </w:r>
          </w:p>
          <w:p w:rsidR="00D235F2" w:rsidRPr="00091846" w:rsidRDefault="003B4E5B" w:rsidP="00D235F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>Depends on elasticity of X and M</w:t>
            </w:r>
            <w:r>
              <w:rPr>
                <w:rFonts w:ascii="Arial" w:hAnsi="Arial" w:cs="Arial"/>
                <w:sz w:val="24"/>
              </w:rPr>
              <w:t>. If the sum of the elasticities is greater than one the trade deficit will narrow.</w:t>
            </w:r>
          </w:p>
          <w:p w:rsidR="00D235F2" w:rsidRPr="00091846" w:rsidRDefault="00D235F2" w:rsidP="00B5116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>Impact on Income account (increased cost of repayments if liabilities in foreign currency terms)</w:t>
            </w:r>
            <w:r w:rsidR="00032F56">
              <w:rPr>
                <w:rFonts w:ascii="Arial" w:hAnsi="Arial" w:cs="Arial"/>
                <w:sz w:val="24"/>
              </w:rPr>
              <w:t xml:space="preserve">. </w:t>
            </w:r>
            <w:r w:rsidR="00032F56" w:rsidRPr="00032F56">
              <w:rPr>
                <w:rFonts w:ascii="Arial" w:hAnsi="Arial" w:cs="Arial"/>
                <w:sz w:val="24"/>
              </w:rPr>
              <w:t>This increases net income outflow and widens the current account deficit.</w:t>
            </w:r>
            <w:r w:rsidR="00032F56">
              <w:rPr>
                <w:rFonts w:ascii="Arial" w:hAnsi="Arial" w:cs="Arial"/>
                <w:sz w:val="24"/>
              </w:rPr>
              <w:t xml:space="preserve"> Also </w:t>
            </w:r>
            <w:r w:rsidR="00032F56" w:rsidRPr="00032F56">
              <w:rPr>
                <w:rFonts w:ascii="Arial" w:hAnsi="Arial" w:cs="Arial"/>
                <w:sz w:val="24"/>
              </w:rPr>
              <w:t>increase</w:t>
            </w:r>
            <w:r w:rsidR="00032F56">
              <w:rPr>
                <w:rFonts w:ascii="Arial" w:hAnsi="Arial" w:cs="Arial"/>
                <w:sz w:val="24"/>
              </w:rPr>
              <w:t>s</w:t>
            </w:r>
            <w:r w:rsidR="00032F56" w:rsidRPr="00032F56">
              <w:rPr>
                <w:rFonts w:ascii="Arial" w:hAnsi="Arial" w:cs="Arial"/>
                <w:sz w:val="24"/>
              </w:rPr>
              <w:t xml:space="preserve"> the income that Australian residents receive on their foreign asset holdings</w:t>
            </w:r>
            <w:r w:rsidR="00032F56">
              <w:rPr>
                <w:rFonts w:ascii="Arial" w:hAnsi="Arial" w:cs="Arial"/>
                <w:sz w:val="24"/>
              </w:rPr>
              <w:t>.</w:t>
            </w:r>
            <w:r w:rsidR="00B5116D">
              <w:rPr>
                <w:rFonts w:ascii="Arial" w:hAnsi="Arial" w:cs="Arial"/>
                <w:sz w:val="24"/>
              </w:rPr>
              <w:t xml:space="preserve"> </w:t>
            </w:r>
            <w:r w:rsidR="00B5116D" w:rsidRPr="00B5116D">
              <w:rPr>
                <w:rFonts w:ascii="Arial" w:hAnsi="Arial" w:cs="Arial"/>
                <w:sz w:val="24"/>
              </w:rPr>
              <w:t>This reduces net income outflow and narrows the current account deficit.</w:t>
            </w:r>
            <w:r w:rsidR="00032F56" w:rsidRPr="00032F56">
              <w:rPr>
                <w:rFonts w:ascii="Arial" w:hAnsi="Arial" w:cs="Arial"/>
                <w:sz w:val="24"/>
              </w:rPr>
              <w:t xml:space="preserve"> Australia’s foreign liabilities exceed its foreign assets</w:t>
            </w:r>
            <w:r w:rsidR="00032F56">
              <w:rPr>
                <w:rFonts w:ascii="Arial" w:hAnsi="Arial" w:cs="Arial"/>
                <w:sz w:val="24"/>
              </w:rPr>
              <w:t>.</w:t>
            </w:r>
          </w:p>
          <w:p w:rsidR="00D235F2" w:rsidRPr="00946657" w:rsidRDefault="00D235F2" w:rsidP="0094665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>Valuation effect (effect on income)</w:t>
            </w:r>
            <w:r w:rsidR="00032F56">
              <w:rPr>
                <w:rFonts w:ascii="Arial" w:hAnsi="Arial" w:cs="Arial"/>
                <w:sz w:val="24"/>
              </w:rPr>
              <w:t xml:space="preserve"> </w:t>
            </w:r>
            <w:r w:rsidR="00032F56" w:rsidRPr="00032F56">
              <w:rPr>
                <w:rFonts w:ascii="Arial" w:hAnsi="Arial" w:cs="Arial"/>
                <w:sz w:val="24"/>
              </w:rPr>
              <w:t>occur</w:t>
            </w:r>
            <w:r w:rsidR="00032F56">
              <w:rPr>
                <w:rFonts w:ascii="Arial" w:hAnsi="Arial" w:cs="Arial"/>
                <w:sz w:val="24"/>
              </w:rPr>
              <w:t>s</w:t>
            </w:r>
            <w:r w:rsidR="00032F56" w:rsidRPr="00032F56">
              <w:rPr>
                <w:rFonts w:ascii="Arial" w:hAnsi="Arial" w:cs="Arial"/>
                <w:sz w:val="24"/>
              </w:rPr>
              <w:t xml:space="preserve"> because a depreciation of the Australian dollar increases the value in Australian dollars of assets and liabilities denominated in foreign currency.</w:t>
            </w:r>
            <w:r w:rsidR="00032F56">
              <w:rPr>
                <w:rFonts w:ascii="Arial" w:hAnsi="Arial" w:cs="Arial"/>
                <w:sz w:val="24"/>
              </w:rPr>
              <w:t xml:space="preserve"> R</w:t>
            </w:r>
            <w:r w:rsidR="00032F56" w:rsidRPr="00032F56">
              <w:rPr>
                <w:rFonts w:ascii="Arial" w:hAnsi="Arial" w:cs="Arial"/>
                <w:sz w:val="24"/>
              </w:rPr>
              <w:t>educe</w:t>
            </w:r>
            <w:r w:rsidR="00032F56">
              <w:rPr>
                <w:rFonts w:ascii="Arial" w:hAnsi="Arial" w:cs="Arial"/>
                <w:sz w:val="24"/>
              </w:rPr>
              <w:t>s</w:t>
            </w:r>
            <w:r w:rsidR="00032F56" w:rsidRPr="00032F56">
              <w:rPr>
                <w:rFonts w:ascii="Arial" w:hAnsi="Arial" w:cs="Arial"/>
                <w:sz w:val="24"/>
              </w:rPr>
              <w:t xml:space="preserve"> the value of Australia’s net foreign liabilities.</w:t>
            </w:r>
          </w:p>
        </w:tc>
        <w:tc>
          <w:tcPr>
            <w:tcW w:w="1814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– 4 marks</w:t>
            </w:r>
          </w:p>
        </w:tc>
      </w:tr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Effect on Australian economy</w:t>
            </w:r>
          </w:p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Discusses effects on unemployment/inflation/economic growth/investment</w:t>
            </w:r>
          </w:p>
          <w:p w:rsidR="00D235F2" w:rsidRPr="00091846" w:rsidRDefault="00D235F2" w:rsidP="00D235F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>Increased employment in export sector and import competing sector</w:t>
            </w:r>
          </w:p>
          <w:p w:rsidR="00D235F2" w:rsidRPr="00091846" w:rsidRDefault="00D235F2" w:rsidP="00D235F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>Increased inflation rates due to increase in price of M, increased level of economic activity</w:t>
            </w:r>
          </w:p>
          <w:p w:rsidR="00D235F2" w:rsidRPr="00091846" w:rsidRDefault="00D235F2" w:rsidP="00D235F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>Increased economic growth – expansionary effect</w:t>
            </w:r>
          </w:p>
          <w:p w:rsidR="00D235F2" w:rsidRDefault="00D235F2" w:rsidP="00D235F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</w:rPr>
            </w:pPr>
            <w:r w:rsidRPr="00091846">
              <w:rPr>
                <w:rFonts w:ascii="Arial" w:hAnsi="Arial" w:cs="Arial"/>
                <w:sz w:val="24"/>
              </w:rPr>
              <w:t>Increase in Investment</w:t>
            </w:r>
          </w:p>
          <w:p w:rsidR="003B4E5B" w:rsidRPr="003B4E5B" w:rsidRDefault="003B4E5B" w:rsidP="003B4E5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Business impact – commodities are often prices in USD so the fall in the ER affects the AUD value of earnings rather than the volume of sales. </w:t>
            </w:r>
            <w:r w:rsidRPr="003B4E5B">
              <w:rPr>
                <w:rFonts w:ascii="Arial" w:hAnsi="Arial" w:cs="Arial"/>
                <w:sz w:val="24"/>
              </w:rPr>
              <w:t>Tourism and education (foreign students) will benefit from the lower dollar</w:t>
            </w:r>
            <w:r>
              <w:rPr>
                <w:rFonts w:ascii="Arial" w:hAnsi="Arial" w:cs="Arial"/>
                <w:sz w:val="24"/>
              </w:rPr>
              <w:t>. Businesses that import machinery or other capital equipment will have increase in cost of sales</w:t>
            </w:r>
          </w:p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814" w:type="dxa"/>
          </w:tcPr>
          <w:p w:rsidR="00D235F2" w:rsidRDefault="00770D85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– 4</w:t>
            </w:r>
            <w:r w:rsidR="00D235F2">
              <w:rPr>
                <w:rFonts w:ascii="Arial" w:hAnsi="Arial" w:cs="Arial"/>
                <w:sz w:val="24"/>
              </w:rPr>
              <w:t xml:space="preserve"> marks</w:t>
            </w:r>
          </w:p>
        </w:tc>
      </w:tr>
    </w:tbl>
    <w:p w:rsidR="00D235F2" w:rsidRPr="00A52364" w:rsidRDefault="00D235F2" w:rsidP="00D235F2">
      <w:pPr>
        <w:jc w:val="both"/>
        <w:rPr>
          <w:rFonts w:ascii="Arial" w:hAnsi="Arial" w:cs="Arial"/>
          <w:sz w:val="24"/>
        </w:rPr>
      </w:pPr>
    </w:p>
    <w:p w:rsidR="00D235F2" w:rsidRDefault="00D235F2" w:rsidP="00D235F2">
      <w:pPr>
        <w:rPr>
          <w:rFonts w:ascii="Arial" w:hAnsi="Arial" w:cs="Arial"/>
          <w:sz w:val="24"/>
        </w:rPr>
      </w:pPr>
    </w:p>
    <w:p w:rsidR="00AD3D99" w:rsidRDefault="00AD3D99" w:rsidP="00D235F2">
      <w:pPr>
        <w:rPr>
          <w:rFonts w:ascii="Arial" w:hAnsi="Arial" w:cs="Arial"/>
          <w:sz w:val="24"/>
        </w:rPr>
      </w:pPr>
    </w:p>
    <w:p w:rsidR="00AD3D99" w:rsidRDefault="00AD3D99" w:rsidP="00D235F2">
      <w:pPr>
        <w:rPr>
          <w:rFonts w:ascii="Arial" w:hAnsi="Arial" w:cs="Arial"/>
          <w:sz w:val="24"/>
        </w:rPr>
      </w:pPr>
    </w:p>
    <w:p w:rsidR="00AD3D99" w:rsidRPr="005C2420" w:rsidRDefault="00AD3D99" w:rsidP="00D235F2">
      <w:pPr>
        <w:rPr>
          <w:rFonts w:ascii="Arial" w:hAnsi="Arial" w:cs="Arial"/>
          <w:sz w:val="24"/>
        </w:rPr>
      </w:pPr>
    </w:p>
    <w:p w:rsidR="00D235F2" w:rsidRDefault="00D235F2" w:rsidP="00D235F2">
      <w:pPr>
        <w:rPr>
          <w:rFonts w:ascii="Arial" w:hAnsi="Arial" w:cs="Arial"/>
          <w:sz w:val="24"/>
        </w:rPr>
      </w:pPr>
      <w:r w:rsidRPr="005C2420">
        <w:rPr>
          <w:rFonts w:ascii="Arial" w:hAnsi="Arial" w:cs="Arial"/>
          <w:sz w:val="24"/>
        </w:rPr>
        <w:lastRenderedPageBreak/>
        <w:t>b.</w:t>
      </w:r>
      <w:r w:rsidRPr="005C2420">
        <w:rPr>
          <w:rFonts w:ascii="Arial" w:hAnsi="Arial" w:cs="Arial"/>
          <w:sz w:val="24"/>
        </w:rPr>
        <w:tab/>
        <w:t>Assume that the Reserve Bank of Australia (RBA) cash rate is 1.5%. The U.S. Federal reserve has increased the cash rate in the USA from 1.5% to 1.75%. Using a diagram, explain how this change to interest rates would impact on Australia’s exchange rate.</w:t>
      </w:r>
      <w:r>
        <w:rPr>
          <w:rFonts w:ascii="Arial" w:hAnsi="Arial" w:cs="Arial"/>
          <w:sz w:val="24"/>
        </w:rPr>
        <w:t xml:space="preserve"> (8 marks)</w:t>
      </w:r>
    </w:p>
    <w:p w:rsidR="00D235F2" w:rsidRDefault="00D235F2" w:rsidP="00D235F2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814"/>
      </w:tblGrid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1814" w:type="dxa"/>
          </w:tcPr>
          <w:p w:rsidR="00D235F2" w:rsidRDefault="00D235F2" w:rsidP="00983B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Marks</w:t>
            </w:r>
          </w:p>
        </w:tc>
      </w:tr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Define Exchange rate/Identify that the Exchange rate would depreciate</w:t>
            </w:r>
          </w:p>
        </w:tc>
        <w:tc>
          <w:tcPr>
            <w:tcW w:w="1814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marks</w:t>
            </w:r>
          </w:p>
        </w:tc>
      </w:tr>
      <w:tr w:rsidR="00D235F2" w:rsidTr="00983BDC">
        <w:tc>
          <w:tcPr>
            <w:tcW w:w="8642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Explain impact of Interest rate differential widening increasing returns in US compared to Australia</w:t>
            </w:r>
          </w:p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Supply of AUD increases as funds move offshore to get relatively higher returns</w:t>
            </w:r>
          </w:p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Demand for AUD decreases as less investment moves into Australia</w:t>
            </w:r>
          </w:p>
        </w:tc>
        <w:tc>
          <w:tcPr>
            <w:tcW w:w="1814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 marks</w:t>
            </w:r>
          </w:p>
        </w:tc>
      </w:tr>
      <w:tr w:rsidR="00D235F2" w:rsidTr="00983BDC">
        <w:tc>
          <w:tcPr>
            <w:tcW w:w="8642" w:type="dxa"/>
          </w:tcPr>
          <w:p w:rsidR="00D235F2" w:rsidRPr="005C2420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 showing both of the above</w:t>
            </w:r>
          </w:p>
        </w:tc>
        <w:tc>
          <w:tcPr>
            <w:tcW w:w="1814" w:type="dxa"/>
          </w:tcPr>
          <w:p w:rsidR="00D235F2" w:rsidRDefault="00D235F2" w:rsidP="00983BD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marks</w:t>
            </w:r>
          </w:p>
        </w:tc>
      </w:tr>
    </w:tbl>
    <w:p w:rsidR="00D235F2" w:rsidRDefault="00D235F2" w:rsidP="00D235F2">
      <w:pPr>
        <w:rPr>
          <w:rFonts w:ascii="Arial" w:hAnsi="Arial" w:cs="Arial"/>
          <w:sz w:val="24"/>
        </w:rPr>
      </w:pPr>
    </w:p>
    <w:p w:rsidR="00D235F2" w:rsidRPr="0025428A" w:rsidRDefault="00D235F2" w:rsidP="00D235F2">
      <w:pPr>
        <w:rPr>
          <w:rFonts w:ascii="Arial" w:hAnsi="Arial" w:cs="Arial"/>
          <w:sz w:val="24"/>
        </w:rPr>
      </w:pPr>
    </w:p>
    <w:p w:rsidR="00D235F2" w:rsidRPr="009A77B1" w:rsidRDefault="00D235F2" w:rsidP="00415DEE">
      <w:pPr>
        <w:spacing w:line="360" w:lineRule="auto"/>
        <w:rPr>
          <w:rFonts w:cstheme="minorHAnsi"/>
          <w:bCs/>
          <w:sz w:val="24"/>
          <w:szCs w:val="24"/>
        </w:rPr>
      </w:pPr>
    </w:p>
    <w:sectPr w:rsidR="00D235F2" w:rsidRPr="009A77B1" w:rsidSect="003E5B61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1F6" w:rsidRDefault="003201F6" w:rsidP="003E5B61">
      <w:pPr>
        <w:spacing w:after="0" w:line="240" w:lineRule="auto"/>
      </w:pPr>
      <w:r>
        <w:separator/>
      </w:r>
    </w:p>
  </w:endnote>
  <w:endnote w:type="continuationSeparator" w:id="0">
    <w:p w:rsidR="003201F6" w:rsidRDefault="003201F6" w:rsidP="003E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1F6" w:rsidRDefault="003201F6" w:rsidP="003E5B61">
      <w:pPr>
        <w:spacing w:after="0" w:line="240" w:lineRule="auto"/>
      </w:pPr>
      <w:r>
        <w:separator/>
      </w:r>
    </w:p>
  </w:footnote>
  <w:footnote w:type="continuationSeparator" w:id="0">
    <w:p w:rsidR="003201F6" w:rsidRDefault="003201F6" w:rsidP="003E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B61" w:rsidRDefault="003E5B61">
    <w:pPr>
      <w:pStyle w:val="Header"/>
    </w:pPr>
    <w:r>
      <w:t>Name 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AAE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968F4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501AF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E166E"/>
    <w:multiLevelType w:val="hybridMultilevel"/>
    <w:tmpl w:val="841CA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948E9"/>
    <w:multiLevelType w:val="hybridMultilevel"/>
    <w:tmpl w:val="F058DFD2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250B5C20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B47B2"/>
    <w:multiLevelType w:val="hybridMultilevel"/>
    <w:tmpl w:val="0860CE3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2A441A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15CF4"/>
    <w:multiLevelType w:val="hybridMultilevel"/>
    <w:tmpl w:val="548E63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865E3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64045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642E"/>
    <w:multiLevelType w:val="hybridMultilevel"/>
    <w:tmpl w:val="9DEAC51A"/>
    <w:lvl w:ilvl="0" w:tplc="3FE0C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AB183D"/>
    <w:multiLevelType w:val="hybridMultilevel"/>
    <w:tmpl w:val="1A2A1D06"/>
    <w:lvl w:ilvl="0" w:tplc="A156D3DC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90" w:hanging="360"/>
      </w:pPr>
    </w:lvl>
    <w:lvl w:ilvl="2" w:tplc="0C09001B" w:tentative="1">
      <w:start w:val="1"/>
      <w:numFmt w:val="lowerRoman"/>
      <w:lvlText w:val="%3."/>
      <w:lvlJc w:val="right"/>
      <w:pPr>
        <w:ind w:left="2410" w:hanging="180"/>
      </w:pPr>
    </w:lvl>
    <w:lvl w:ilvl="3" w:tplc="0C09000F" w:tentative="1">
      <w:start w:val="1"/>
      <w:numFmt w:val="decimal"/>
      <w:lvlText w:val="%4."/>
      <w:lvlJc w:val="left"/>
      <w:pPr>
        <w:ind w:left="3130" w:hanging="360"/>
      </w:pPr>
    </w:lvl>
    <w:lvl w:ilvl="4" w:tplc="0C090019" w:tentative="1">
      <w:start w:val="1"/>
      <w:numFmt w:val="lowerLetter"/>
      <w:lvlText w:val="%5."/>
      <w:lvlJc w:val="left"/>
      <w:pPr>
        <w:ind w:left="3850" w:hanging="360"/>
      </w:pPr>
    </w:lvl>
    <w:lvl w:ilvl="5" w:tplc="0C09001B" w:tentative="1">
      <w:start w:val="1"/>
      <w:numFmt w:val="lowerRoman"/>
      <w:lvlText w:val="%6."/>
      <w:lvlJc w:val="right"/>
      <w:pPr>
        <w:ind w:left="4570" w:hanging="180"/>
      </w:pPr>
    </w:lvl>
    <w:lvl w:ilvl="6" w:tplc="0C09000F" w:tentative="1">
      <w:start w:val="1"/>
      <w:numFmt w:val="decimal"/>
      <w:lvlText w:val="%7."/>
      <w:lvlJc w:val="left"/>
      <w:pPr>
        <w:ind w:left="5290" w:hanging="360"/>
      </w:pPr>
    </w:lvl>
    <w:lvl w:ilvl="7" w:tplc="0C090019" w:tentative="1">
      <w:start w:val="1"/>
      <w:numFmt w:val="lowerLetter"/>
      <w:lvlText w:val="%8."/>
      <w:lvlJc w:val="left"/>
      <w:pPr>
        <w:ind w:left="6010" w:hanging="360"/>
      </w:pPr>
    </w:lvl>
    <w:lvl w:ilvl="8" w:tplc="0C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3">
    <w:nsid w:val="53505D00"/>
    <w:multiLevelType w:val="hybridMultilevel"/>
    <w:tmpl w:val="583C628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DA530D"/>
    <w:multiLevelType w:val="hybridMultilevel"/>
    <w:tmpl w:val="9FB6A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661F3B"/>
    <w:multiLevelType w:val="hybridMultilevel"/>
    <w:tmpl w:val="7D047C72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6844D9"/>
    <w:multiLevelType w:val="hybridMultilevel"/>
    <w:tmpl w:val="545482C6"/>
    <w:lvl w:ilvl="0" w:tplc="CD8CFDD4">
      <w:start w:val="1"/>
      <w:numFmt w:val="decimal"/>
      <w:lvlText w:val="%1."/>
      <w:lvlJc w:val="left"/>
      <w:pPr>
        <w:ind w:left="830" w:hanging="4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E6356E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A407D"/>
    <w:multiLevelType w:val="hybridMultilevel"/>
    <w:tmpl w:val="6F44ECB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BD7BE4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D3BF5"/>
    <w:multiLevelType w:val="hybridMultilevel"/>
    <w:tmpl w:val="F9DADC64"/>
    <w:lvl w:ilvl="0" w:tplc="1960DC8A">
      <w:start w:val="1"/>
      <w:numFmt w:val="lowerLetter"/>
      <w:lvlText w:val="(%1)"/>
      <w:lvlJc w:val="left"/>
      <w:pPr>
        <w:ind w:left="1069" w:hanging="360"/>
      </w:pPr>
      <w:rPr>
        <w:rFonts w:ascii="Arial" w:eastAsiaTheme="minorHAnsi" w:hAnsi="Arial" w:cs="Arial"/>
      </w:rPr>
    </w:lvl>
    <w:lvl w:ilvl="1" w:tplc="1960DC8A">
      <w:start w:val="1"/>
      <w:numFmt w:val="lowerLetter"/>
      <w:lvlText w:val="(%2)"/>
      <w:lvlJc w:val="left"/>
      <w:pPr>
        <w:ind w:left="786" w:hanging="360"/>
      </w:pPr>
      <w:rPr>
        <w:rFonts w:ascii="Arial" w:eastAsiaTheme="minorHAnsi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24758AF"/>
    <w:multiLevelType w:val="hybridMultilevel"/>
    <w:tmpl w:val="DDF0DABE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A36BE"/>
    <w:multiLevelType w:val="hybridMultilevel"/>
    <w:tmpl w:val="90245E0C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355C5"/>
    <w:multiLevelType w:val="hybridMultilevel"/>
    <w:tmpl w:val="535EA604"/>
    <w:lvl w:ilvl="0" w:tplc="1960DC8A">
      <w:start w:val="1"/>
      <w:numFmt w:val="lowerLetter"/>
      <w:lvlText w:val="(%1)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6125F3"/>
    <w:multiLevelType w:val="hybridMultilevel"/>
    <w:tmpl w:val="982E8E16"/>
    <w:lvl w:ilvl="0" w:tplc="65C83EC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17D77"/>
    <w:multiLevelType w:val="hybridMultilevel"/>
    <w:tmpl w:val="2C3C5770"/>
    <w:lvl w:ilvl="0" w:tplc="E11A62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4"/>
  </w:num>
  <w:num w:numId="5">
    <w:abstractNumId w:val="22"/>
  </w:num>
  <w:num w:numId="6">
    <w:abstractNumId w:val="20"/>
  </w:num>
  <w:num w:numId="7">
    <w:abstractNumId w:val="12"/>
  </w:num>
  <w:num w:numId="8">
    <w:abstractNumId w:val="11"/>
  </w:num>
  <w:num w:numId="9">
    <w:abstractNumId w:val="8"/>
  </w:num>
  <w:num w:numId="10">
    <w:abstractNumId w:val="16"/>
  </w:num>
  <w:num w:numId="11">
    <w:abstractNumId w:val="1"/>
  </w:num>
  <w:num w:numId="12">
    <w:abstractNumId w:val="5"/>
  </w:num>
  <w:num w:numId="13">
    <w:abstractNumId w:val="0"/>
  </w:num>
  <w:num w:numId="14">
    <w:abstractNumId w:val="17"/>
  </w:num>
  <w:num w:numId="15">
    <w:abstractNumId w:val="21"/>
  </w:num>
  <w:num w:numId="16">
    <w:abstractNumId w:val="9"/>
  </w:num>
  <w:num w:numId="17">
    <w:abstractNumId w:val="2"/>
  </w:num>
  <w:num w:numId="18">
    <w:abstractNumId w:val="10"/>
  </w:num>
  <w:num w:numId="19">
    <w:abstractNumId w:val="19"/>
  </w:num>
  <w:num w:numId="20">
    <w:abstractNumId w:val="18"/>
  </w:num>
  <w:num w:numId="21">
    <w:abstractNumId w:val="13"/>
  </w:num>
  <w:num w:numId="22">
    <w:abstractNumId w:val="6"/>
  </w:num>
  <w:num w:numId="23">
    <w:abstractNumId w:val="24"/>
  </w:num>
  <w:num w:numId="24">
    <w:abstractNumId w:val="3"/>
  </w:num>
  <w:num w:numId="25">
    <w:abstractNumId w:val="1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6B"/>
    <w:rsid w:val="00032F56"/>
    <w:rsid w:val="0006434A"/>
    <w:rsid w:val="00090801"/>
    <w:rsid w:val="000B388E"/>
    <w:rsid w:val="001F0BDF"/>
    <w:rsid w:val="00205527"/>
    <w:rsid w:val="0022767D"/>
    <w:rsid w:val="0029016B"/>
    <w:rsid w:val="0029555D"/>
    <w:rsid w:val="003201F6"/>
    <w:rsid w:val="00331DB7"/>
    <w:rsid w:val="003628F4"/>
    <w:rsid w:val="003B089E"/>
    <w:rsid w:val="003B4E5B"/>
    <w:rsid w:val="003E5B61"/>
    <w:rsid w:val="00415DEE"/>
    <w:rsid w:val="0044375A"/>
    <w:rsid w:val="004A2D34"/>
    <w:rsid w:val="00504746"/>
    <w:rsid w:val="00665B18"/>
    <w:rsid w:val="006C67A4"/>
    <w:rsid w:val="006D0CFF"/>
    <w:rsid w:val="006E0FAB"/>
    <w:rsid w:val="00770D85"/>
    <w:rsid w:val="007B3208"/>
    <w:rsid w:val="007C4961"/>
    <w:rsid w:val="00845E74"/>
    <w:rsid w:val="008B104E"/>
    <w:rsid w:val="008C7C43"/>
    <w:rsid w:val="008F3D2A"/>
    <w:rsid w:val="009135A9"/>
    <w:rsid w:val="00930285"/>
    <w:rsid w:val="00932EC3"/>
    <w:rsid w:val="00946657"/>
    <w:rsid w:val="00947B20"/>
    <w:rsid w:val="009803A8"/>
    <w:rsid w:val="009A77B1"/>
    <w:rsid w:val="00A36E3C"/>
    <w:rsid w:val="00A56D8A"/>
    <w:rsid w:val="00AD3176"/>
    <w:rsid w:val="00AD3D99"/>
    <w:rsid w:val="00B5116D"/>
    <w:rsid w:val="00BF03F8"/>
    <w:rsid w:val="00C07F7E"/>
    <w:rsid w:val="00C10C29"/>
    <w:rsid w:val="00C32305"/>
    <w:rsid w:val="00C96442"/>
    <w:rsid w:val="00CC70DB"/>
    <w:rsid w:val="00D235F2"/>
    <w:rsid w:val="00D7480C"/>
    <w:rsid w:val="00D77526"/>
    <w:rsid w:val="00D81E93"/>
    <w:rsid w:val="00D90D29"/>
    <w:rsid w:val="00DB44E0"/>
    <w:rsid w:val="00DE08B0"/>
    <w:rsid w:val="00E44C18"/>
    <w:rsid w:val="00E5196B"/>
    <w:rsid w:val="00E84FA8"/>
    <w:rsid w:val="00F13714"/>
    <w:rsid w:val="00F74947"/>
    <w:rsid w:val="00FA45EA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4E0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6B"/>
    <w:pPr>
      <w:ind w:left="720"/>
      <w:contextualSpacing/>
    </w:pPr>
  </w:style>
  <w:style w:type="paragraph" w:customStyle="1" w:styleId="NormalText">
    <w:name w:val="Normal Text"/>
    <w:rsid w:val="00331DB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5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D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4E0"/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paragraph" w:styleId="NormalWeb">
    <w:name w:val="Normal (Web)"/>
    <w:basedOn w:val="Normal"/>
    <w:uiPriority w:val="99"/>
    <w:unhideWhenUsed/>
    <w:rsid w:val="00DB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B61"/>
  </w:style>
  <w:style w:type="paragraph" w:styleId="Footer">
    <w:name w:val="footer"/>
    <w:basedOn w:val="Normal"/>
    <w:link w:val="Foot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4E0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6B"/>
    <w:pPr>
      <w:ind w:left="720"/>
      <w:contextualSpacing/>
    </w:pPr>
  </w:style>
  <w:style w:type="paragraph" w:customStyle="1" w:styleId="NormalText">
    <w:name w:val="Normal Text"/>
    <w:rsid w:val="00331DB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5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D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4E0"/>
    <w:rPr>
      <w:rFonts w:ascii="Georgia" w:eastAsia="Times New Roman" w:hAnsi="Georgia" w:cs="Times New Roman"/>
      <w:b/>
      <w:bCs/>
      <w:kern w:val="36"/>
      <w:sz w:val="55"/>
      <w:szCs w:val="55"/>
      <w:lang w:eastAsia="en-AU"/>
    </w:rPr>
  </w:style>
  <w:style w:type="paragraph" w:styleId="NormalWeb">
    <w:name w:val="Normal (Web)"/>
    <w:basedOn w:val="Normal"/>
    <w:uiPriority w:val="99"/>
    <w:unhideWhenUsed/>
    <w:rsid w:val="00DB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B61"/>
  </w:style>
  <w:style w:type="paragraph" w:styleId="Footer">
    <w:name w:val="footer"/>
    <w:basedOn w:val="Normal"/>
    <w:link w:val="FooterChar"/>
    <w:uiPriority w:val="99"/>
    <w:unhideWhenUsed/>
    <w:rsid w:val="003E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69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92AB3-02C8-474F-AA61-A5A74EDB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B74DAF50</Template>
  <TotalTime>0</TotalTime>
  <Pages>9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Dawson</dc:creator>
  <cp:lastModifiedBy>COPLEY Jacob</cp:lastModifiedBy>
  <cp:revision>2</cp:revision>
  <cp:lastPrinted>2018-03-28T08:02:00Z</cp:lastPrinted>
  <dcterms:created xsi:type="dcterms:W3CDTF">2018-05-09T02:27:00Z</dcterms:created>
  <dcterms:modified xsi:type="dcterms:W3CDTF">2018-05-09T02:27:00Z</dcterms:modified>
</cp:coreProperties>
</file>