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03c6ad38afe3eedfa5da0aaea0899557b42a78c"/>
      <w:r>
        <w:t xml:space="preserve">Project TIA × Knowledge Fabric V2.5 — Integration Document</w:t>
      </w:r>
      <w:bookmarkEnd w:id="9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Assetvaluecash/codeflow</w:t>
              </w:r>
            </w:hyperlink>
            <w:r>
              <w:t xml:space="preserve"> </w:t>
            </w:r>
            <w:r>
              <w:t xml:space="preserve">(Project TIA) ·</w:t>
            </w:r>
            <w:r>
              <w:t xml:space="preserve"> </w:t>
            </w:r>
            <w:r>
              <w:rPr>
                <w:rStyle w:val="VerbatimChar"/>
              </w:rPr>
              <w:t xml:space="preserve">/Users/aurthurj/Downloads/KF-V2-2</w:t>
            </w:r>
            <w:r>
              <w:t xml:space="preserve"> </w:t>
            </w:r>
            <w:r>
              <w:t xml:space="preserve">(KF 2.5 handoff)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TIA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/Users/aurthurj/Downloads/TIA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Integration requirements &amp; design (not implemented)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79cc27cf9d2fdfd225e4b0874446d5abdf16412"/>
      <w:r>
        <w:t xml:space="preserve">0. Verdict (read this first)</w:t>
      </w:r>
      <w:bookmarkEnd w:id="11"/>
    </w:p>
    <w:p>
      <w:pPr>
        <w:pStyle w:val="FirstParagraph"/>
      </w:pPr>
      <w:r>
        <w:rPr>
          <w:b/>
          <w:bCs/>
        </w:rPr>
        <w:t xml:space="preserve">Yes — integrate TIA into the KF V2.5 estate as a separate software lane</w:t>
      </w:r>
      <w:r>
        <w:t xml:space="preserve">, not as another document-IE pass.</w:t>
      </w:r>
    </w:p>
    <w:p>
      <w:pPr>
        <w:pStyle w:val="BodyText"/>
      </w:pPr>
      <w:r>
        <w:rPr>
          <w:b/>
          <w:bCs/>
        </w:rPr>
        <w:t xml:space="preserve">Yes — any agent-facing retriever response that agents already consume must keep the same V2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QueryResponse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chunks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reranked_chunks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reranked_paths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). TIA’s native Change Impact Report stays the product deliverable; a thin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projects TIA findings into that wire format when agents need a single door.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Does not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KF V2.5 ingestion</w:t>
            </w:r>
          </w:p>
        </w:tc>
        <w:tc>
          <w:tcPr/>
          <w:p>
            <w:pPr>
              <w:pStyle w:val="Compact"/>
            </w:pPr>
            <w:r>
              <w:t xml:space="preserve">Documents → ontology IE (Lane1/2/3) → Weaviate + Neo4j (Requirement / Process / TestCase…)</w:t>
            </w:r>
          </w:p>
        </w:tc>
        <w:tc>
          <w:tcPr/>
          <w:p>
            <w:pPr>
              <w:pStyle w:val="Compact"/>
            </w:pPr>
            <w:r>
              <w:t xml:space="preserve">Code graphs, PR diffs, contract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KF V2.5 hybrid retriever</w:t>
            </w:r>
          </w:p>
        </w:tc>
        <w:tc>
          <w:tcPr/>
          <w:p>
            <w:pPr>
              <w:pStyle w:val="Compact"/>
            </w:pPr>
            <w:r>
              <w:t xml:space="preserve">Document KG hybrid search (</w:t>
            </w:r>
            <w:r>
              <w:rPr>
                <w:rStyle w:val="VerbatimChar"/>
              </w:rPr>
              <w:t xml:space="preserve">POST /query</w:t>
            </w:r>
            <w:r>
              <w:t xml:space="preserve"> </w:t>
            </w:r>
            <w:r>
              <w:t xml:space="preserve">:6004)</w:t>
            </w:r>
          </w:p>
        </w:tc>
        <w:tc>
          <w:tcPr/>
          <w:p>
            <w:pPr>
              <w:pStyle w:val="Compact"/>
            </w:pPr>
            <w:r>
              <w:t xml:space="preserve">Software blast-radius as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TIA</w:t>
            </w:r>
          </w:p>
        </w:tc>
        <w:tc>
          <w:tcPr/>
          <w:p>
            <w:pPr>
              <w:pStyle w:val="Compact"/>
            </w:pPr>
            <w:r>
              <w:t xml:space="preserve">Repos/PRs → evidence graph → deterministic Change Impact Report</w:t>
            </w:r>
          </w:p>
        </w:tc>
        <w:tc>
          <w:tcPr/>
          <w:p>
            <w:pPr>
              <w:pStyle w:val="Compact"/>
            </w:pPr>
            <w:r>
              <w:t xml:space="preserve">Document ontology extraction, Ray doc jobs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Separate lane even when hosted next to V2</w:t>
      </w:r>
      <w:r>
        <w:t xml:space="preserve"> </w:t>
      </w:r>
      <w:r>
        <w:t xml:space="preserve">means: own service (or package), own store/graph namespace, own APIs, own job lifecycle. Shared hosting is fine; shared IE stages and shared “admitted” document edges are not.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abba54f459d8b9918c39b3d8f06bab92140c31d"/>
      <w:r>
        <w:t xml:space="preserve">1. How KF V2.5 works today</w:t>
      </w:r>
      <w:bookmarkEnd w:id="12"/>
    </w:p>
    <w:p>
      <w:pPr>
        <w:pStyle w:val="Heading3"/>
      </w:pPr>
      <w:bookmarkStart w:id="13" w:name="_8c60279d3c8db43c37d36f3d6b524031ddfbd44"/>
      <w:r>
        <w:t xml:space="preserve">1.1 Layout (</w:t>
      </w:r>
      <w:r>
        <w:rPr>
          <w:rStyle w:val="VerbatimChar"/>
        </w:rPr>
        <w:t xml:space="preserve">KF-V2-2</w:t>
      </w:r>
      <w:r>
        <w:t xml:space="preserve">)</w:t>
      </w:r>
      <w:bookmarkEnd w:id="13"/>
    </w:p>
    <w:p>
      <w:pPr>
        <w:pStyle w:val="SourceCode"/>
      </w:pPr>
      <w:r>
        <w:rPr>
          <w:rStyle w:val="VerbatimChar"/>
        </w:rPr>
        <w:t xml:space="preserve">KF-V2-2/</w:t>
      </w:r>
      <w:r>
        <w:br/>
      </w:r>
      <w:r>
        <w:rPr>
          <w:rStyle w:val="VerbatimChar"/>
        </w:rPr>
        <w:t xml:space="preserve">  ingestion/KFabric-Ingestion-V2/     # real product surface</w:t>
      </w:r>
      <w:r>
        <w:br/>
      </w:r>
      <w:r>
        <w:rPr>
          <w:rStyle w:val="VerbatimChar"/>
        </w:rPr>
        <w:t xml:space="preserve">    kbfabric_ingest/</w:t>
      </w:r>
      <w:r>
        <w:br/>
      </w:r>
      <w:r>
        <w:rPr>
          <w:rStyle w:val="VerbatimChar"/>
        </w:rPr>
        <w:t xml:space="preserve">      ingest/                         # parse → PII → Lane2 IE → admission → writers</w:t>
      </w:r>
      <w:r>
        <w:br/>
      </w:r>
      <w:r>
        <w:rPr>
          <w:rStyle w:val="VerbatimChar"/>
        </w:rPr>
        <w:t xml:space="preserve">      retrieval/                      # HybridRetriever + FastAPI /query</w:t>
      </w:r>
      <w:r>
        <w:br/>
      </w:r>
      <w:r>
        <w:rPr>
          <w:rStyle w:val="VerbatimChar"/>
        </w:rPr>
        <w:t xml:space="preserve">      scheduler/                      # Ingestion Studio API (:6002)</w:t>
      </w:r>
      <w:r>
        <w:br/>
      </w:r>
      <w:r>
        <w:rPr>
          <w:rStyle w:val="VerbatimChar"/>
        </w:rPr>
        <w:t xml:space="preserve">    config/retrieval_patterns.yaml    # change_impact, test_coverage, …</w:t>
      </w:r>
      <w:r>
        <w:br/>
      </w:r>
      <w:r>
        <w:rPr>
          <w:rStyle w:val="VerbatimChar"/>
        </w:rPr>
        <w:t xml:space="preserve">  retriever/                          # EMPTY placeholder (.gitkeep only)</w:t>
      </w:r>
    </w:p>
    <w:p>
      <w:pPr>
        <w:pStyle w:val="FirstParagraph"/>
      </w:pPr>
      <w:r>
        <w:t xml:space="preserve">Retrieval lives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ingestion package today, not under the top-level</w:t>
      </w:r>
      <w:r>
        <w:t xml:space="preserve"> </w:t>
      </w:r>
      <w:r>
        <w:rPr>
          <w:rStyle w:val="VerbatimChar"/>
        </w:rPr>
        <w:t xml:space="preserve">retriever/</w:t>
      </w:r>
      <w:r>
        <w:t xml:space="preserve"> </w:t>
      </w:r>
      <w:r>
        <w:t xml:space="preserve">folder.</w:t>
      </w:r>
    </w:p>
    <w:p>
      <w:pPr>
        <w:pStyle w:val="Heading3"/>
      </w:pPr>
      <w:bookmarkStart w:id="14" w:name="_276b8500a10bd403c5ef0a6c6d39d073ab96562"/>
      <w:r>
        <w:t xml:space="preserve">1.2 Document ingestion pipeline</w:t>
      </w:r>
      <w:bookmarkEnd w:id="14"/>
    </w:p>
    <w:p>
      <w:pPr>
        <w:pStyle w:val="Compact"/>
        <w:numPr>
          <w:ilvl w:val="0"/>
          <w:numId w:val="1001"/>
        </w:numPr>
      </w:pPr>
      <w:r>
        <w:t xml:space="preserve">Parse folder →</w:t>
      </w:r>
      <w:r>
        <w:t xml:space="preserve"> </w:t>
      </w:r>
      <w:r>
        <w:rPr>
          <w:rStyle w:val="VerbatimChar"/>
        </w:rPr>
        <w:t xml:space="preserve">CanonicalBlock</w:t>
      </w:r>
      <w:r>
        <w:t xml:space="preserve">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Optional semantic grouping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PII mask/redact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 lanes (text/vision — not TIA):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Lane 1</w:t>
      </w:r>
      <w:r>
        <w:t xml:space="preserve"> </w:t>
      </w:r>
      <w:r>
        <w:t xml:space="preserve">— rule-based when structured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Lane 2</w:t>
      </w:r>
      <w:r>
        <w:t xml:space="preserve"> </w:t>
      </w:r>
      <w:r>
        <w:t xml:space="preserve">— LLM two-pass classify → extract → merge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Lane 3</w:t>
      </w:r>
      <w:r>
        <w:t xml:space="preserve"> </w:t>
      </w:r>
      <w:r>
        <w:t xml:space="preserve">— vision IE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KG admission / HITL (</w:t>
      </w:r>
      <w:r>
        <w:rPr>
          <w:rStyle w:val="VerbatimChar"/>
        </w:rPr>
        <w:t xml:space="preserve">auto_write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review_ambiguous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review_all</w:t>
      </w:r>
      <w:r>
        <w:t xml:space="preserve">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Publish to Weaviate + Neo4j under</w:t>
      </w:r>
      <w:r>
        <w:t xml:space="preserve"> </w:t>
      </w:r>
      <w:r>
        <w:rPr>
          <w:b/>
          <w:bCs/>
        </w:rPr>
        <w:t xml:space="preserve">customer → domain → product-line</w:t>
      </w:r>
    </w:p>
    <w:p>
      <w:pPr>
        <w:pStyle w:val="FirstParagraph"/>
      </w:pPr>
      <w:r>
        <w:t xml:space="preserve">Entry:</w:t>
      </w:r>
      <w:r>
        <w:t xml:space="preserve"> </w:t>
      </w:r>
      <w:r>
        <w:rPr>
          <w:rStyle w:val="VerbatimChar"/>
        </w:rPr>
        <w:t xml:space="preserve">POST /jobs</w:t>
      </w:r>
      <w:r>
        <w:t xml:space="preserve"> </w:t>
      </w:r>
      <w:r>
        <w:t xml:space="preserve">(and upload variants) on the Ingestion Studio API (~</w:t>
      </w:r>
      <w:r>
        <w:rPr>
          <w:rStyle w:val="VerbatimChar"/>
        </w:rPr>
        <w:t xml:space="preserve">:6002</w:t>
      </w:r>
      <w:r>
        <w:t xml:space="preserve">).</w:t>
      </w:r>
    </w:p>
    <w:p>
      <w:pPr>
        <w:pStyle w:val="Heading3"/>
      </w:pPr>
      <w:bookmarkStart w:id="15" w:name="_15fe594679b5fa015ef6c634902e201d55fa506"/>
      <w:r>
        <w:t xml:space="preserve">1.3 Document hybrid retriever</w:t>
      </w:r>
      <w:bookmarkEnd w:id="15"/>
    </w:p>
    <w:p>
      <w:pPr>
        <w:pStyle w:val="Compact"/>
        <w:numPr>
          <w:ilvl w:val="0"/>
          <w:numId w:val="1003"/>
        </w:numPr>
      </w:pPr>
      <w:r>
        <w:t xml:space="preserve">Library:</w:t>
      </w:r>
      <w:r>
        <w:t xml:space="preserve"> </w:t>
      </w:r>
      <w:r>
        <w:rPr>
          <w:rStyle w:val="VerbatimChar"/>
        </w:rPr>
        <w:t xml:space="preserve">HybridRetriever.retrieve()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HTTP:</w:t>
      </w:r>
      <w:r>
        <w:t xml:space="preserve"> </w:t>
      </w:r>
      <w:r>
        <w:rPr>
          <w:rStyle w:val="VerbatimChar"/>
        </w:rPr>
        <w:t xml:space="preserve">POST /query</w:t>
      </w:r>
      <w:r>
        <w:t xml:space="preserve"> </w:t>
      </w:r>
      <w:r>
        <w:t xml:space="preserve">on ~</w:t>
      </w:r>
      <w:r>
        <w:rPr>
          <w:rStyle w:val="VerbatimChar"/>
        </w:rPr>
        <w:t xml:space="preserve">:6004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scripts/start_retriever.py</w:t>
      </w:r>
      <w:r>
        <w:t xml:space="preserve">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Flow: intent pattern → embed query → Weaviate near-vector → Neo4j seed + multi-hop → cross-encoder rerank →</w:t>
      </w:r>
      <w:r>
        <w:t xml:space="preserve"> </w:t>
      </w:r>
      <w:r>
        <w:rPr>
          <w:b/>
          <w:bCs/>
        </w:rPr>
        <w:t xml:space="preserve">fixed dict shape</w:t>
      </w:r>
    </w:p>
    <w:p>
      <w:pPr>
        <w:pStyle w:val="FirstParagraph"/>
      </w:pPr>
      <w:r>
        <w:t xml:space="preserve">Document</w:t>
      </w:r>
      <w:r>
        <w:t xml:space="preserve"> </w:t>
      </w:r>
      <w:r>
        <w:rPr>
          <w:rStyle w:val="VerbatimChar"/>
        </w:rPr>
        <w:t xml:space="preserve">change_impact</w:t>
      </w:r>
      <w:r>
        <w:t xml:space="preserve"> </w:t>
      </w:r>
      <w:r>
        <w:t xml:space="preserve">intent (from</w:t>
      </w:r>
      <w:r>
        <w:t xml:space="preserve"> </w:t>
      </w:r>
      <w:r>
        <w:rPr>
          <w:rStyle w:val="VerbatimChar"/>
        </w:rPr>
        <w:t xml:space="preserve">retrieval_patterns.yaml</w:t>
      </w:r>
      <w:r>
        <w:t xml:space="preserve">) answers</w:t>
      </w:r>
      <w:r>
        <w:t xml:space="preserve"> </w:t>
      </w:r>
      <w:r>
        <w:rPr>
          <w:i/>
          <w:iCs/>
        </w:rPr>
        <w:t xml:space="preserve">“what requirements / processes / tests blast radius?”</w:t>
      </w:r>
      <w:r>
        <w:t xml:space="preserve"> </w:t>
      </w:r>
      <w:r>
        <w:t xml:space="preserve">over the</w:t>
      </w:r>
      <w:r>
        <w:t xml:space="preserve"> </w:t>
      </w:r>
      <w:r>
        <w:rPr>
          <w:b/>
          <w:bCs/>
        </w:rPr>
        <w:t xml:space="preserve">document KG</w:t>
      </w:r>
      <w:r>
        <w:t xml:space="preserve">. That is complementary to TIA’s</w:t>
      </w:r>
      <w:r>
        <w:t xml:space="preserve"> </w:t>
      </w:r>
      <w:r>
        <w:rPr>
          <w:i/>
          <w:iCs/>
        </w:rPr>
        <w:t xml:space="preserve">code/contract</w:t>
      </w:r>
      <w:r>
        <w:t xml:space="preserve"> </w:t>
      </w:r>
      <w:r>
        <w:t xml:space="preserve">blast radius — not a substitute.</w:t>
      </w:r>
    </w:p>
    <w:p>
      <w:pPr>
        <w:pStyle w:val="Heading3"/>
      </w:pPr>
      <w:bookmarkStart w:id="16" w:name="_9be34902169a82eb103a9a8e911c8f8510f39fb"/>
      <w:r>
        <w:t xml:space="preserve">1.4 Naming collision (important)</w:t>
      </w:r>
      <w:bookmarkEnd w:id="16"/>
    </w:p>
    <w:p>
      <w:pPr>
        <w:pStyle w:val="FirstParagraph"/>
      </w:pPr>
      <w:r>
        <w:t xml:space="preserve">KF 3.x retrieve also has an engine named</w:t>
      </w:r>
      <w:r>
        <w:t xml:space="preserve"> </w:t>
      </w:r>
      <w:r>
        <w:rPr>
          <w:rStyle w:val="VerbatimChar"/>
        </w:rPr>
        <w:t xml:space="preserve">tia</w:t>
      </w:r>
      <w:r>
        <w:t xml:space="preserve"> </w:t>
      </w:r>
      <w:r>
        <w:t xml:space="preserve">/ CIA walks for</w:t>
      </w:r>
      <w:r>
        <w:t xml:space="preserve"> </w:t>
      </w:r>
      <w:r>
        <w:rPr>
          <w:b/>
          <w:bCs/>
        </w:rPr>
        <w:t xml:space="preserve">Lane-0 software</w:t>
      </w:r>
      <w:r>
        <w:t xml:space="preserve"> </w:t>
      </w:r>
      <w:r>
        <w:t xml:space="preserve">graphs.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hyperlink r:id="rId10">
        <w:r>
          <w:rPr>
            <w:rStyle w:val="Hyperlink"/>
          </w:rPr>
          <w:t xml:space="preserve">Project TIA</w:t>
        </w:r>
      </w:hyperlink>
      <w:r>
        <w:t xml:space="preserve">. In docs and APIs, call this product</w:t>
      </w:r>
      <w:r>
        <w:t xml:space="preserve"> </w:t>
      </w:r>
      <w:r>
        <w:rPr>
          <w:b/>
          <w:bCs/>
        </w:rPr>
        <w:t xml:space="preserve">Project TIA</w:t>
      </w:r>
      <w:r>
        <w:t xml:space="preserve"> </w:t>
      </w:r>
      <w:r>
        <w:t xml:space="preserve">/ lane id</w:t>
      </w:r>
      <w:r>
        <w:t xml:space="preserve"> </w:t>
      </w:r>
      <w:r>
        <w:rPr>
          <w:rStyle w:val="VerbatimChar"/>
        </w:rPr>
        <w:t xml:space="preserve">software_tia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lane_tia</w:t>
      </w:r>
      <w:r>
        <w:t xml:space="preserve">) so it is not confused with KF’s existing Lane-0 ranking helper.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f903dee87e9c5ee9ff9ee3012ddef009c1f4d59"/>
      <w:r>
        <w:t xml:space="preserve">2. How Project TIA works today</w:t>
      </w:r>
      <w:bookmarkEnd w:id="17"/>
    </w:p>
    <w:p>
      <w:pPr>
        <w:pStyle w:val="FirstParagraph"/>
      </w:pPr>
      <w:r>
        <w:t xml:space="preserve">Canonical implementation:</w:t>
      </w:r>
      <w:r>
        <w:t xml:space="preserve"> </w:t>
      </w:r>
      <w:hyperlink r:id="rId10">
        <w:r>
          <w:rPr>
            <w:rStyle w:val="Hyperlink"/>
          </w:rPr>
          <w:t xml:space="preserve">github.com/Assetvaluecash/codeflow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 TIA/tia/</w:t>
      </w:r>
      <w:r>
        <w:t xml:space="preserve"> </w:t>
      </w:r>
      <w:r>
        <w:t xml:space="preserve">(+ docs under</w:t>
      </w:r>
      <w:r>
        <w:t xml:space="preserve"> </w:t>
      </w:r>
      <w:r>
        <w:rPr>
          <w:rStyle w:val="VerbatimChar"/>
        </w:rPr>
        <w:t xml:space="preserve">Project TIA/docs/</w:t>
      </w:r>
      <w:r>
        <w:t xml:space="preserve">, mirrored in</w:t>
      </w:r>
      <w:r>
        <w:t xml:space="preserve"> </w:t>
      </w:r>
      <w:r>
        <w:rPr>
          <w:rStyle w:val="VerbatimChar"/>
        </w:rPr>
        <w:t xml:space="preserve">revised/</w:t>
      </w:r>
      <w:r>
        <w:t xml:space="preserve">).</w:t>
      </w:r>
    </w:p>
    <w:p>
      <w:pPr>
        <w:pStyle w:val="BodyText"/>
      </w:pPr>
      <w:r>
        <w:t xml:space="preserve">Local</w:t>
      </w:r>
      <w:r>
        <w:t xml:space="preserve"> </w:t>
      </w:r>
      <w:r>
        <w:rPr>
          <w:rStyle w:val="VerbatimChar"/>
        </w:rPr>
        <w:t xml:space="preserve">/Users/aurthurj/Downloads/TIA</w:t>
      </w:r>
      <w:r>
        <w:t xml:space="preserve"> </w:t>
      </w:r>
      <w:r>
        <w:t xml:space="preserve">has the PRD / Architecture / Technical Framework and a</w:t>
      </w:r>
      <w:r>
        <w:t xml:space="preserve"> </w:t>
      </w:r>
      <w:r>
        <w:rPr>
          <w:b/>
          <w:bCs/>
        </w:rPr>
        <w:t xml:space="preserve">stub</w:t>
      </w:r>
      <w:r>
        <w:t xml:space="preserve"> </w:t>
      </w:r>
      <w:r>
        <w:t xml:space="preserve">backend 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only). Use the GitHub</w:t>
      </w:r>
      <w:r>
        <w:t xml:space="preserve"> </w:t>
      </w:r>
      <w:r>
        <w:rPr>
          <w:rStyle w:val="VerbatimChar"/>
        </w:rPr>
        <w:t xml:space="preserve">tia/</w:t>
      </w:r>
      <w:r>
        <w:t xml:space="preserve"> </w:t>
      </w:r>
      <w:r>
        <w:t xml:space="preserve">package as the real engine.</w:t>
      </w:r>
    </w:p>
    <w:p>
      <w:pPr>
        <w:pStyle w:val="Heading3"/>
      </w:pPr>
      <w:bookmarkStart w:id="18" w:name="_7f2735906a669447e4c93ca4089d92d02ea1b67"/>
      <w:r>
        <w:t xml:space="preserve">2.1 Locked design</w:t>
      </w:r>
      <w:bookmarkEnd w:id="18"/>
    </w:p>
    <w:p>
      <w:pPr>
        <w:pStyle w:val="FirstParagraph"/>
      </w:pPr>
      <w:r>
        <w:t xml:space="preserve">Evidence-first, deterministic impact engine. LLM may</w:t>
      </w:r>
      <w:r>
        <w:t xml:space="preserve"> </w:t>
      </w:r>
      <w:r>
        <w:rPr>
          <w:b/>
          <w:bCs/>
        </w:rPr>
        <w:t xml:space="preserve">summarise</w:t>
      </w:r>
      <w:r>
        <w:t xml:space="preserve"> </w:t>
      </w:r>
      <w:r>
        <w:t xml:space="preserve">a finished report; it must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invent confirmed edges or invent entities from query text.</w:t>
      </w:r>
    </w:p>
    <w:p>
      <w:pPr>
        <w:pStyle w:val="BodyText"/>
      </w:pPr>
      <w:r>
        <w:t xml:space="preserve">Layers (non-negotiable):</w:t>
      </w:r>
    </w:p>
    <w:p>
      <w:pPr>
        <w:pStyle w:val="Compact"/>
        <w:numPr>
          <w:ilvl w:val="0"/>
          <w:numId w:val="1004"/>
        </w:numPr>
      </w:pPr>
      <w:r>
        <w:t xml:space="preserve">Source ingestion (GitHub / ZIP / CLI) — fetch revisions only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Evidence extraction (Python/Java/SQL/ORM adapters) — entities + provenance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Identity resolution + graph write — sole graph writer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Impact computation — pin snapshot, base/head compare, traverse, classify, unknowns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Release-policy evaluation — separate from discovery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Reporting — immutable Change Impact Report → API / CLI / PR / UI</w:t>
      </w:r>
    </w:p>
    <w:p>
      <w:pPr>
        <w:pStyle w:val="Heading3"/>
      </w:pPr>
      <w:bookmarkStart w:id="19" w:name="_2fa2625434a8b8b1f742f17559f7b1f56898aff"/>
      <w:r>
        <w:t xml:space="preserve">2.2 Native product output (TIA report)</w:t>
      </w:r>
      <w:bookmarkEnd w:id="19"/>
    </w:p>
    <w:p>
      <w:pPr>
        <w:pStyle w:val="FirstParagraph"/>
      </w:pPr>
      <w:r>
        <w:t xml:space="preserve">Core deliverable is the</w:t>
      </w:r>
      <w:r>
        <w:t xml:space="preserve"> </w:t>
      </w:r>
      <w:r>
        <w:rPr>
          <w:b/>
          <w:bCs/>
        </w:rPr>
        <w:t xml:space="preserve">Change Impact Report</w:t>
      </w:r>
      <w:r>
        <w:t xml:space="preserve">, not chat chunks. Illustrative shape (PRD §8.2):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"tia-pr-1842"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"complete_with_gaps"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"base-sha"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"proposed_revision"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"head-sha"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"changed_components"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"api_contract"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"PaymentStatus"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"reconciliation-service"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"contract-confirmed"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consumer references the changed PaymentStatus schema."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"Run the reconciliation contract tests"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"unknowns"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"external_consumers"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 not available."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"required_contract_tests"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"not_evaluated"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Evidence statuses (product language): source/contract confirmed, runtime observed, corroborated, inferred, unknown, stale —</w:t>
      </w:r>
      <w:r>
        <w:t xml:space="preserve"> </w:t>
      </w:r>
      <w:r>
        <w:rPr>
          <w:b/>
          <w:bCs/>
        </w:rPr>
        <w:t xml:space="preserve">inferred must never be presented as confirmed</w:t>
      </w:r>
      <w:r>
        <w:t xml:space="preserve">.</w:t>
      </w:r>
    </w:p>
    <w:p>
      <w:pPr>
        <w:pStyle w:val="BodyText"/>
      </w:pPr>
      <w:r>
        <w:t xml:space="preserve">Key APIs (GitHub package):</w:t>
      </w:r>
      <w:r>
        <w:t xml:space="preserve"> </w:t>
      </w:r>
      <w:r>
        <w:rPr>
          <w:rStyle w:val="VerbatimChar"/>
        </w:rPr>
        <w:t xml:space="preserve">POST /api/v1/impact-analyses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/api/v1/impact-analyses/{id}</w:t>
      </w:r>
      <w:r>
        <w:t xml:space="preserve"> </w:t>
      </w:r>
      <w:r>
        <w:t xml:space="preserve">(+ graph / evidence / publish / reproduce), repository sync, GitHub webhooks.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178d5d41e02a336d39cc0a0f50bac886e01906e"/>
      <w:r>
        <w:t xml:space="preserve">3. Integration posture — separate lane</w:t>
      </w:r>
      <w:bookmarkEnd w:id="2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KF V2.5 deployment estate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Document lane        │     │ Software lane: Project TIA   │  │</w:t>
      </w:r>
      <w:r>
        <w:br/>
      </w:r>
      <w:r>
        <w:rPr>
          <w:rStyle w:val="VerbatimChar"/>
        </w:rPr>
        <w:t xml:space="preserve">│  │ (existing)           │     │ (new — still separate)       │  │</w:t>
      </w:r>
      <w:r>
        <w:br/>
      </w:r>
      <w:r>
        <w:rPr>
          <w:rStyle w:val="VerbatimChar"/>
        </w:rPr>
        <w:t xml:space="preserve">│  │                      │     │                              │  │</w:t>
      </w:r>
      <w:r>
        <w:br/>
      </w:r>
      <w:r>
        <w:rPr>
          <w:rStyle w:val="VerbatimChar"/>
        </w:rPr>
        <w:t xml:space="preserve">│  │ Ingest :6002         │     │ TIA API (own port)           │  │</w:t>
      </w:r>
      <w:r>
        <w:br/>
      </w:r>
      <w:r>
        <w:rPr>
          <w:rStyle w:val="VerbatimChar"/>
        </w:rPr>
        <w:t xml:space="preserve">│  │ Ray / Lane1–3 IE     │     │ Extractors + impact engine   │  │</w:t>
      </w:r>
      <w:r>
        <w:br/>
      </w:r>
      <w:r>
        <w:rPr>
          <w:rStyle w:val="VerbatimChar"/>
        </w:rPr>
        <w:t xml:space="preserve">│  │ Weaviate + Neo4j     │     │ TIA evidence + graph stores  │  │</w:t>
      </w:r>
      <w:r>
        <w:br/>
      </w:r>
      <w:r>
        <w:rPr>
          <w:rStyle w:val="VerbatimChar"/>
        </w:rPr>
        <w:t xml:space="preserve">│  │ (doc ontology)       │     │ (code/contract ontology)     │  │</w:t>
      </w:r>
      <w:r>
        <w:br/>
      </w:r>
      <w:r>
        <w:rPr>
          <w:rStyle w:val="VerbatimChar"/>
        </w:rPr>
        <w:t xml:space="preserve">│  └──────────┬───────────┘     └──────────────┬───────────────┘  │</w:t>
      </w:r>
      <w:r>
        <w:br/>
      </w:r>
      <w:r>
        <w:rPr>
          <w:rStyle w:val="VerbatimChar"/>
        </w:rPr>
        <w:t xml:space="preserve">│             │                                │                   │</w:t>
      </w:r>
      <w:r>
        <w:br/>
      </w:r>
      <w:r>
        <w:rPr>
          <w:rStyle w:val="VerbatimChar"/>
        </w:rPr>
        <w:t xml:space="preserve">│             ▼                                ▼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┌──────────────────────────────┐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Doc Hybrid Retriever │     │ TIA report API (native)      │  │</w:t>
      </w:r>
      <w:r>
        <w:br/>
      </w:r>
      <w:r>
        <w:rPr>
          <w:rStyle w:val="VerbatimChar"/>
        </w:rPr>
        <w:t xml:space="preserve">│  │ POST /query          │     │ + optional V2-shaped adapter │  │</w:t>
      </w:r>
      <w:r>
        <w:br/>
      </w:r>
      <w:r>
        <w:rPr>
          <w:rStyle w:val="VerbatimChar"/>
        </w:rPr>
        <w:t xml:space="preserve">│  │ QueryResponse ★      │     │ projecting into QueryResponse★│  │</w:t>
      </w:r>
      <w:r>
        <w:br/>
      </w:r>
      <w:r>
        <w:rPr>
          <w:rStyle w:val="VerbatimChar"/>
        </w:rPr>
        <w:t xml:space="preserve">│  └──────────────────────┘     └──────────────────────────────┘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Agents / Pulse: choose door by query class                      │</w:t>
      </w:r>
      <w:r>
        <w:br/>
      </w:r>
      <w:r>
        <w:rPr>
          <w:rStyle w:val="VerbatimChar"/>
        </w:rPr>
        <w:t xml:space="preserve">│  • Doc Q&amp;A / req↔process impact → document /query                │</w:t>
      </w:r>
      <w:r>
        <w:br/>
      </w:r>
      <w:r>
        <w:rPr>
          <w:rStyle w:val="VerbatimChar"/>
        </w:rPr>
        <w:t xml:space="preserve">│  • PR / API / code blast radius → TIA (native or adapted)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★ Same QueryResponse schema for agent clients that already speak V2.</w:t>
      </w:r>
    </w:p>
    <w:p>
      <w:pPr>
        <w:pStyle w:val="Heading3"/>
      </w:pPr>
      <w:bookmarkStart w:id="21" w:name="_c6097a847413a358e0ccf644403f263b4e4ee85"/>
      <w:r>
        <w:t xml:space="preserve">What “integrated into V2” may mean</w:t>
      </w:r>
      <w:bookmarkEnd w:id="21"/>
    </w:p>
    <w:p>
      <w:pPr>
        <w:pStyle w:val="Compact"/>
        <w:numPr>
          <w:ilvl w:val="0"/>
          <w:numId w:val="1005"/>
        </w:numPr>
      </w:pPr>
      <w:r>
        <w:t xml:space="preserve">Live in the same monorepo / handoff zip / k8s namespace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Share env/secret patterns, observability, auth gateway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facade</w:t>
      </w:r>
      <w:r>
        <w:t xml:space="preserve"> </w:t>
      </w:r>
      <w:r>
        <w:t xml:space="preserve">that routes</w:t>
      </w:r>
      <w:r>
        <w:t xml:space="preserve"> </w:t>
      </w:r>
      <w:r>
        <w:rPr>
          <w:rStyle w:val="VerbatimChar"/>
        </w:rPr>
        <w:t xml:space="preserve">intent=software_impact</w:t>
      </w:r>
      <w:r>
        <w:t xml:space="preserve"> </w:t>
      </w:r>
      <w:r>
        <w:t xml:space="preserve">(or similar) to TIA while keeping</w:t>
      </w:r>
      <w:r>
        <w:t xml:space="preserve"> </w:t>
      </w:r>
      <w:r>
        <w:rPr>
          <w:rStyle w:val="VerbatimChar"/>
        </w:rPr>
        <w:t xml:space="preserve">POST /query</w:t>
      </w:r>
      <w:r>
        <w:t xml:space="preserve"> </w:t>
      </w:r>
      <w:r>
        <w:t xml:space="preserve">body/response compatible</w:t>
      </w:r>
    </w:p>
    <w:p>
      <w:pPr>
        <w:pStyle w:val="Heading3"/>
      </w:pPr>
      <w:bookmarkStart w:id="22" w:name="_e8f4718bf1061008482394d96ae6b8c9fbf8a52"/>
      <w:r>
        <w:t xml:space="preserve">What it must not mean</w:t>
      </w:r>
      <w:bookmarkEnd w:id="22"/>
    </w:p>
    <w:p>
      <w:pPr>
        <w:pStyle w:val="Compact"/>
        <w:numPr>
          <w:ilvl w:val="0"/>
          <w:numId w:val="1006"/>
        </w:numPr>
      </w:pPr>
      <w:r>
        <w:t xml:space="preserve">Running TIA extractors inside Lane 2 LLM IE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Writing TIA inferred edges into the document Neo4j as admitted</w:t>
      </w:r>
      <w:r>
        <w:t xml:space="preserve"> </w:t>
      </w:r>
      <w:r>
        <w:rPr>
          <w:rStyle w:val="VerbatimChar"/>
        </w:rPr>
        <w:t xml:space="preserve">IMPACTS</w:t>
      </w:r>
      <w:r>
        <w:t xml:space="preserve"> </w:t>
      </w:r>
      <w:r>
        <w:t xml:space="preserve">without HITL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Replacing document</w:t>
      </w:r>
      <w:r>
        <w:t xml:space="preserve"> </w:t>
      </w:r>
      <w:r>
        <w:rPr>
          <w:rStyle w:val="VerbatimChar"/>
        </w:rPr>
        <w:t xml:space="preserve">change_impact</w:t>
      </w:r>
      <w:r>
        <w:t xml:space="preserve"> </w:t>
      </w:r>
      <w:r>
        <w:t xml:space="preserve">patterns with code paths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Renaming or overloading KF’s existing Lane-0</w:t>
      </w:r>
      <w:r>
        <w:t xml:space="preserve"> </w:t>
      </w:r>
      <w:r>
        <w:rPr>
          <w:rStyle w:val="VerbatimChar"/>
        </w:rPr>
        <w:t xml:space="preserve">engines/tia</w:t>
      </w:r>
      <w:r>
        <w:t xml:space="preserve"> </w:t>
      </w:r>
      <w:r>
        <w:t xml:space="preserve">without an explicit migration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_requirements"/>
      <w:r>
        <w:t xml:space="preserve">4. Requirements</w:t>
      </w:r>
      <w:bookmarkEnd w:id="23"/>
    </w:p>
    <w:p>
      <w:pPr>
        <w:pStyle w:val="Heading3"/>
      </w:pPr>
      <w:bookmarkStart w:id="24" w:name="_functional"/>
      <w:r>
        <w:t xml:space="preserve">4.1 Functional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Project TIA remains a</w:t>
            </w:r>
            <w:r>
              <w:t xml:space="preserve"> </w:t>
            </w:r>
            <w:r>
              <w:rPr>
                <w:b/>
                <w:bCs/>
              </w:rPr>
              <w:t xml:space="preserve">first-class Change Impact Report</w:t>
            </w:r>
            <w:r>
              <w:t xml:space="preserve"> </w:t>
            </w:r>
            <w:r>
              <w:t xml:space="preserve">producer (native JSON + human summary).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Agents that already call KF V2</w:t>
            </w:r>
            <w:r>
              <w:t xml:space="preserve"> </w:t>
            </w:r>
            <w:r>
              <w:rPr>
                <w:rStyle w:val="VerbatimChar"/>
              </w:rPr>
              <w:t xml:space="preserve">POST /query</w:t>
            </w:r>
            <w:r>
              <w:t xml:space="preserve"> </w:t>
            </w:r>
            <w:r>
              <w:t xml:space="preserve">must continue to receive responses conforming to</w:t>
            </w:r>
            <w:r>
              <w:t xml:space="preserve"> </w:t>
            </w:r>
            <w:r>
              <w:rPr>
                <w:b/>
                <w:bCs/>
              </w:rPr>
              <w:t xml:space="preserve">§5 QueryResponse</w:t>
            </w:r>
            <w:r>
              <w:t xml:space="preserve"> </w:t>
            </w:r>
            <w:r>
              <w:t xml:space="preserve">when using the TIA-backed door.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Document hybrid retriever behaviour for existing intents (</w:t>
            </w:r>
            <w:r>
              <w:rPr>
                <w:rStyle w:val="VerbatimChar"/>
              </w:rPr>
              <w:t xml:space="preserve">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change_impact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test_coverage</w:t>
            </w:r>
            <w:r>
              <w:t xml:space="preserve">, …) remains unchanged.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Dual blast radius is supported: document KG impact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software TIA impact in parallel; clients select by intent / endpoint / query 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TIA findings expose evidence status; adapter must not upgrade</w:t>
            </w:r>
            <w:r>
              <w:t xml:space="preserve"> </w:t>
            </w:r>
            <w:r>
              <w:rPr>
                <w:rStyle w:val="VerbatimChar"/>
              </w:rPr>
              <w:t xml:space="preserve">inferred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to confirmed semantics in</w:t>
            </w:r>
            <w:r>
              <w:t xml:space="preserve"> </w:t>
            </w: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/ chunks.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Unknowns, gaps, truncation, and</w:t>
            </w:r>
            <w:r>
              <w:t xml:space="preserve"> </w:t>
            </w:r>
            <w:r>
              <w:rPr>
                <w:rStyle w:val="VerbatimChar"/>
              </w:rPr>
              <w:t xml:space="preserve">complete_with_gaps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must remain visible (in TIA native report always; in adapter via</w:t>
            </w:r>
            <w:r>
              <w:t xml:space="preserve"> </w:t>
            </w:r>
            <w:r>
              <w:rPr>
                <w:rStyle w:val="VerbatimChar"/>
              </w:rPr>
              <w:t xml:space="preserve">metadata.errors</w:t>
            </w:r>
            <w:r>
              <w:t xml:space="preserve"> </w:t>
            </w:r>
            <w:r>
              <w:t xml:space="preserve">and/or chunk text).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GitHub PR / webhook / CLI analysis flows from codeflow continue to work without requiring document ingestion.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Optional cross-link: a TIA finding may cite related</w:t>
            </w:r>
            <w:r>
              <w:t xml:space="preserve"> </w:t>
            </w:r>
            <w:r>
              <w:rPr>
                <w:b/>
                <w:bCs/>
              </w:rPr>
              <w:t xml:space="preserve">document</w:t>
            </w:r>
            <w:r>
              <w:t xml:space="preserve"> </w:t>
            </w:r>
            <w:r>
              <w:t xml:space="preserve">entities (by domain/block_id) when a mapping table exists — never invent document entities.</w:t>
            </w:r>
          </w:p>
        </w:tc>
      </w:tr>
    </w:tbl>
    <w:p>
      <w:pPr>
        <w:pStyle w:val="Heading3"/>
      </w:pPr>
      <w:bookmarkStart w:id="25" w:name="_b6a40c8e547659c4c97217b4f196dca9d82c08a"/>
      <w:r>
        <w:t xml:space="preserve">4.2 Non-functional</w:t>
      </w:r>
      <w:bookmarkEnd w:id="2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Separate process or clearly isolated package; failure of TIA must not take down ingestion</w:t>
            </w:r>
            <w:r>
              <w:t xml:space="preserve"> </w:t>
            </w:r>
            <w:r>
              <w:rPr>
                <w:rStyle w:val="VerbatimChar"/>
              </w:rPr>
              <w:t xml:space="preserve">:6002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Separate data stores (or isolated Neo4j labels / DB names / Weaviate classes) for TIA evidence vs document KG.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N3</w:t>
            </w:r>
          </w:p>
        </w:tc>
        <w:tc>
          <w:tcPr/>
          <w:p>
            <w:pPr>
              <w:pStyle w:val="Compact"/>
            </w:pPr>
            <w:r>
              <w:t xml:space="preserve">Determinism: same revisions + extractor/config versions + snapshot → same structured findings.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N4</w:t>
            </w:r>
          </w:p>
        </w:tc>
        <w:tc>
          <w:tcPr/>
          <w:p>
            <w:pPr>
              <w:pStyle w:val="Compact"/>
            </w:pPr>
            <w:r>
              <w:t xml:space="preserve">Secrets and repo tokens never land in document Weaviate text fields.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N5</w:t>
            </w:r>
          </w:p>
        </w:tc>
        <w:tc>
          <w:tcPr/>
          <w:p>
            <w:pPr>
              <w:pStyle w:val="Compact"/>
            </w:pPr>
            <w:r>
              <w:t xml:space="preserve">Latency SLO for adapter path documented separately from doc hybrid retrieval (code graph walks ≠ vector search).</w:t>
            </w:r>
          </w:p>
        </w:tc>
      </w:tr>
    </w:tbl>
    <w:p>
      <w:pPr>
        <w:pStyle w:val="Heading3"/>
      </w:pPr>
      <w:bookmarkStart w:id="26" w:name="_27919c3b077b8f07ef4e497027779467b1e9137"/>
      <w:r>
        <w:t xml:space="preserve">4.3 Explicit non-goals (phase 1)</w:t>
      </w:r>
      <w:bookmarkEnd w:id="26"/>
    </w:p>
    <w:p>
      <w:pPr>
        <w:pStyle w:val="Compact"/>
        <w:numPr>
          <w:ilvl w:val="0"/>
          <w:numId w:val="1007"/>
        </w:numPr>
      </w:pPr>
      <w:r>
        <w:t xml:space="preserve">Merging TIA graph into document ontology categories (</w:t>
      </w:r>
      <w:r>
        <w:rPr>
          <w:rStyle w:val="VerbatimChar"/>
        </w:rPr>
        <w:t xml:space="preserve">Requirement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, …) as first-class IE types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Using Lane 2 LLM to invent cross-repo consumers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Requiring Ray for TIA analyses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Replacing Pulse/agent contracts with a brand-new response schema without an adapter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_bf488d0d8d95e956662f32153deb36cd82fd706"/>
      <w:r>
        <w:t xml:space="preserve">5. Retriever output reference (must stay the same)</w:t>
      </w:r>
      <w:bookmarkEnd w:id="27"/>
    </w:p>
    <w:p>
      <w:pPr>
        <w:pStyle w:val="FirstParagraph"/>
      </w:pPr>
      <w:r>
        <w:rPr>
          <w:b/>
          <w:bCs/>
        </w:rPr>
        <w:t xml:space="preserve">Authoritative contract:</w:t>
      </w:r>
      <w:r>
        <w:br/>
      </w:r>
      <w:r>
        <w:rPr>
          <w:rStyle w:val="VerbatimChar"/>
        </w:rPr>
        <w:t xml:space="preserve">KF-V2-2/ingestion/KFabric-Ingestion-V2/kbfabric_ingest/retrieval/retriever_api.py</w:t>
      </w:r>
      <w:r>
        <w:br/>
      </w:r>
      <w:r>
        <w:t xml:space="preserve">(</w:t>
      </w:r>
      <w:r>
        <w:rPr>
          <w:rStyle w:val="VerbatimChar"/>
        </w:rPr>
        <w:t xml:space="preserve">QueryRequest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QueryResponse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ChunkItem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PathItem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RetrievalMetadata</w:t>
      </w:r>
      <w:r>
        <w:t xml:space="preserve">)</w:t>
      </w:r>
    </w:p>
    <w:p>
      <w:pPr>
        <w:pStyle w:val="BodyText"/>
      </w:pPr>
      <w:r>
        <w:t xml:space="preserve">Produced by</w:t>
      </w:r>
      <w:r>
        <w:t xml:space="preserve"> </w:t>
      </w:r>
      <w:r>
        <w:rPr>
          <w:rStyle w:val="VerbatimChar"/>
        </w:rPr>
        <w:t xml:space="preserve">HybridRetriever.retrieve()</w:t>
      </w:r>
      <w:r>
        <w:t xml:space="preserve"> </w:t>
      </w:r>
      <w:r>
        <w:t xml:space="preserve">and served by</w:t>
      </w:r>
      <w:r>
        <w:t xml:space="preserve"> </w:t>
      </w:r>
      <w:r>
        <w:rPr>
          <w:rStyle w:val="VerbatimChar"/>
        </w:rPr>
        <w:t xml:space="preserve">POST /query</w:t>
      </w:r>
      <w:r>
        <w:t xml:space="preserve">.</w:t>
      </w:r>
    </w:p>
    <w:p>
      <w:pPr>
        <w:pStyle w:val="Heading3"/>
      </w:pPr>
      <w:bookmarkStart w:id="28" w:name="_request"/>
      <w:r>
        <w:t xml:space="preserve">5.1 Request</w:t>
      </w:r>
      <w:bookmarkEnd w:id="28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"change_impact"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does user story JIRA-4521 impact?"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"corporate_commercial"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"top_k_semantic"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"top_k_graph"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the TIA-backed door (proposal):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"software_tia"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"Impact of PR 1842 PaymentStatus change in payments-service"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"corporate_commercial"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"top_k_semantic"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"top_k_graph"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software_tia</w:t>
      </w:r>
      <w:r>
        <w:t xml:space="preserve"> </w:t>
      </w:r>
      <w:r>
        <w:t xml:space="preserve">is additive; existing intents keep hitting the document HybridRetriever.)</w:t>
      </w:r>
    </w:p>
    <w:p>
      <w:pPr>
        <w:pStyle w:val="Heading3"/>
      </w:pPr>
      <w:bookmarkStart w:id="29" w:name="_2fd73e3ca7e80f3a1c90f65fb44e18e9256cf16"/>
      <w:r>
        <w:t xml:space="preserve">5.2 Response — top level (required keys)</w:t>
      </w:r>
      <w:bookmarkEnd w:id="2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"&lt;echo&gt;"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"&lt;domain&gt;"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"detected_domains"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"&lt;domain&gt;"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"reranked_chunks"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"reranked_paths"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"software_tia"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"&lt;human description or analysis_id&gt;"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"latency_ms"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"chunks_considered"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"paths_considered"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Agents should prefer</w:t>
      </w:r>
      <w:r>
        <w:t xml:space="preserve"> </w:t>
      </w:r>
      <w:r>
        <w:rPr>
          <w:rStyle w:val="VerbatimChar"/>
          <w:b/>
          <w:bCs/>
        </w:rPr>
        <w:t xml:space="preserve">reranked_chunks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reranked_paths</w:t>
      </w:r>
      <w:r>
        <w:t xml:space="preserve"> </w:t>
      </w:r>
      <w:r>
        <w:t xml:space="preserve">(same as today’s E2E harness).</w:t>
      </w:r>
    </w:p>
    <w:p>
      <w:pPr>
        <w:pStyle w:val="Heading3"/>
      </w:pPr>
      <w:bookmarkStart w:id="30" w:name="_94cd64791b054348ec225581daa63120edd22e5"/>
      <w:r>
        <w:t xml:space="preserve">5.3 ChunkItem (exact fields)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Evidence / finding prose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Repo-relative path when 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TIA: use finding</w:t>
            </w:r>
            <w:r>
              <w:t xml:space="preserve"> </w:t>
            </w:r>
            <w:r>
              <w:rPr>
                <w:rStyle w:val="VerbatimChar"/>
              </w:rPr>
              <w:t xml:space="preserve">impact_type</w:t>
            </w:r>
            <w:r>
              <w:t xml:space="preserve"> </w:t>
            </w:r>
            <w:r>
              <w:t xml:space="preserve">or node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Severity-derived or 1.0 for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weaviate_uuid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Empty for TIA unless a doc chunk is linked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analysis_id</w:t>
            </w:r>
            <w:r>
              <w:t xml:space="preserve"> </w:t>
            </w:r>
            <w:r>
              <w:t xml:space="preserve">+ finding index, or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page_number</w:t>
            </w:r>
          </w:p>
        </w:tc>
        <w:tc>
          <w:tcPr/>
          <w:p>
            <w:pPr>
              <w:pStyle w:val="Compact"/>
            </w:pPr>
            <w:r>
              <w:t xml:space="preserve">int | null</w:t>
            </w:r>
          </w:p>
        </w:tc>
        <w:tc>
          <w:tcPr/>
          <w:p>
            <w:pPr>
              <w:pStyle w:val="Compact"/>
            </w:pPr>
            <w:r>
              <w:t xml:space="preserve">Usually null for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block_index</w:t>
            </w:r>
          </w:p>
        </w:tc>
        <w:tc>
          <w:tcPr/>
          <w:p>
            <w:pPr>
              <w:pStyle w:val="Compact"/>
            </w:pPr>
            <w:r>
              <w:t xml:space="preserve">int | null</w:t>
            </w:r>
          </w:p>
        </w:tc>
        <w:tc>
          <w:tcPr/>
          <w:p>
            <w:pPr>
              <w:pStyle w:val="Compact"/>
            </w:pPr>
            <w:r>
              <w:t xml:space="preserve">Optional finding ordinal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tia_finding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kg_node_type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api_contract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Same domain scoping as request when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extracted_fields</w:t>
            </w:r>
          </w:p>
        </w:tc>
        <w:tc>
          <w:tcPr/>
          <w:p>
            <w:pPr>
              <w:pStyle w:val="Compac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string</w:t>
            </w:r>
            <w:r>
              <w:t xml:space="preserve"> </w:t>
            </w:r>
            <w:r>
              <w:t xml:space="preserve">or null (V2 convention)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extracted_knowledge</w:t>
            </w:r>
          </w:p>
        </w:tc>
        <w:tc>
          <w:tcPr/>
          <w:p>
            <w:pPr>
              <w:pStyle w:val="Compac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string</w:t>
            </w:r>
            <w:r>
              <w:t xml:space="preserve"> </w:t>
            </w:r>
            <w:r>
              <w:t xml:space="preserve">or null</w:t>
            </w:r>
          </w:p>
        </w:tc>
      </w:tr>
    </w:tbl>
    <w:p>
      <w:pPr>
        <w:pStyle w:val="Heading3"/>
      </w:pPr>
      <w:bookmarkStart w:id="31" w:name="_256fae57866baafbf7b71e3703dc24ca2ce28ca"/>
      <w:r>
        <w:t xml:space="preserve">5.4 PathItem (exact fields)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path_text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Symbolic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from_entity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type }</w:t>
            </w:r>
          </w:p>
        </w:tc>
        <w:tc>
          <w:tcPr/>
          <w:p>
            <w:pPr>
              <w:pStyle w:val="Compact"/>
            </w:pPr>
            <w:r>
              <w:t xml:space="preserve">API model; library may also emit</w:t>
            </w:r>
            <w:r>
              <w:t xml:space="preserve"> </w:t>
            </w:r>
            <w:r>
              <w:rPr>
                <w:rStyle w:val="VerbatimChar"/>
              </w:rPr>
              <w:t xml:space="preserve">canonical_name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relationship_type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First hop / primary edge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type 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source_block_id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source_page</w:t>
            </w:r>
          </w:p>
        </w:tc>
        <w:tc>
          <w:tcPr/>
          <w:p>
            <w:pPr>
              <w:pStyle w:val="Compact"/>
            </w:pPr>
            <w:r>
              <w:t xml:space="preserve">int |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source_evidence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Natural-language evidence chain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Compatibility note:</w:t>
      </w:r>
      <w:r>
        <w:t xml:space="preserve"> </w:t>
      </w:r>
      <w:r>
        <w:rPr>
          <w:rStyle w:val="VerbatimChar"/>
        </w:rPr>
        <w:t xml:space="preserve">_format_path</w:t>
      </w:r>
      <w:r>
        <w:t xml:space="preserve"> </w:t>
      </w:r>
      <w:r>
        <w:t xml:space="preserve">may include</w:t>
      </w:r>
      <w:r>
        <w:t xml:space="preserve"> </w:t>
      </w:r>
      <w:r>
        <w:rPr>
          <w:rStyle w:val="VerbatimChar"/>
        </w:rPr>
        <w:t xml:space="preserve">canonical_name</w:t>
      </w:r>
      <w:r>
        <w:t xml:space="preserve"> </w:t>
      </w:r>
      <w:r>
        <w:t xml:space="preserve">on entities; the FastAPI</w:t>
      </w:r>
      <w:r>
        <w:t xml:space="preserve"> </w:t>
      </w:r>
      <w:r>
        <w:rPr>
          <w:rStyle w:val="VerbatimChar"/>
        </w:rPr>
        <w:t xml:space="preserve">EntityRef</w:t>
      </w:r>
      <w:r>
        <w:t xml:space="preserve"> </w:t>
      </w:r>
      <w:r>
        <w:t xml:space="preserve">model only declares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Adapter should always populate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so HTTP clients stay valid.</w:t>
      </w:r>
    </w:p>
    <w:p>
      <w:pPr>
        <w:pStyle w:val="Heading3"/>
      </w:pPr>
      <w:bookmarkStart w:id="32" w:name="_2eb05ac5193f29a34163a28b082a70aa2b17b44"/>
      <w:r>
        <w:t xml:space="preserve">5.5 What must not change</w:t>
      </w:r>
      <w:bookmarkEnd w:id="32"/>
    </w:p>
    <w:p>
      <w:pPr>
        <w:pStyle w:val="Compact"/>
        <w:numPr>
          <w:ilvl w:val="0"/>
          <w:numId w:val="1008"/>
        </w:numPr>
      </w:pPr>
      <w:r>
        <w:t xml:space="preserve">Top-level key names and nesting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Chunk/path field names listed above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Use of</w:t>
      </w:r>
      <w:r>
        <w:t xml:space="preserve"> </w:t>
      </w:r>
      <w:r>
        <w:rPr>
          <w:b/>
          <w:bCs/>
        </w:rPr>
        <w:t xml:space="preserve">stringified JSON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extracted_fields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extracted_knowledge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Preference for</w:t>
      </w:r>
      <w:r>
        <w:t xml:space="preserve"> </w:t>
      </w:r>
      <w:r>
        <w:rPr>
          <w:rStyle w:val="VerbatimChar"/>
        </w:rPr>
        <w:t xml:space="preserve">reranked_*</w:t>
      </w:r>
      <w:r>
        <w:t xml:space="preserve"> </w:t>
      </w:r>
      <w:r>
        <w:t xml:space="preserve">as the primary agent context</w:t>
      </w:r>
    </w:p>
    <w:p>
      <w:pPr>
        <w:pStyle w:val="FirstParagraph"/>
      </w:pPr>
      <w:r>
        <w:t xml:space="preserve">Additive fields outside this schema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V2 agent contract unless every consumer is updated. Put the full TIA report behind the native TIA API (or a clearly versioned extension endpoint), not inside a breaking</w:t>
      </w:r>
      <w:r>
        <w:t xml:space="preserve"> </w:t>
      </w:r>
      <w:r>
        <w:rPr>
          <w:rStyle w:val="VerbatimChar"/>
        </w:rPr>
        <w:t xml:space="preserve">/query</w:t>
      </w:r>
      <w:r>
        <w:t xml:space="preserve"> </w:t>
      </w:r>
      <w:r>
        <w:t xml:space="preserve">change.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ad48c87d4e3050132abee99c2fdca48c44ecf73"/>
      <w:r>
        <w:t xml:space="preserve">6. Adapter: TIA report → V2 QueryResponse</w:t>
      </w:r>
      <w:bookmarkEnd w:id="33"/>
    </w:p>
    <w:p>
      <w:pPr>
        <w:pStyle w:val="Heading3"/>
      </w:pPr>
      <w:bookmarkStart w:id="34" w:name="_1898f84171a70e478533eb9751ba210a526638a"/>
      <w:r>
        <w:t xml:space="preserve">6.1 Mapping rules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TIA source</w:t>
            </w:r>
          </w:p>
        </w:tc>
        <w:tc>
          <w:tcPr/>
          <w:p>
            <w:pPr>
              <w:pStyle w:val="Compact"/>
            </w:pPr>
            <w:r>
              <w:t xml:space="preserve">V2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finding with a path / path_edges</w:t>
            </w:r>
          </w:p>
        </w:tc>
        <w:tc>
          <w:tcPr/>
          <w:p>
            <w:pPr>
              <w:pStyle w:val="Compact"/>
            </w:pPr>
            <w:r>
              <w:t xml:space="preserve">One or more</w:t>
            </w:r>
            <w:r>
              <w:t xml:space="preserve"> </w:t>
            </w:r>
            <w:r>
              <w:rPr>
                <w:rStyle w:val="VerbatimChar"/>
              </w:rPr>
              <w:t xml:space="preserve">PathItem</w:t>
            </w:r>
            <w:r>
              <w:t xml:space="preserve">s in</w:t>
            </w:r>
            <w:r>
              <w:t xml:space="preserve"> </w:t>
            </w: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reranked_paths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reason + evidence file/line + required_verification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ChunkItem.text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source_file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chunks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reranked_chunks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  <w:r>
              <w:t xml:space="preserve"> </w:t>
            </w:r>
            <w:r>
              <w:t xml:space="preserve">critical/high/medium/low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</w:t>
            </w:r>
            <w:r>
              <w:t xml:space="preserve"> </w:t>
            </w:r>
            <w:r>
              <w:t xml:space="preserve">(e.g. 1.0 / 0.85 / 0.6 / 0.35); material findings sort first into</w:t>
            </w:r>
            <w:r>
              <w:t xml:space="preserve"> </w:t>
            </w:r>
            <w:r>
              <w:rPr>
                <w:rStyle w:val="VerbatimChar"/>
              </w:rPr>
              <w:t xml:space="preserve">reranked_*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evidence_status</w:t>
            </w:r>
          </w:p>
        </w:tc>
        <w:tc>
          <w:tcPr/>
          <w:p>
            <w:pPr>
              <w:pStyle w:val="Compact"/>
            </w:pPr>
            <w:r>
              <w:t xml:space="preserve">Encode in</w:t>
            </w:r>
            <w:r>
              <w:t xml:space="preserve"> </w:t>
            </w:r>
            <w:r>
              <w:rPr>
                <w:rStyle w:val="VerbatimChar"/>
              </w:rPr>
              <w:t xml:space="preserve">source_evidence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extracted_fields</w:t>
            </w:r>
            <w:r>
              <w:t xml:space="preserve"> </w:t>
            </w:r>
            <w:r>
              <w:t xml:space="preserve">JSON string — never drop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unknowns[]</w:t>
            </w:r>
          </w:p>
        </w:tc>
        <w:tc>
          <w:tcPr/>
          <w:p>
            <w:pPr>
              <w:pStyle w:val="Compact"/>
            </w:pPr>
            <w:r>
              <w:t xml:space="preserve">Chunks with</w:t>
            </w:r>
            <w:r>
              <w:t xml:space="preserve"> </w:t>
            </w:r>
            <w:r>
              <w:rPr>
                <w:rStyle w:val="VerbatimChar"/>
              </w:rPr>
              <w:t xml:space="preserve">category=unknown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metadata.errors</w:t>
            </w:r>
            <w:r>
              <w:t xml:space="preserve"> </w:t>
            </w:r>
            <w:r>
              <w:t xml:space="preserve">entries — never silent omit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metadata.pattern</w:t>
            </w:r>
            <w:r>
              <w:t xml:space="preserve"> </w:t>
            </w:r>
            <w:r>
              <w:t xml:space="preserve">and/or</w:t>
            </w:r>
            <w:r>
              <w:t xml:space="preserve"> </w:t>
            </w:r>
            <w:r>
              <w:rPr>
                <w:rStyle w:val="VerbatimChar"/>
              </w:rPr>
              <w:t xml:space="preserve">block_id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partial / complete_with_gaps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metadata.errors</w:t>
            </w:r>
            <w:r>
              <w:t xml:space="preserve"> </w:t>
            </w:r>
            <w:r>
              <w:t xml:space="preserve">includes status string</w:t>
            </w:r>
          </w:p>
        </w:tc>
      </w:tr>
    </w:tbl>
    <w:p>
      <w:pPr>
        <w:pStyle w:val="Heading3"/>
      </w:pPr>
      <w:bookmarkStart w:id="35" w:name="_f98323a39213901ef26527482a2cb4aa809690c"/>
      <w:r>
        <w:t xml:space="preserve">6.2 Example projection (abbreviated)</w:t>
      </w:r>
      <w:bookmarkEnd w:id="35"/>
    </w:p>
    <w:p>
      <w:pPr>
        <w:pStyle w:val="FirstParagraph"/>
      </w:pPr>
      <w:r>
        <w:t xml:space="preserve">TIA finding → path: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"(api_contract: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PaymentStatus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)-[:CONSUMED_BY]→(service: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reconciliation-service</w:t>
      </w:r>
      <w:r>
        <w:rPr>
          <w:rStyle w:val="CharTok"/>
        </w:rPr>
        <w:t xml:space="preserve">\"</w:t>
      </w:r>
      <w:r>
        <w:rPr>
          <w:rStyle w:val="StringTok"/>
        </w:rPr>
        <w:t xml:space="preserve">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"api_contract"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"CONSUMED_BY"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"reconciliation-service"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"tia-pr-1842#0"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"src/consumers/payment_status.ts"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"contract-confirmed: consumer references changed PaymentStatus schema"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Same finding → chunk: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contract impact on reconciliation-service. Run reconciliation contract tests. Verify compatibility with deployed consumer version."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"src/consumers/payment_status.ts"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"weaviate_uuid"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"tia-pr-1842#0"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"tia_finding"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"kg_node_type"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"corporate_commercial"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severity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high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evidence_status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contract-confirmed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analysis_id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tia-pr-1842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"extracted_knowledge"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6" w:name="_4cd583228c20d4c20063d36a5237709f8576a09"/>
      <w:r>
        <w:t xml:space="preserve">6.3 Routing options (pick one in implementation)</w:t>
      </w:r>
      <w:bookmarkEnd w:id="3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Facade on :6004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/query</w:t>
            </w:r>
            <w:r>
              <w:t xml:space="preserve"> </w:t>
            </w:r>
            <w:r>
              <w:t xml:space="preserve">inspects</w:t>
            </w:r>
            <w:r>
              <w:t xml:space="preserve"> </w:t>
            </w:r>
            <w:r>
              <w:rPr>
                <w:rStyle w:val="VerbatimChar"/>
              </w:rPr>
              <w:t xml:space="preserve">intent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software_tia</w:t>
            </w:r>
            <w:r>
              <w:t xml:space="preserve"> </w:t>
            </w:r>
            <w:r>
              <w:t xml:space="preserve">→ TIA client + adapter; else HybridRetriever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Sibling route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document-only; add</w:t>
            </w:r>
            <w:r>
              <w:t xml:space="preserve"> </w:t>
            </w:r>
            <w:r>
              <w:rPr>
                <w:rStyle w:val="VerbatimChar"/>
              </w:rPr>
              <w:t xml:space="preserve">/query/tia</w:t>
            </w:r>
            <w:r>
              <w:t xml:space="preserve"> </w:t>
            </w:r>
            <w:r>
              <w:t xml:space="preserve">that still returns</w:t>
            </w:r>
            <w:r>
              <w:t xml:space="preserve"> </w:t>
            </w:r>
            <w:r>
              <w:rPr>
                <w:rStyle w:val="VerbatimChar"/>
              </w:rPr>
              <w:t xml:space="preserve">QueryResponse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Agent dual-call</w:t>
            </w:r>
          </w:p>
        </w:tc>
        <w:tc>
          <w:tcPr/>
          <w:p>
            <w:pPr>
              <w:pStyle w:val="Compact"/>
            </w:pPr>
            <w:r>
              <w:t xml:space="preserve">Agents call TIA native</w:t>
            </w:r>
            <w:r>
              <w:t xml:space="preserve"> </w:t>
            </w:r>
            <w:r>
              <w:rPr>
                <w:rStyle w:val="VerbatimChar"/>
              </w:rPr>
              <w:t xml:space="preserve">/api/v1/impact-analyses</w:t>
            </w:r>
            <w:r>
              <w:t xml:space="preserve"> </w:t>
            </w:r>
            <w:r>
              <w:t xml:space="preserve">for reports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for KG; adapter only where a single schema is mandatory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A or B</w:t>
      </w:r>
      <w:r>
        <w:t xml:space="preserve"> </w:t>
      </w:r>
      <w:r>
        <w:t xml:space="preserve">for Pulse/agents that already only speak</w:t>
      </w:r>
      <w:r>
        <w:t xml:space="preserve"> </w:t>
      </w:r>
      <w:r>
        <w:rPr>
          <w:rStyle w:val="VerbatimChar"/>
        </w:rPr>
        <w:t xml:space="preserve">QueryResponse</w:t>
      </w:r>
      <w:r>
        <w:t xml:space="preserve">; always keep</w:t>
      </w:r>
      <w:r>
        <w:t xml:space="preserve"> </w:t>
      </w:r>
      <w:r>
        <w:rPr>
          <w:b/>
          <w:bCs/>
        </w:rPr>
        <w:t xml:space="preserve">native TIA report API</w:t>
      </w:r>
      <w:r>
        <w:t xml:space="preserve"> </w:t>
      </w:r>
      <w:r>
        <w:t xml:space="preserve">for engineering/PR workflows (F1).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8e5076fc20946b4bda99947cd38e3e28b79269f"/>
      <w:r>
        <w:t xml:space="preserve">7. Suggested repo / deploy layout</w:t>
      </w:r>
      <w:bookmarkEnd w:id="37"/>
    </w:p>
    <w:p>
      <w:pPr>
        <w:pStyle w:val="FirstParagraph"/>
      </w:pPr>
      <w:r>
        <w:t xml:space="preserve">Under KF V2.5 handoff (illustrative — do not collapse packages):</w:t>
      </w:r>
    </w:p>
    <w:p>
      <w:pPr>
        <w:pStyle w:val="SourceCode"/>
      </w:pPr>
      <w:r>
        <w:rPr>
          <w:rStyle w:val="VerbatimChar"/>
        </w:rPr>
        <w:t xml:space="preserve">KF-V2-2/</w:t>
      </w:r>
      <w:r>
        <w:br/>
      </w:r>
      <w:r>
        <w:rPr>
          <w:rStyle w:val="VerbatimChar"/>
        </w:rPr>
        <w:t xml:space="preserve">  ingestion/          # unchanged document lane</w:t>
      </w:r>
      <w:r>
        <w:br/>
      </w:r>
      <w:r>
        <w:rPr>
          <w:rStyle w:val="VerbatimChar"/>
        </w:rPr>
        <w:t xml:space="preserve">  retriever/          # optional: document HybridRetriever extracted later</w:t>
      </w:r>
      <w:r>
        <w:br/>
      </w:r>
      <w:r>
        <w:rPr>
          <w:rStyle w:val="VerbatimChar"/>
        </w:rPr>
        <w:t xml:space="preserve">  tia/                # NEW — vendored/cloned from Assetvaluecash/codeflow Project TIA/tia</w:t>
      </w:r>
      <w:r>
        <w:br/>
      </w:r>
      <w:r>
        <w:rPr>
          <w:rStyle w:val="VerbatimChar"/>
        </w:rPr>
        <w:t xml:space="preserve">    # own Dockerfile, migrations, start script, env template</w:t>
      </w:r>
      <w:r>
        <w:br/>
      </w:r>
      <w:r>
        <w:rPr>
          <w:rStyle w:val="VerbatimChar"/>
        </w:rPr>
        <w:t xml:space="preserve">  integration/</w:t>
      </w:r>
      <w:r>
        <w:br/>
      </w:r>
      <w:r>
        <w:rPr>
          <w:rStyle w:val="VerbatimChar"/>
        </w:rPr>
        <w:t xml:space="preserve">    tia_query_adapter.py   # report → QueryResponse</w:t>
      </w:r>
      <w:r>
        <w:br/>
      </w:r>
      <w:r>
        <w:rPr>
          <w:rStyle w:val="VerbatimChar"/>
        </w:rPr>
        <w:t xml:space="preserve">    INTENT_SOFTWARE_TIA.md</w:t>
      </w:r>
    </w:p>
    <w:p>
      <w:pPr>
        <w:pStyle w:val="FirstParagraph"/>
      </w:pPr>
      <w:r>
        <w:t xml:space="preserve">Or keep TIA as an external service and only ship the adapter + OpenAPI notes inside KF-V2-2.</w:t>
      </w:r>
    </w:p>
    <w:p>
      <w:pPr>
        <w:pStyle w:val="BodyText"/>
      </w:pPr>
      <w:r>
        <w:t xml:space="preserve">Environment (minimal):</w:t>
      </w:r>
    </w:p>
    <w:p>
      <w:pPr>
        <w:pStyle w:val="Compact"/>
        <w:numPr>
          <w:ilvl w:val="0"/>
          <w:numId w:val="1009"/>
        </w:numPr>
      </w:pPr>
      <w:r>
        <w:t xml:space="preserve">TIA: DB URL, GitHub app/token, evidence store paths, listen port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KF: existing Weaviate / Neo4j / Postgres / embedding env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Adapter:</w:t>
      </w:r>
      <w:r>
        <w:t xml:space="preserve"> </w:t>
      </w:r>
      <w:r>
        <w:rPr>
          <w:rStyle w:val="VerbatimChar"/>
        </w:rPr>
        <w:t xml:space="preserve">TIA_BASE_URL</w:t>
      </w:r>
      <w:r>
        <w:t xml:space="preserve">, shared auth if any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TIA graph writes at the document Neo4j database used by Lane 2 admission without an isolated label/DB plan approved by KF owners.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45fa7e44163dcba98186235b6096ae8fa453ea7"/>
      <w:r>
        <w:t xml:space="preserve">8. Phased delivery</w:t>
      </w:r>
      <w:bookmarkEnd w:id="3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Clone codeflow; run TIA standalone; produce one real Change Impact Report</w:t>
            </w:r>
          </w:p>
        </w:tc>
        <w:tc>
          <w:tcPr/>
          <w:p>
            <w:pPr>
              <w:pStyle w:val="Compact"/>
            </w:pPr>
            <w:r>
              <w:t xml:space="preserve">Native report matches PRD integrity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tia_query_adapter</w:t>
            </w:r>
            <w:r>
              <w:t xml:space="preserve"> </w:t>
            </w:r>
            <w:r>
              <w:t xml:space="preserve">+ golden fixtures vs §5 schema</w:t>
            </w:r>
          </w:p>
        </w:tc>
        <w:tc>
          <w:tcPr/>
          <w:p>
            <w:pPr>
              <w:pStyle w:val="Compact"/>
            </w:pPr>
            <w:r>
              <w:t xml:space="preserve">Fixture diffs empty on required keys; E2E agent can read</w:t>
            </w:r>
            <w:r>
              <w:t xml:space="preserve"> </w:t>
            </w:r>
            <w:r>
              <w:rPr>
                <w:rStyle w:val="VerbatimChar"/>
              </w:rPr>
              <w:t xml:space="preserve">reranked_*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Wire facade or</w:t>
            </w:r>
            <w:r>
              <w:t xml:space="preserve"> </w:t>
            </w:r>
            <w:r>
              <w:rPr>
                <w:rStyle w:val="VerbatimChar"/>
              </w:rPr>
              <w:t xml:space="preserve">/query/tia</w:t>
            </w:r>
            <w:r>
              <w:t xml:space="preserve">; document intent</w:t>
            </w:r>
            <w:r>
              <w:t xml:space="preserve"> </w:t>
            </w:r>
            <w:r>
              <w:rPr>
                <w:rStyle w:val="VerbatimChar"/>
              </w:rPr>
              <w:t xml:space="preserve">software_tia</w:t>
            </w:r>
          </w:p>
        </w:tc>
        <w:tc>
          <w:tcPr/>
          <w:p>
            <w:pPr>
              <w:pStyle w:val="Compact"/>
            </w:pPr>
            <w:r>
              <w:t xml:space="preserve">Doc intents regression-green; TIA intent returns same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Optional cross-links to document</w:t>
            </w:r>
            <w:r>
              <w:t xml:space="preserve"> </w:t>
            </w:r>
            <w:r>
              <w:rPr>
                <w:rStyle w:val="VerbatimChar"/>
              </w:rPr>
              <w:t xml:space="preserve">block_id</w:t>
            </w:r>
            <w:r>
              <w:t xml:space="preserve">s / domains</w:t>
            </w:r>
          </w:p>
        </w:tc>
        <w:tc>
          <w:tcPr/>
          <w:p>
            <w:pPr>
              <w:pStyle w:val="Compact"/>
            </w:pPr>
            <w:r>
              <w:t xml:space="preserve">Links only when mapping exists; no invented 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Hardening: authz, multi-tenant repo ACL, observability, SLOs</w:t>
            </w:r>
          </w:p>
        </w:tc>
        <w:tc>
          <w:tcPr/>
          <w:p>
            <w:pPr>
              <w:pStyle w:val="Compact"/>
            </w:pPr>
            <w:r>
              <w:t xml:space="preserve">Matches N1–N5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fbc1ac8450b72baac0b491ed627124ddee5b834"/>
      <w:r>
        <w:t xml:space="preserve">9. Acceptance checklist</w:t>
      </w:r>
      <w:bookmarkEnd w:id="39"/>
    </w:p>
    <w:p>
      <w:pPr>
        <w:pStyle w:val="Compact"/>
        <w:numPr>
          <w:ilvl w:val="0"/>
          <w:numId w:val="1010"/>
        </w:numPr>
      </w:pPr>
      <w:r>
        <w:t xml:space="preserve">TIA runs as an isolated lane (own process/store); document Lane1–3 untouched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Native Change Impact Report still available and evidence-status accurate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Any TIA→agent path returns §5</w:t>
      </w:r>
      <w:r>
        <w:t xml:space="preserve"> </w:t>
      </w:r>
      <w:r>
        <w:rPr>
          <w:rStyle w:val="VerbatimChar"/>
        </w:rPr>
        <w:t xml:space="preserve">QueryResponse</w:t>
      </w:r>
      <w:r>
        <w:t xml:space="preserve"> </w:t>
      </w:r>
      <w:r>
        <w:t xml:space="preserve">with required keys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reranked_chunks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reranked_paths</w:t>
      </w:r>
      <w:r>
        <w:t xml:space="preserve"> </w:t>
      </w:r>
      <w:r>
        <w:t xml:space="preserve">populated for material findings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Inferred/unknown never labelled as confirmed in adapted paths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POST /query</w:t>
      </w:r>
      <w:r>
        <w:t xml:space="preserve"> </w:t>
      </w:r>
      <w:r>
        <w:t xml:space="preserve">document intents unchanged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Naming distinguishes Project TIA from KF Lane-0</w:t>
      </w:r>
      <w:r>
        <w:t xml:space="preserve"> </w:t>
      </w:r>
      <w:r>
        <w:rPr>
          <w:rStyle w:val="VerbatimChar"/>
        </w:rPr>
        <w:t xml:space="preserve">engines/tia</w:t>
      </w:r>
      <w:r>
        <w:t xml:space="preserve"> </w:t>
      </w:r>
      <w:r>
        <w:t xml:space="preserve">/ CIA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Secrets and private source not leaked into document vector store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_references"/>
      <w:r>
        <w:t xml:space="preserve">10. References</w:t>
      </w:r>
      <w:bookmarkEnd w:id="4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TIA (GitHub)</w:t>
            </w:r>
          </w:p>
        </w:tc>
        <w:tc>
          <w:tcPr/>
          <w:p>
            <w:pPr>
              <w:pStyle w:val="Compact"/>
            </w:pPr>
            <w:r>
              <w:t xml:space="preserve">https://github.com/Assetvaluecash/codeflow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TIA PRD / Architecture (local)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/Users/aurthurj/Downloads/TIA/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KF 2.5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/Users/aurthurj/Downloads/KF-V2-2/ingestion/README.md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QueryResponse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.../kbfabric_ingest/retrieval/retriever_api.py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retrieve 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.../kbfabric_ingest/retrieval/hybrid_retriever.py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intents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.../config/retrieval_patterns.yaml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_a84fffa8e9533aa743e820861afdfb353468583"/>
      <w:r>
        <w:t xml:space="preserve">Appendix A — Quick comparison</w:t>
      </w:r>
      <w:bookmarkEnd w:id="4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Document lane (KF V2.5)</w:t>
            </w:r>
          </w:p>
        </w:tc>
        <w:tc>
          <w:tcPr/>
          <w:p>
            <w:pPr>
              <w:pStyle w:val="Compact"/>
            </w:pPr>
            <w:r>
              <w:t xml:space="preserve">Software lane (Project TIA)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DOCX/PDF/MD uploads, folders</w:t>
            </w:r>
          </w:p>
        </w:tc>
        <w:tc>
          <w:tcPr/>
          <w:p>
            <w:pPr>
              <w:pStyle w:val="Compact"/>
            </w:pPr>
            <w:r>
              <w:t xml:space="preserve">Git repos, PRs, base/head SHAs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Ontology IE (rules + LLM + vision)</w:t>
            </w:r>
          </w:p>
        </w:tc>
        <w:tc>
          <w:tcPr/>
          <w:p>
            <w:pPr>
              <w:pStyle w:val="Compact"/>
            </w:pPr>
            <w:r>
              <w:t xml:space="preserve">AST / contracts / tests / (later)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Requirement–Process–TestCase…</w:t>
            </w:r>
          </w:p>
        </w:tc>
        <w:tc>
          <w:tcPr/>
          <w:p>
            <w:pPr>
              <w:pStyle w:val="Compact"/>
            </w:pPr>
            <w:r>
              <w:t xml:space="preserve">Service–API–Callsite–Test–Deploy…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Truth rule</w:t>
            </w:r>
          </w:p>
        </w:tc>
        <w:tc>
          <w:tcPr/>
          <w:p>
            <w:pPr>
              <w:pStyle w:val="Compact"/>
            </w:pPr>
            <w:r>
              <w:t xml:space="preserve">HITL admission into stores</w:t>
            </w:r>
          </w:p>
        </w:tc>
        <w:tc>
          <w:tcPr/>
          <w:p>
            <w:pPr>
              <w:pStyle w:val="Compact"/>
            </w:pPr>
            <w:r>
              <w:t xml:space="preserve">Evidence status on every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output</w:t>
            </w:r>
          </w:p>
        </w:tc>
        <w:tc>
          <w:tcPr/>
          <w:p>
            <w:pPr>
              <w:pStyle w:val="Compact"/>
            </w:pPr>
            <w:r>
              <w:t xml:space="preserve">Hybrid retrieval pack</w:t>
            </w:r>
          </w:p>
        </w:tc>
        <w:tc>
          <w:tcPr/>
          <w:p>
            <w:pPr>
              <w:pStyle w:val="Compact"/>
            </w:pPr>
            <w:r>
              <w:t xml:space="preserve">Change Impact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wire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QueryResponse</w:t>
            </w:r>
            <w:r>
              <w:t xml:space="preserve"> </w:t>
            </w:r>
            <w:r>
              <w:t xml:space="preserve">(native)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QueryResponse</w:t>
            </w:r>
            <w:r>
              <w:t xml:space="preserve"> </w:t>
            </w:r>
            <w:r>
              <w:t xml:space="preserve">via adapter + native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“change_impact” meaning</w:t>
            </w:r>
          </w:p>
        </w:tc>
        <w:tc>
          <w:tcPr/>
          <w:p>
            <w:pPr>
              <w:pStyle w:val="Compact"/>
            </w:pPr>
            <w:r>
              <w:t xml:space="preserve">Doc blast radius</w:t>
            </w:r>
          </w:p>
        </w:tc>
        <w:tc>
          <w:tcPr/>
          <w:p>
            <w:pPr>
              <w:pStyle w:val="Compact"/>
            </w:pPr>
            <w:r>
              <w:t xml:space="preserve">Code/contract blast radius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Assetvaluecash/codefl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Assetvaluecash/codefl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2026-10-30T11:43:34Z</dcterms:created>
  <dcterms:modified xsi:type="dcterms:W3CDTF">2026-10-30T11:43:34Z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