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ssistant-bold.ttf" ContentType="application/x-font-ttf"/>
  <Override PartName="/word/fonts/Assistant-regular.ttf" ContentType="application/x-font-ttf"/>
  <Override PartName="/word/fonts/BricolageGrotesque-bold.ttf" ContentType="application/x-font-ttf"/>
  <Override PartName="/word/fonts/BricolageGrotesque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nts/NovaMono-regular.ttf" ContentType="application/x-font-ttf"/>
  <Override PartName="/word/fonts/PTMon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Bricolage Grotesque" w:cs="Bricolage Grotesque" w:eastAsia="Bricolage Grotesque" w:hAnsi="Bricolage Grotesque"/>
          <w:sz w:val="26"/>
          <w:szCs w:val="26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color w:val="1e3a5f"/>
          <w:sz w:val="44"/>
          <w:szCs w:val="44"/>
          <w:rtl w:val="0"/>
        </w:rPr>
        <w:t xml:space="preserve">Convention de formation professionnelle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5b87c4" w:space="1" w:sz="6" w:val="single"/>
        </w:pBdr>
        <w:jc w:val="center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color w:val="5b87c4"/>
          <w:rtl w:val="0"/>
        </w:rPr>
        <w:t xml:space="preserve">Articles L.6353-1 et D.6353-1 du Code du travail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1) Parties</w:t>
      </w:r>
    </w:p>
    <w:p w:rsidR="00000000" w:rsidDel="00000000" w:rsidP="00000000" w:rsidRDefault="00000000" w:rsidRPr="00000000" w14:paraId="00000005">
      <w:pPr>
        <w:rPr>
          <w:rFonts w:ascii="Bricolage Grotesque" w:cs="Bricolage Grotesque" w:eastAsia="Bricolage Grotesque" w:hAnsi="Bricolage Grotesque"/>
          <w:b w:val="1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sz w:val="26"/>
          <w:szCs w:val="26"/>
          <w:rtl w:val="0"/>
        </w:rPr>
        <w:t xml:space="preserve">Bénéficiaire (acheteur de formation)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ssistant" w:cs="Assistant" w:eastAsia="Assistant" w:hAnsi="Assistant"/>
          <w:highlight w:val="red"/>
        </w:rPr>
      </w:pPr>
      <w:r>
        <w:t>{{NOM_ENTREPRISE}} — SIREN : {{SIREN}} — SIRET (siège) : {{SIRET}}</w:t>
      </w:r>
    </w:p>
    <w:p w:rsidR="00000000" w:rsidDel="00000000" w:rsidP="00000000" w:rsidRDefault="00000000" w:rsidRPr="00000000" w14:paraId="00000007">
      <w:pPr>
        <w:rPr>
          <w:rFonts w:ascii="Assistant" w:cs="Assistant" w:eastAsia="Assistant" w:hAnsi="Assistant"/>
          <w:highlight w:val="red"/>
        </w:rPr>
      </w:pPr>
      <w:r>
        <w:t>Siège : {{ADRESSE_SIEGE}}</w:t>
      </w:r>
    </w:p>
    <w:p w:rsidR="00000000" w:rsidDel="00000000" w:rsidP="00000000" w:rsidRDefault="00000000" w:rsidRPr="00000000" w14:paraId="00000008">
      <w:pPr>
        <w:rPr>
          <w:rFonts w:ascii="Assistant" w:cs="Assistant" w:eastAsia="Assistant" w:hAnsi="Assistant"/>
          <w:highlight w:val="red"/>
        </w:rPr>
      </w:pPr>
      <w:r>
        <w:t>Représenté par : {{REPRESENTANT}}</w:t>
      </w:r>
    </w:p>
    <w:p w:rsidR="00000000" w:rsidDel="00000000" w:rsidP="00000000" w:rsidRDefault="00000000" w:rsidRPr="00000000" w14:paraId="00000009">
      <w:pPr>
        <w:rPr>
          <w:rFonts w:ascii="Bricolage Grotesque" w:cs="Bricolage Grotesque" w:eastAsia="Bricolage Grotesque" w:hAnsi="Bricolage Grotesque"/>
          <w:sz w:val="26"/>
          <w:szCs w:val="26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sz w:val="26"/>
          <w:szCs w:val="26"/>
          <w:rtl w:val="0"/>
        </w:rPr>
        <w:br w:type="textWrapping"/>
        <w:t xml:space="preserve">Organisme de 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ssistant" w:cs="Assistant" w:eastAsia="Assistant" w:hAnsi="Assistant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rtl w:val="0"/>
        </w:rPr>
        <w:t xml:space="preserve">THE INTELLIGENCE ACADEMY - ALEXIS ALBOUZE (Entrepreneur individuel)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— SIRET : 851 486 373 00018 — RCS Bobigny</w:t>
      </w:r>
    </w:p>
    <w:p w:rsidR="00000000" w:rsidDel="00000000" w:rsidP="00000000" w:rsidRDefault="00000000" w:rsidRPr="00000000" w14:paraId="0000000B">
      <w:pPr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NAF/APE : 7022Z — TVA intracommunautaire : FR21851486373 </w:t>
      </w:r>
    </w:p>
    <w:p w:rsidR="00000000" w:rsidDel="00000000" w:rsidP="00000000" w:rsidRDefault="00000000" w:rsidRPr="00000000" w14:paraId="0000000C">
      <w:pPr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Adresse : 41 rue de Romainville, 93100 Montreuil (Seine-Saint-Denis)</w:t>
      </w:r>
    </w:p>
    <w:p w:rsidR="00000000" w:rsidDel="00000000" w:rsidP="00000000" w:rsidRDefault="00000000" w:rsidRPr="00000000" w14:paraId="0000000D">
      <w:pPr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Numéro de déclaration d’activité (NDA) : </w:t>
      </w:r>
      <w:r w:rsidDel="00000000" w:rsidR="00000000" w:rsidRPr="00000000">
        <w:rPr>
          <w:rFonts w:ascii="Assistant" w:cs="Assistant" w:eastAsia="Assistant" w:hAnsi="Assistant"/>
          <w:sz w:val="20"/>
          <w:szCs w:val="20"/>
          <w:shd w:fill="fafafa" w:val="clear"/>
          <w:rtl w:val="0"/>
        </w:rPr>
        <w:t xml:space="preserve">11931190793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2) Objet, intitulé, objectifs, contenu, moyens, organisation</w:t>
      </w:r>
    </w:p>
    <w:p w:rsidR="00000000" w:rsidDel="00000000" w:rsidP="00000000" w:rsidRDefault="00000000" w:rsidRPr="00000000" w14:paraId="0000000F">
      <w:pPr>
        <w:pStyle w:val="Heading2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Intitulé de l’action</w:t>
      </w:r>
    </w:p>
    <w:p w:rsidR="00000000" w:rsidDel="00000000" w:rsidP="00000000" w:rsidRDefault="00000000" w:rsidRPr="00000000" w14:paraId="00000010">
      <w:pPr>
        <w:rPr>
          <w:rFonts w:ascii="Assistant" w:cs="Assistant" w:eastAsia="Assistant" w:hAnsi="Assistant"/>
        </w:rPr>
      </w:pPr>
      <w:r>
        <w:rPr>
          <w:rFonts w:ascii="Assistant" w:hAnsi="Assistant"/>
        </w:rPr>
        <w:t>{{NOM_FORMATION}}</w:t>
      </w:r>
    </w:p>
    <w:p w:rsidR="00000000" w:rsidDel="00000000" w:rsidP="00000000" w:rsidRDefault="00000000" w:rsidRPr="00000000" w14:paraId="00000011">
      <w:pPr>
        <w:spacing w:after="0" w:line="276" w:lineRule="auto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color w:val="2e5a8f"/>
          <w:sz w:val="26"/>
          <w:szCs w:val="26"/>
          <w:rtl w:val="0"/>
        </w:rPr>
        <w:t xml:space="preserve">Catégorie d’action de formation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0" w:line="276" w:lineRule="auto"/>
        <w:jc w:val="both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Action de formation (article L.6313-1 du code du travail).</w:t>
        <w:br w:type="textWrapping"/>
      </w: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br w:type="textWrapping"/>
      </w:r>
    </w:p>
    <w:p w:rsidR="00000000" w:rsidDel="00000000" w:rsidP="00000000" w:rsidRDefault="00000000" w:rsidRPr="00000000" w14:paraId="00000013">
      <w:pPr>
        <w:spacing w:after="0" w:line="276" w:lineRule="auto"/>
        <w:jc w:val="both"/>
        <w:rPr>
          <w:rFonts w:ascii="Bricolage Grotesque" w:cs="Bricolage Grotesque" w:eastAsia="Bricolage Grotesque" w:hAnsi="Bricolage Grotesque"/>
          <w:b w:val="1"/>
          <w:color w:val="2e5a8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jc w:val="both"/>
        <w:rPr>
          <w:rFonts w:ascii="Bricolage Grotesque" w:cs="Bricolage Grotesque" w:eastAsia="Bricolage Grotesque" w:hAnsi="Bricolage Grotesque"/>
          <w:b w:val="1"/>
          <w:color w:val="2e5a8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jc w:val="both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b w:val="1"/>
          <w:color w:val="2e5a8f"/>
          <w:sz w:val="26"/>
          <w:szCs w:val="26"/>
          <w:rtl w:val="0"/>
        </w:rPr>
        <w:t xml:space="preserve">Objectif professionnel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ssistant" w:cs="Assistant" w:eastAsia="Assistant" w:hAnsi="Assistant"/>
        </w:rPr>
      </w:pPr>
      <w:r>
        <w:rPr>
          <w:rFonts w:ascii="Assistant" w:hAnsi="Assistant"/>
        </w:rPr>
        <w:t>{{OBJECTIF_PROFESSIONNEL}}</w:t>
      </w:r>
    </w:p>
    <w:p w:rsidR="00000000" w:rsidDel="00000000" w:rsidP="00000000" w:rsidRDefault="00000000" w:rsidRPr="00000000" w14:paraId="00000017">
      <w:pPr>
        <w:pStyle w:val="Heading2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br w:type="textWrapping"/>
        <w:t xml:space="preserve">Contenu pédagogique (synthèse)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ssistant" w:cs="Assistant" w:eastAsia="Assistant" w:hAnsi="Assistant"/>
          <w:color w:val="44546a"/>
          <w:sz w:val="20"/>
          <w:szCs w:val="20"/>
          <w:highlight w:val="yellow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A l’issue des différentes séquences et modules de formation, le stagiaire sera capable de</w:t>
      </w:r>
      <w:r w:rsidDel="00000000" w:rsidR="00000000" w:rsidRPr="00000000">
        <w:rPr>
          <w:rFonts w:ascii="Assistant" w:cs="Assistant" w:eastAsia="Assistant" w:hAnsi="Assistant"/>
          <w:color w:val="44546a"/>
          <w:sz w:val="20"/>
          <w:szCs w:val="20"/>
          <w:rtl w:val="0"/>
        </w:rPr>
        <w:t xml:space="preserve">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line="240" w:lineRule="auto"/>
        <w:ind w:left="720" w:hanging="360"/>
      </w:pP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Être capable de cartographier les concepts et les tendances IA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et structurer une veille outillée.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line="240" w:lineRule="auto"/>
        <w:ind w:left="720" w:hanging="360"/>
      </w:pP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Rédiger des prompts avancés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pour produire du texte, analyser des documents et générer des images.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line="240" w:lineRule="auto"/>
        <w:ind w:left="720" w:hanging="360"/>
      </w:pP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Utiliser ChatGPT pour la recherche, la rédaction et la création de contenus professionnels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en maximisant ses fonctionnalités (voix, images, documents)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line="240" w:lineRule="auto"/>
        <w:ind w:left="720" w:hanging="360"/>
      </w:pP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Transformer un besoin « semi-mesure » en un brief (prompt) IA exploitable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(formes plausibles, matériaux, typographies, contraintes simples).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lin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Générer des concepts visuels en images et des variantes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matière/couleur/typographie comparables (angle, lumière et cadrage constants).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lin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Produire des images produit réalistes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(héros et détails) et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d’insérer l’objet dans des décors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crédibles avec perspective, ombres et reflets cohérents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lin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Produire un fichier 3D maillé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(GLB/GLTF ou OBJ)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directement importable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dans votre logiciel en tant que </w:t>
      </w:r>
      <w:r w:rsidDel="00000000" w:rsidR="00000000" w:rsidRPr="00000000">
        <w:rPr>
          <w:rFonts w:ascii="Assistant" w:cs="Assistant" w:eastAsia="Assistant" w:hAnsi="Assistant"/>
          <w:i w:val="1"/>
          <w:rtl w:val="0"/>
        </w:rPr>
        <w:t xml:space="preserve">mesh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, à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utiliser comme gabarit de référence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pour “croquer”/re-modéliser par-dessus, avec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possibilité de convertir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les zones reconnues en géométrie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BREP standard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quand c’est pertinent — sans viser un solide paramétrique natif dès la sortie IA.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lin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Placer l’objet dans des scènes 3D crédibles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via un brief IA (échelle calée, perspective correcte, ombres/reflets cohérents, matériaux PBR, cadrage et lumière constants, rendus prêts e-commerce).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lin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être capable de contrôler la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lisibilité et les contrastes</w:t>
      </w:r>
      <w:sdt>
        <w:sdtPr>
          <w:id w:val="1709288779"/>
          <w:tag w:val="goog_rdk_0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 avec l’IA, à partir d’une table interne (distance → hauteur de lettre/marges minimales), sur maquettes ou photos (échelle calée), et d’obtenir un </w:t>
          </w:r>
        </w:sdtContent>
      </w:sdt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rapport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“OK / à corriger” avec recommandations précises (taille, contraste, marges).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lin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être capable de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connecter l’IA au logiciel interne via le model context protocol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(accès au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système de fichiers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local) pour automatiser la préparation d’un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pack e-commerce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: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renommer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selon une convention,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ranger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dans l’arborescence standard,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générer</w:t>
      </w:r>
      <w:sdt>
        <w:sdtPr>
          <w:id w:val="-297116761"/>
          <w:tag w:val="goog_rdk_1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 le manifest (options ↔ images ↔ alt-text) et </w:t>
          </w:r>
        </w:sdtContent>
      </w:sdt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vérifier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la complétude.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br w:type="textWrapping"/>
      </w: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Moyens pédagogiques &amp; techniques</w:t>
      </w:r>
    </w:p>
    <w:p w:rsidR="00000000" w:rsidDel="00000000" w:rsidP="00000000" w:rsidRDefault="00000000" w:rsidRPr="00000000" w14:paraId="00000024">
      <w:pPr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Exposés interactifs, démonstrations, études de cas, ateliers guidés, QCM/quiz ; support PDF, fiches pratiques, modèles de prompts, gabarits tableur/slides ; salle équipée (vidéoprojecteur/écran) et un ordinateur par participant. Accès aux outils : ChatGPT et Cursor.</w:t>
      </w:r>
    </w:p>
    <w:p w:rsidR="00000000" w:rsidDel="00000000" w:rsidP="00000000" w:rsidRDefault="00000000" w:rsidRPr="00000000" w14:paraId="00000025">
      <w:pPr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Les comptes/licences logiciels (Illustrator, SolidWorks, ChatGPT/Cursor) et les accès réseau sont fournis par le Bénéficiaire.</w:t>
        <w:br w:type="textWrapping"/>
      </w:r>
    </w:p>
    <w:p w:rsidR="00000000" w:rsidDel="00000000" w:rsidP="00000000" w:rsidRDefault="00000000" w:rsidRPr="00000000" w14:paraId="00000026">
      <w:pPr>
        <w:pStyle w:val="Heading2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Modalité, lieu, durée et horaires</w:t>
      </w:r>
    </w:p>
    <w:p w:rsidR="00000000" w:rsidDel="00000000" w:rsidP="00000000" w:rsidRDefault="00000000" w:rsidRPr="00000000" w14:paraId="00000027">
      <w:pPr>
        <w:rPr>
          <w:rFonts w:ascii="Assistant" w:cs="Assistant" w:eastAsia="Assistant" w:hAnsi="Assistant"/>
        </w:rPr>
      </w:pPr>
      <w:r>
        <w:t>Modalité : {{MODALITE}} (taux des enseignements dispensés à distance : {{TAUX_DISTANCE}} %).</w:t>
      </w:r>
    </w:p>
    <w:p w:rsidR="00000000" w:rsidDel="00000000" w:rsidP="00000000" w:rsidRDefault="00000000" w:rsidRPr="00000000" w14:paraId="00000028">
      <w:pPr>
        <w:rPr>
          <w:rFonts w:ascii="Assistant" w:cs="Assistant" w:eastAsia="Assistant" w:hAnsi="Assistant"/>
          <w:highlight w:val="red"/>
        </w:rPr>
      </w:pPr>
      <w:r>
        <w:t>Lieu : {{LIEU}}</w:t>
      </w:r>
    </w:p>
    <w:p w:rsidR="00000000" w:rsidDel="00000000" w:rsidP="00000000" w:rsidRDefault="00000000" w:rsidRPr="00000000" w14:paraId="00000029">
      <w:pPr>
        <w:rPr>
          <w:rFonts w:ascii="Assistant" w:cs="Assistant" w:eastAsia="Assistant" w:hAnsi="Assistant"/>
        </w:rPr>
      </w:pPr>
      <w:r>
        <w:t>Durée : {{DUREE_HEURES}} heures sur {{DUREE_JOURS}} jours.</w:t>
      </w:r>
    </w:p>
    <w:p w:rsidR="00000000" w:rsidDel="00000000" w:rsidP="00000000" w:rsidRDefault="00000000" w:rsidRPr="00000000" w14:paraId="0000002A">
      <w:pPr>
        <w:rPr>
          <w:rFonts w:ascii="Assistant" w:cs="Assistant" w:eastAsia="Assistant" w:hAnsi="Assistant"/>
          <w:highlight w:val="red"/>
        </w:rPr>
      </w:pPr>
      <w:r>
        <w:t>Période / dates : {{PERIODE_DATES}}</w:t>
      </w:r>
    </w:p>
    <w:p w:rsidR="00000000" w:rsidDel="00000000" w:rsidP="00000000" w:rsidRDefault="00000000" w:rsidRPr="00000000" w14:paraId="0000002B">
      <w:pPr>
        <w:rPr>
          <w:rFonts w:ascii="Assistant" w:cs="Assistant" w:eastAsia="Assistant" w:hAnsi="Assistant"/>
        </w:rPr>
      </w:pPr>
      <w:r>
        <w:t>Horaires : {{HORAIRES}}.</w:t>
      </w:r>
    </w:p>
    <w:p w:rsidR="00000000" w:rsidDel="00000000" w:rsidP="00000000" w:rsidRDefault="00000000" w:rsidRPr="00000000" w14:paraId="0000002C">
      <w:pPr>
        <w:rPr>
          <w:rFonts w:ascii="Assistant" w:cs="Assistant" w:eastAsia="Assistant" w:hAnsi="Assistant"/>
        </w:rPr>
      </w:pPr>
      <w:r>
        <w:t>Effectif : {{EFFECTIF_MIN}} à {{EFFECTIF_MAX}} participants.</w:t>
      </w:r>
    </w:p>
    <w:p w:rsidR="00000000" w:rsidDel="00000000" w:rsidP="00000000" w:rsidRDefault="00000000" w:rsidRPr="00000000" w14:paraId="0000002D">
      <w:pPr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3) Participants (liste nominative)</w:t>
        <w:br w:type="textWrapping"/>
      </w:r>
    </w:p>
    <w:tbl>
      <w:tblPr>
        <w:tblStyle w:val="Table1"/>
        <w:tblW w:w="949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85"/>
        <w:gridCol w:w="2160"/>
        <w:gridCol w:w="2160"/>
        <w:gridCol w:w="2790"/>
        <w:tblGridChange w:id="0">
          <w:tblGrid>
            <w:gridCol w:w="2385"/>
            <w:gridCol w:w="2160"/>
            <w:gridCol w:w="2160"/>
            <w:gridCol w:w="2790"/>
          </w:tblGrid>
        </w:tblGridChange>
      </w:tblGrid>
      <w:tr>
        <w:trPr>
          <w:cantSplit w:val="0"/>
          <w:trHeight w:val="852.56599260754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color w:val="1e3a5f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color w:val="1e3a5f"/>
                <w:rtl w:val="0"/>
              </w:rPr>
              <w:t xml:space="preserve">Prénom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color w:val="1e3a5f"/>
                <w:rtl w:val="0"/>
              </w:rPr>
              <w:t xml:space="preserve">Fonction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color w:val="1e3a5f"/>
                <w:rtl w:val="0"/>
              </w:rPr>
              <w:t xml:space="preserve">E-mail professionnel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W w:type="dxa" w:w="2385"/>
          </w:tcPr>
          <w:p>
            <w:r>
              <w:t>{{NOM}}</w:t>
            </w:r>
          </w:p>
        </w:tc>
        <w:tc>
          <w:tcPr>
            <w:tcW w:type="dxa" w:w="2160"/>
          </w:tcPr>
          <w:p>
            <w:r>
              <w:t>{{PRENOM}}</w:t>
            </w:r>
          </w:p>
        </w:tc>
        <w:tc>
          <w:tcPr>
            <w:tcW w:type="dxa" w:w="2160"/>
          </w:tcPr>
          <w:p>
            <w:r>
              <w:t>{{FONCTION}}</w:t>
            </w:r>
          </w:p>
        </w:tc>
        <w:tc>
          <w:tcPr>
            <w:tcW w:type="dxa" w:w="2790"/>
          </w:tcPr>
          <w:p>
            <w:r>
              <w:t>{{EMAIL}}</w:t>
            </w:r>
          </w:p>
        </w:tc>
      </w:tr>
    </w:tbl>
    <w:p w:rsidR="00000000" w:rsidDel="00000000" w:rsidP="00000000" w:rsidRDefault="00000000" w:rsidRPr="00000000" w14:paraId="0000004C">
      <w:pPr>
        <w:pStyle w:val="Heading1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4) Encadrement, accessibilité, déroulement, suivi et sanction</w:t>
      </w:r>
    </w:p>
    <w:p w:rsidR="00000000" w:rsidDel="00000000" w:rsidP="00000000" w:rsidRDefault="00000000" w:rsidRPr="00000000" w14:paraId="0000004E">
      <w:pPr>
        <w:pStyle w:val="Heading2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Encadrement &amp; accessibilité</w:t>
      </w:r>
    </w:p>
    <w:p w:rsidR="00000000" w:rsidDel="00000000" w:rsidP="00000000" w:rsidRDefault="00000000" w:rsidRPr="00000000" w14:paraId="0000004F">
      <w:pPr>
        <w:rPr>
          <w:rFonts w:ascii="Assistant" w:cs="Assistant" w:eastAsia="Assistant" w:hAnsi="Assistant"/>
        </w:rPr>
      </w:pPr>
      <w:sdt>
        <w:sdtPr>
          <w:id w:val="1168450846"/>
          <w:tag w:val="goog_rdk_2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Animation par un·e formateur·rice expert·e en IA appliquée (≥7 ans). Référent handicap mobilisable pour aménagements.</w:t>
          </w:r>
        </w:sdtContent>
      </w:sdt>
    </w:p>
    <w:p w:rsidR="00000000" w:rsidDel="00000000" w:rsidP="00000000" w:rsidRDefault="00000000" w:rsidRPr="00000000" w14:paraId="00000050">
      <w:pPr>
        <w:pStyle w:val="Heading2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Déroulement &amp; suivi de l’exécution</w:t>
      </w:r>
    </w:p>
    <w:p w:rsidR="00000000" w:rsidDel="00000000" w:rsidP="00000000" w:rsidRDefault="00000000" w:rsidRPr="00000000" w14:paraId="00000051">
      <w:pPr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Parcours alternant apports, démonstrations et ateliers contextualisés. Feuilles d’émargement signées par demi‑journée (stagiaires et formateur). Compte rendu et livrables remis à l’issue.</w:t>
      </w:r>
    </w:p>
    <w:p w:rsidR="00000000" w:rsidDel="00000000" w:rsidP="00000000" w:rsidRDefault="00000000" w:rsidRPr="00000000" w14:paraId="00000052">
      <w:pPr>
        <w:pStyle w:val="Heading2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Évaluation des acquis</w:t>
      </w:r>
    </w:p>
    <w:p w:rsidR="00000000" w:rsidDel="00000000" w:rsidP="00000000" w:rsidRDefault="00000000" w:rsidRPr="00000000" w14:paraId="00000053">
      <w:pPr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QCM de positionnement, quiz de fin de séquence et cas pratiques. Évaluation finale : soutenance d’un plan d’action IA / mini‑projet.</w:t>
      </w:r>
    </w:p>
    <w:p w:rsidR="00000000" w:rsidDel="00000000" w:rsidP="00000000" w:rsidRDefault="00000000" w:rsidRPr="00000000" w14:paraId="00000054">
      <w:pPr>
        <w:pStyle w:val="Heading2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Sanction de la formation</w:t>
      </w:r>
    </w:p>
    <w:p w:rsidR="00000000" w:rsidDel="00000000" w:rsidP="00000000" w:rsidRDefault="00000000" w:rsidRPr="00000000" w14:paraId="00000055">
      <w:pPr>
        <w:rPr>
          <w:rFonts w:ascii="Assistant" w:cs="Assistant" w:eastAsia="Assistant" w:hAnsi="Assistant"/>
        </w:rPr>
      </w:pPr>
      <w:sdt>
        <w:sdtPr>
          <w:id w:val="720654958"/>
          <w:tag w:val="goog_rdk_3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Remise d’une attestation individuelle mentionnant les objectifs, la nature, la durée et les résultats de l’évaluation des acquis. Attestation si présence ≥ 75 % + restitution de l’étude de cas finale.</w:t>
          </w:r>
        </w:sdtContent>
      </w:sdt>
    </w:p>
    <w:p w:rsidR="00000000" w:rsidDel="00000000" w:rsidP="00000000" w:rsidRDefault="00000000" w:rsidRPr="00000000" w14:paraId="00000056">
      <w:pPr>
        <w:pStyle w:val="Heading1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5) Prix et modalités de règlement</w:t>
      </w:r>
    </w:p>
    <w:p w:rsidR="00000000" w:rsidDel="00000000" w:rsidP="00000000" w:rsidRDefault="00000000" w:rsidRPr="00000000" w14:paraId="00000057">
      <w:pPr>
        <w:rPr>
          <w:rFonts w:ascii="Assistant" w:cs="Assistant" w:eastAsia="Assistant" w:hAnsi="Assistant"/>
        </w:rPr>
      </w:pPr>
      <w:r>
        <w:br/>
        <w:t xml:space="preserve">Prix de l'action : </w:t>
      </w:r>
      <w:r>
        <w:rPr>
          <w:b/>
        </w:rPr>
        <w:t>{{PRIX_HT}} HT / {{PRIX_TTC}} TTC</w:t>
      </w:r>
      <w:r>
        <w:t xml:space="preserve"> (TVA 20 %)</w:t>
        <w:br/>
      </w:r>
      <w:r>
        <w:t xml:space="preserve">Frais de déplacement et d'hébergement : </w:t>
      </w:r>
      <w:r>
        <w:rPr>
          <w:b/>
        </w:rPr>
        <w:t>{{FRAIS_DEPLACEMENT}}</w:t>
      </w:r>
      <w:r>
        <w:t xml:space="preserve"> (TVA 20 %)</w:t>
      </w:r>
    </w:p>
    <w:p w:rsidR="00000000" w:rsidDel="00000000" w:rsidP="00000000" w:rsidRDefault="00000000" w:rsidRPr="00000000" w14:paraId="00000058">
      <w:pPr>
        <w:rPr>
          <w:rFonts w:ascii="Assistant" w:cs="Assistant" w:eastAsia="Assistant" w:hAnsi="Assistant"/>
        </w:rPr>
      </w:pPr>
      <w:r>
        <w:t>En cas d'écart significatif avec le réel, un ajustement pourra être proposé après accord écrit du Bénéficiaire.</w:t>
        <w:br/>
        <w:br/>
      </w:r>
      <w:r>
        <w:t>Règlement :</w:t>
        <w:br/>
      </w:r>
      <w:r>
        <w:t xml:space="preserve">Acompte : </w:t>
      </w:r>
      <w:r>
        <w:rPr>
          <w:b/>
        </w:rPr>
        <w:t>{{ACOMPTE}}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Assistant" w:cs="Assistant" w:eastAsia="Assistant" w:hAnsi="Assistant"/>
        </w:rPr>
      </w:pPr>
      <w:r>
        <w:rPr>
          <w:rFonts w:ascii="Assistant" w:hAnsi="Assistant"/>
        </w:rPr>
        <w:t>Solde : {{SOLDE}}</w:t>
      </w:r>
    </w:p>
    <w:p w:rsidR="00000000" w:rsidDel="00000000" w:rsidP="00000000" w:rsidRDefault="00000000" w:rsidRPr="00000000" w14:paraId="0000005A">
      <w:pPr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Le prix inclut la préparation pédagogique, l’animation, les supports et droits d’usage internes.</w:t>
        <w:br w:type="textWrapping"/>
      </w:r>
    </w:p>
    <w:p w:rsidR="00000000" w:rsidDel="00000000" w:rsidP="00000000" w:rsidRDefault="00000000" w:rsidRPr="00000000" w14:paraId="0000005B">
      <w:pPr>
        <w:rPr>
          <w:rFonts w:ascii="Assistant" w:cs="Assistant" w:eastAsia="Assistant" w:hAnsi="Assistant"/>
          <w:b w:val="1"/>
        </w:rPr>
      </w:pP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Coordonnées bancaires (RIB/IBAN) :</w:t>
      </w:r>
    </w:p>
    <w:p w:rsidR="00000000" w:rsidDel="00000000" w:rsidP="00000000" w:rsidRDefault="00000000" w:rsidRPr="00000000" w14:paraId="0000005C">
      <w:pPr>
        <w:rPr>
          <w:rFonts w:ascii="Assistant" w:cs="Assistant" w:eastAsia="Assistant" w:hAnsi="Assistant"/>
          <w:b w:val="1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Titulaire :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ALBOUZE ALEXIS (EI)</w:t>
      </w:r>
    </w:p>
    <w:p w:rsidR="00000000" w:rsidDel="00000000" w:rsidP="00000000" w:rsidRDefault="00000000" w:rsidRPr="00000000" w14:paraId="0000005D">
      <w:pPr>
        <w:rPr>
          <w:rFonts w:ascii="Assistant" w:cs="Assistant" w:eastAsia="Assistant" w:hAnsi="Assistant"/>
          <w:b w:val="1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Banque :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Lydia Solutions – SUMERIA</w:t>
      </w:r>
    </w:p>
    <w:p w:rsidR="00000000" w:rsidDel="00000000" w:rsidP="00000000" w:rsidRDefault="00000000" w:rsidRPr="00000000" w14:paraId="0000005E">
      <w:pPr>
        <w:rPr>
          <w:rFonts w:ascii="Assistant" w:cs="Assistant" w:eastAsia="Assistant" w:hAnsi="Assistant"/>
          <w:b w:val="1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IBAN :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FR76 1759 8000 0100 0195 9323 004</w:t>
      </w:r>
    </w:p>
    <w:p w:rsidR="00000000" w:rsidDel="00000000" w:rsidP="00000000" w:rsidRDefault="00000000" w:rsidRPr="00000000" w14:paraId="0000005F">
      <w:pPr>
        <w:rPr>
          <w:rFonts w:ascii="Assistant" w:cs="Assistant" w:eastAsia="Assistant" w:hAnsi="Assistant"/>
          <w:b w:val="1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BIC : </w:t>
      </w:r>
      <w:r w:rsidDel="00000000" w:rsidR="00000000" w:rsidRPr="00000000">
        <w:rPr>
          <w:rFonts w:ascii="Assistant" w:cs="Assistant" w:eastAsia="Assistant" w:hAnsi="Assistant"/>
          <w:b w:val="1"/>
          <w:rtl w:val="0"/>
        </w:rPr>
        <w:t xml:space="preserve">LYDIFRP2XXX</w:t>
      </w:r>
    </w:p>
    <w:p w:rsidR="00000000" w:rsidDel="00000000" w:rsidP="00000000" w:rsidRDefault="00000000" w:rsidRPr="00000000" w14:paraId="00000060">
      <w:pPr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b w:val="1"/>
          <w:rtl w:val="0"/>
        </w:rPr>
        <w:br w:type="textWrapping"/>
        <w:t xml:space="preserve">Pénalités de retard :</w:t>
      </w:r>
      <w:sdt>
        <w:sdtPr>
          <w:id w:val="2071705888"/>
          <w:tag w:val="goog_rdk_10"/>
        </w:sdtPr>
        <w:sdtContent>
          <w:r w:rsidDel="00000000" w:rsidR="00000000" w:rsidRPr="00000000">
            <w:rPr>
              <w:rFonts w:ascii="PT Mono" w:cs="PT Mono" w:eastAsia="PT Mono" w:hAnsi="PT Mono"/>
              <w:rtl w:val="0"/>
            </w:rPr>
            <w:t xml:space="preserve"> taux directeur BCE (refi) + 10 points ; indemnité forfaitaire de recouvrement : 40 €.</w:t>
          </w:r>
        </w:sdtContent>
      </w:sdt>
    </w:p>
    <w:p w:rsidR="00000000" w:rsidDel="00000000" w:rsidP="00000000" w:rsidRDefault="00000000" w:rsidRPr="00000000" w14:paraId="00000061">
      <w:pPr>
        <w:pStyle w:val="Heading1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6) Non‑réalisation, report et annulation</w:t>
      </w:r>
    </w:p>
    <w:p w:rsidR="00000000" w:rsidDel="00000000" w:rsidP="00000000" w:rsidRDefault="00000000" w:rsidRPr="00000000" w14:paraId="00000062">
      <w:pPr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br w:type="textWrapping"/>
        <w:t xml:space="preserve">En cas d’inexécution totale ou partielle, l’Organisme rembourse au cocontractant les sommes indûment perçues (art. L.6354-1).</w:t>
      </w:r>
    </w:p>
    <w:p w:rsidR="00000000" w:rsidDel="00000000" w:rsidP="00000000" w:rsidRDefault="00000000" w:rsidRPr="00000000" w14:paraId="00000063">
      <w:pPr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Report possible d’un commun accord dans les 8 semaines suivant la date initiale. Annulation par le Bénéficiaire &lt; 10 jours ouvrés : frais de dédit de 10 % du prix. Annulation par l’Organisme : remboursement intégral des sommes perçues et proposition de nouvelles dates.</w:t>
      </w:r>
    </w:p>
    <w:p w:rsidR="00000000" w:rsidDel="00000000" w:rsidP="00000000" w:rsidRDefault="00000000" w:rsidRPr="00000000" w14:paraId="00000064">
      <w:pPr>
        <w:pStyle w:val="Heading1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7) Propriété intellectuelle &amp; confidentialité</w:t>
      </w:r>
    </w:p>
    <w:p w:rsidR="00000000" w:rsidDel="00000000" w:rsidP="00000000" w:rsidRDefault="00000000" w:rsidRPr="00000000" w14:paraId="00000065">
      <w:pPr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Les supports et modèles remis restent la propriété de l’Organisme ; leur diffusion externe est interdite sans accord écrit. Les informations échangées et livrables sont confidentiels et réservés à un usage interne.</w:t>
      </w:r>
    </w:p>
    <w:p w:rsidR="00000000" w:rsidDel="00000000" w:rsidP="00000000" w:rsidRDefault="00000000" w:rsidRPr="00000000" w14:paraId="00000066">
      <w:pPr>
        <w:pStyle w:val="Heading1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8) Données personnelles (RGPD)</w:t>
      </w:r>
    </w:p>
    <w:p w:rsidR="00000000" w:rsidDel="00000000" w:rsidP="00000000" w:rsidRDefault="00000000" w:rsidRPr="00000000" w14:paraId="00000067">
      <w:pPr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Traitements limités à la gestion de la formation (inscriptions, émargements, attestations, évaluations). Exercice des droits via contact@the-intelligence-academy.com. Pas de transmission à des tiers hors obligations légales.</w:t>
      </w:r>
    </w:p>
    <w:p w:rsidR="00000000" w:rsidDel="00000000" w:rsidP="00000000" w:rsidRDefault="00000000" w:rsidRPr="00000000" w14:paraId="00000068">
      <w:pPr>
        <w:pStyle w:val="Heading1"/>
        <w:rPr>
          <w:rFonts w:ascii="Bricolage Grotesque" w:cs="Bricolage Grotesque" w:eastAsia="Bricolage Grotesque" w:hAnsi="Bricolage Grotesque"/>
        </w:rPr>
      </w:pPr>
      <w:r w:rsidDel="00000000" w:rsidR="00000000" w:rsidRPr="00000000">
        <w:rPr>
          <w:rFonts w:ascii="Bricolage Grotesque" w:cs="Bricolage Grotesque" w:eastAsia="Bricolage Grotesque" w:hAnsi="Bricolage Grotesque"/>
          <w:rtl w:val="0"/>
        </w:rPr>
        <w:t xml:space="preserve">9) Litiges</w:t>
      </w:r>
    </w:p>
    <w:p w:rsidR="00000000" w:rsidDel="00000000" w:rsidP="00000000" w:rsidRDefault="00000000" w:rsidRPr="00000000" w14:paraId="00000069">
      <w:pPr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Droit français. À défaut d’accord amiable dans les 30 jours, compétence des tribunaux du siège de l’Organisme de formation.</w:t>
      </w:r>
    </w:p>
    <w:p w:rsidR="00000000" w:rsidDel="00000000" w:rsidP="00000000" w:rsidRDefault="00000000" w:rsidRPr="00000000" w14:paraId="0000006A">
      <w:pPr>
        <w:pStyle w:val="Heading1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br w:type="textWrapping"/>
        <w:t xml:space="preserve">Signatures</w:t>
      </w:r>
    </w:p>
    <w:tbl>
      <w:tblPr>
        <w:tblStyle w:val="Table2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Assistant" w:cs="Assistant" w:eastAsia="Assistant" w:hAnsi="Assistant"/>
              </w:rPr>
            </w:pPr>
            <w:r>
              <w:t>Pour {{NOM_ENTREPRISE}} (le Bénéficiaire)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ssistant" w:cs="Assistant" w:eastAsia="Assistant" w:hAnsi="Assistant"/>
              </w:rPr>
            </w:pPr>
            <w:r w:rsidDel="00000000" w:rsidR="00000000" w:rsidRPr="00000000">
              <w:rPr>
                <w:rFonts w:ascii="Assistant" w:cs="Assistant" w:eastAsia="Assistant" w:hAnsi="Assistant"/>
                <w:rtl w:val="0"/>
              </w:rPr>
              <w:t xml:space="preserve">Pour ALBOUZE ALEXIS (l’Organisme de formation)</w:t>
              <w:br w:type="textWrapping"/>
              <w:t xml:space="preserve">Nom, qualité, signature et cachet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Assistant" w:cs="Assistant" w:eastAsia="Assistant" w:hAnsi="Assistant"/>
              </w:rPr>
            </w:pPr>
            <w:r>
              <w:t>{{REPRESENTANT}}, {{FONCTION_REPRESENTANT}}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ssistant" w:cs="Assistant" w:eastAsia="Assistant" w:hAnsi="Assistant"/>
                <w:b w:val="1"/>
              </w:rPr>
            </w:pPr>
            <w:r w:rsidDel="00000000" w:rsidR="00000000" w:rsidRPr="00000000">
              <w:rPr>
                <w:rFonts w:ascii="Assistant" w:cs="Assistant" w:eastAsia="Assistant" w:hAnsi="Assistant"/>
                <w:b w:val="1"/>
                <w:rtl w:val="0"/>
              </w:rPr>
              <w:t xml:space="preserve">Alexis Albouze, Entrepreneur individuel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2"/>
              </w:rPr>
              <w:br/>
              <w:t>Fait à {{LIEU_SIGNATURE}}, le {{DATE_SIGNATURE}}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2"/>
              </w:rPr>
              <w:br/>
              <w:t>Fait à {{LIEU_SIGNATURE}}, le {{DATE_SIGNATURE}}</w:t>
            </w:r>
          </w:p>
        </w:tc>
      </w:tr>
    </w:tbl>
    <w:p w:rsidR="00000000" w:rsidDel="00000000" w:rsidP="00000000" w:rsidRDefault="00000000" w:rsidRPr="00000000" w14:paraId="0000006F">
      <w:pPr>
        <w:pStyle w:val="Heading1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br w:type="textWrapping"/>
        <w:t xml:space="preserve">Annexes (docs en pièces jointes)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Programme pé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d</w:t>
      </w:r>
      <w:r w:rsidDel="00000000" w:rsidR="00000000" w:rsidRPr="00000000">
        <w:rPr>
          <w:rFonts w:ascii="Assistant" w:cs="Assistant" w:eastAsia="Assistant" w:hAnsi="Assistant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agogique détaillé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Règlement intérieur applicable aux stagiaires (si accueil dans vos locaux)</w:t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  <w:font w:name="Assistant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Bricolage Grotesque">
    <w:embedRegular w:fontKey="{00000000-0000-0000-0000-000000000000}" r:id="rId5" w:subsetted="0"/>
    <w:embedBold w:fontKey="{00000000-0000-0000-0000-000000000000}" r:id="rId6" w:subsetted="0"/>
  </w:font>
  <w:font w:name="Nova Mono">
    <w:embedRegular w:fontKey="{00000000-0000-0000-0000-000000000000}" r:id="rId7" w:subsetted="0"/>
  </w:font>
  <w:font w:name="PT Mono">
    <w:embedRegular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1e3a5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2e5a8f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google.com/maps/place//data=!4m2!3m1!1s0x480593711ff919fb:0xc9a9dc8dae542b8f?sa=X&amp;ved=1t:8290&amp;ictx=111" TargetMode="External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ssistant-regular.ttf"/><Relationship Id="rId2" Type="http://schemas.openxmlformats.org/officeDocument/2006/relationships/font" Target="fonts/Assistant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BricolageGrotesque-regular.ttf"/><Relationship Id="rId6" Type="http://schemas.openxmlformats.org/officeDocument/2006/relationships/font" Target="fonts/BricolageGrotesque-bold.ttf"/><Relationship Id="rId7" Type="http://schemas.openxmlformats.org/officeDocument/2006/relationships/font" Target="fonts/NovaMono-regular.ttf"/><Relationship Id="rId8" Type="http://schemas.openxmlformats.org/officeDocument/2006/relationships/font" Target="fonts/PT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fw6Wm4H20sksE6A2wpI5k9xwTg==">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