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B6D11"/>
          <w:sz w:val="40"/>
        </w:rPr>
        <w:t>ST保壳评分系统V2 · 十二维审视底稿</w:t>
      </w:r>
    </w:p>
    <w:p>
      <w:pPr>
        <w:jc w:val="center"/>
      </w:pPr>
      <w:r>
        <w:rPr>
          <w:color w:val="888888"/>
          <w:sz w:val="20"/>
        </w:rPr>
        <w:t>用途：逐维裁决"是否必要 / 分值是否合理" · 现行口径 config v2.3（十二维100分制）</w:t>
        <w:br/>
        <w:t>底稿日期 2026-09-12 · 供老Z内部决策使用</w:t>
      </w:r>
    </w:p>
    <w:p>
      <w:pPr>
        <w:pStyle w:val="Heading1"/>
      </w:pPr>
      <w:r>
        <w:t>一、五类分组总览（现行）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B9F"/>
          </w:tcPr>
          <w:p>
            <w:r>
              <w:rPr>
                <w:b/>
                <w:color w:val="FFFFFF"/>
                <w:sz w:val="17"/>
              </w:rPr>
              <w:t>大类</w:t>
            </w:r>
          </w:p>
        </w:tc>
        <w:tc>
          <w:tcPr>
            <w:tcW w:type="dxa" w:w="2160"/>
            <w:shd w:val="clear" w:fill="2E5B9F"/>
          </w:tcPr>
          <w:p>
            <w:r>
              <w:rPr>
                <w:b/>
                <w:color w:val="FFFFFF"/>
                <w:sz w:val="17"/>
              </w:rPr>
              <w:t>维度（编号 · 分值）</w:t>
            </w:r>
          </w:p>
        </w:tc>
        <w:tc>
          <w:tcPr>
            <w:tcW w:type="dxa" w:w="2160"/>
            <w:shd w:val="clear" w:fill="2E5B9F"/>
          </w:tcPr>
          <w:p>
            <w:r>
              <w:rPr>
                <w:b/>
                <w:color w:val="FFFFFF"/>
                <w:sz w:val="17"/>
              </w:rPr>
              <w:t>合计</w:t>
            </w:r>
          </w:p>
        </w:tc>
        <w:tc>
          <w:tcPr>
            <w:tcW w:type="dxa" w:w="2160"/>
            <w:shd w:val="clear" w:fill="2E5B9F"/>
          </w:tcPr>
          <w:p>
            <w:r>
              <w:rPr>
                <w:b/>
                <w:color w:val="FFFFFF"/>
                <w:sz w:val="17"/>
              </w:rPr>
              <w:t>对应退市通道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财务红线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A1净资产12 · A2扣非主营收入12 · A3扣非净利6 · D1现金流4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财务类退市（营收+净资产+净利组合指标）</w:t>
            </w:r>
          </w:p>
        </w:tc>
      </w:tr>
      <w:tr>
        <w:tc>
          <w:tcPr>
            <w:tcW w:type="dxa" w:w="2160"/>
            <w:shd w:val="clear" w:fill="EDF2F9"/>
          </w:tcPr>
          <w:p>
            <w:r>
              <w:rPr>
                <w:sz w:val="17"/>
              </w:rPr>
              <w:t>监管信号</w:t>
            </w:r>
          </w:p>
        </w:tc>
        <w:tc>
          <w:tcPr>
            <w:tcW w:type="dxa" w:w="2160"/>
            <w:shd w:val="clear" w:fill="EDF2F9"/>
          </w:tcPr>
          <w:p>
            <w:r>
              <w:rPr>
                <w:sz w:val="17"/>
              </w:rPr>
              <w:t>B1立案/造假10 · B2审计意见12</w:t>
            </w:r>
          </w:p>
        </w:tc>
        <w:tc>
          <w:tcPr>
            <w:tcW w:type="dxa" w:w="2160"/>
            <w:shd w:val="clear" w:fill="EDF2F9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2160"/>
            <w:shd w:val="clear" w:fill="EDF2F9"/>
          </w:tcPr>
          <w:p>
            <w:r>
              <w:rPr>
                <w:sz w:val="17"/>
              </w:rPr>
              <w:t>规范类+重大违法类退市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控制权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S1实控人性质12 · S2股权质押6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非退市通道，救援能力代理变量</w:t>
            </w:r>
          </w:p>
        </w:tc>
      </w:tr>
      <w:tr>
        <w:tc>
          <w:tcPr>
            <w:tcW w:type="dxa" w:w="2160"/>
            <w:shd w:val="clear" w:fill="EDF2F9"/>
          </w:tcPr>
          <w:p>
            <w:r>
              <w:rPr>
                <w:sz w:val="17"/>
              </w:rPr>
              <w:t>市场类</w:t>
            </w:r>
          </w:p>
        </w:tc>
        <w:tc>
          <w:tcPr>
            <w:tcW w:type="dxa" w:w="2160"/>
            <w:shd w:val="clear" w:fill="EDF2F9"/>
          </w:tcPr>
          <w:p>
            <w:r>
              <w:rPr>
                <w:sz w:val="17"/>
              </w:rPr>
              <w:t>C1面值距离6 · C2壳价值10(反转)</w:t>
            </w:r>
          </w:p>
        </w:tc>
        <w:tc>
          <w:tcPr>
            <w:tcW w:type="dxa" w:w="2160"/>
            <w:shd w:val="clear" w:fill="EDF2F9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2160"/>
            <w:shd w:val="clear" w:fill="EDF2F9"/>
          </w:tcPr>
          <w:p>
            <w:r>
              <w:rPr>
                <w:sz w:val="17"/>
              </w:rPr>
              <w:t>交易类退市（面值/市值）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纾困与司法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F1重组纾困6 · H1司法风险4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非退市通道，风险缓释/恶化信号</w:t>
            </w:r>
          </w:p>
        </w:tc>
      </w:tr>
    </w:tbl>
    <w:p>
      <w:r>
        <w:rPr>
          <w:sz w:val="18"/>
        </w:rPr>
        <w:t>结构性观察：34+22=56分直接对应退市通道（合规硬指标）；18+10+10=44分是"保壳能力/风险修正"代理变量（软指标）。硬指标占56%、软指标占44%。</w:t>
      </w:r>
    </w:p>
    <w:p>
      <w:pPr>
        <w:pStyle w:val="Heading1"/>
      </w:pPr>
      <w:r>
        <w:t>二、逐维底稿（档位逻辑 · 数据源 · 存疑点）</w:t>
      </w:r>
    </w:p>
    <w:p>
      <w:pPr>
        <w:pStyle w:val="Heading2"/>
      </w:pPr>
      <w:r>
        <w:t>🟢 财务红线（34分）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维度/分值</w:t>
            </w:r>
          </w:p>
        </w:tc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现行档位逻辑</w:t>
            </w:r>
          </w:p>
        </w:tc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数据源</w:t>
            </w:r>
          </w:p>
        </w:tc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设置依据</w:t>
            </w:r>
          </w:p>
        </w:tc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存疑点（供裁决）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A1 净资产</w:t>
              <w:br/>
              <w:t>12分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≥10亿→12 / ≥5亿→9 / ≥2亿→6 / ≥0→3 / 资不抵债→0；缺失→4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财报-归母净资产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期末净资产为负=直接退市（财务类第一指标）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①10亿才满分是否过高（净资产大小与壳价值无直接关系，5亿+已安全）②缺失给4分中性偏乐观，是否改保守③归母vs合并口径未区分</w:t>
            </w:r>
          </w:p>
        </w:tc>
      </w:tr>
      <w:tr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A2 扣非主营收入</w:t>
              <w:br/>
              <w:t>12分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缺口0→12 / ≤20%→9 / ≤40%→6 / ≤60%→3 / &gt;60%→0；*ST再-3；低毛利冲量≥30%再-3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财报营收+东财F10主营构成扣非口径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营收+利润组合退市标准（主板3亿/双创1亿）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①与A3实为同一组合指标的两半，存在相关性双重计权②冲量识别只覆盖低毛利一项，贸易/关联交易识别不足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A3 扣非净利润</w:t>
              <w:br/>
              <w:t>6分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盈利→6 / *ST且亏→0 / 亏损(趋势未知)→3；缺失→2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财报扣非归母净利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组合指标利润侧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①"亏损给3分"偏宽松（亏损次年才见分晓）②与A2合并成"组合达标度"一维是否更干净</w:t>
            </w:r>
          </w:p>
        </w:tc>
      </w:tr>
      <w:tr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D1 现金流</w:t>
              <w:br/>
              <w:t>4分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OCF/营收&gt;10%→4 / &gt;0→2 / &lt;0→0；缺失→1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财报经营现金流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造血能力=续命与纾困谈判筹码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①仅4分权重，区分度贡献小②是否并入A3做"盈利质量"一维，腾出分值</w:t>
            </w:r>
          </w:p>
        </w:tc>
      </w:tr>
    </w:tbl>
    <w:p>
      <w:pPr>
        <w:pStyle w:val="Heading2"/>
      </w:pPr>
      <w:r>
        <w:t>🔴 监管信号（22分）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维度/分值</w:t>
            </w:r>
          </w:p>
        </w:tc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现行档位逻辑</w:t>
            </w:r>
          </w:p>
        </w:tc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数据源</w:t>
            </w:r>
          </w:p>
        </w:tc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设置依据</w:t>
            </w:r>
          </w:p>
        </w:tc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存疑点（供裁决）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B1 立案/造假</w:t>
              <w:br/>
              <w:t>10分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涉造假/重大处罚→0 / 立案(近12月)→4 / 立案历史(已结)→7 / 无→10；子公司/个人案不归零；闸门：0分总分封顶30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巨潮公告定向采集（调查/处罚桶）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重大违法退市零容忍；近5年案例中立案→退市转化率高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①立案4 vs 历史7跨度大：立案后大部分最终退市，4分是否过高②"已结"7分：结案不等于无风险③个人案不归零规则2026-08-30刚细化，样本少</w:t>
            </w:r>
          </w:p>
        </w:tc>
      </w:tr>
      <w:tr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B2 审计意见</w:t>
              <w:br/>
              <w:t>12分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否定/无法表示→0 / 保留→6 / 强调事项→9 / 标准→12；闸门：0分封顶50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巨潮审计意见公告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规范类退市核心先行指标，非标→连续非标→退市链条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①保留6 vs 强调9跨度合理但样本中"强调→保留"升级案例多②北交所7分中性降级的合理性</w:t>
            </w:r>
          </w:p>
        </w:tc>
      </w:tr>
    </w:tbl>
    <w:p>
      <w:pPr>
        <w:pStyle w:val="Heading2"/>
      </w:pPr>
      <w:r>
        <w:t>🟣 控制权（18分）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维度/分值</w:t>
            </w:r>
          </w:p>
        </w:tc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现行档位逻辑</w:t>
            </w:r>
          </w:p>
        </w:tc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数据源</w:t>
            </w:r>
          </w:p>
        </w:tc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设置依据</w:t>
            </w:r>
          </w:p>
        </w:tc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存疑点（供裁决）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S1 实控人性质</w:t>
              <w:br/>
              <w:t>12分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性质base(国资12/院所10/民企8)×持股(≤20%×0.8)×质押(&gt;60%×0.5)×诉讼(冻结×0.5/限高×0.6)；涉造假封顶4；刑事固定3；下界1；民企前3大&gt;50%上探10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巨潮+东财实控人+前十大股东+质押库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国资=资源协调+保壳意愿实证更强；176案例国资保壳成功率高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①全系统最复杂维度（连乘4层），黑箱感强，是否拆分为"性质+结构"两维②质押/诉讼在S2/H1重复计权（同一事实扣两次）③500亿主体规模库未建，上探机制未启用</w:t>
            </w:r>
          </w:p>
        </w:tc>
      </w:tr>
      <w:tr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S2 股权质押</w:t>
              <w:br/>
              <w:t>6分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&lt;20%→6 / 20-50%→4 / ≥50%→2 / 冻结→0；缺失→3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中登周报RPT_CSDC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高质押=平仓压力+控制权不稳定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①与S1的质押&gt;60%减半是双重惩罚，二选一②缺失3分中性是否合适</w:t>
            </w:r>
          </w:p>
        </w:tc>
      </w:tr>
    </w:tbl>
    <w:p>
      <w:pPr>
        <w:pStyle w:val="Heading2"/>
      </w:pPr>
      <w:r>
        <w:t>🟡 市场类（16分）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维度/分值</w:t>
            </w:r>
          </w:p>
        </w:tc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现行档位逻辑</w:t>
            </w:r>
          </w:p>
        </w:tc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数据源</w:t>
            </w:r>
          </w:p>
        </w:tc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设置依据</w:t>
            </w:r>
          </w:p>
        </w:tc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存疑点（供裁决）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C1 面值距离</w:t>
              <w:br/>
              <w:t>6分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≥5元→6 / ≥3→5 / ≥2→4 / ≥1.5→2 / ≥1.2→1 / 破面→0；闸门：0分封顶50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腾讯实时行情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面值退市=第一大退市通道（回测贡献度最高单项之一0.635）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①用单日现价，规则实为"连续20日&lt;1元"，波动会误杀/漏放②1.2-1.5元只给1-2分是否过陡</w:t>
            </w:r>
          </w:p>
        </w:tc>
      </w:tr>
      <w:tr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C2 壳价值(反转)</w:t>
              <w:br/>
              <w:t>10分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市值≤基准5折→10 / ≤7.5折→8 / ≤1倍→5 / ≤1.5倍→2 / &gt;1.5倍→0；缺失→5；C1≤1联动降档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腾讯市值 + shell-fee-base基准33.81亿(own口径)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低市值=重组成本低=被救援概率高（回测：重组信号0.657全场最高）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①反转计分+并购话术是合规敏感区（页面已中性化）②基准为壳交易中位数，牛市熊市漂移是否要再加周期系数③缺失给5分中性偏高</w:t>
            </w:r>
          </w:p>
        </w:tc>
      </w:tr>
    </w:tbl>
    <w:p>
      <w:pPr>
        <w:pStyle w:val="Heading2"/>
      </w:pPr>
      <w:r>
        <w:t>🟠 纾困与司法（10分）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维度/分值</w:t>
            </w:r>
          </w:p>
        </w:tc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现行档位逻辑</w:t>
            </w:r>
          </w:p>
        </w:tc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数据源</w:t>
            </w:r>
          </w:p>
        </w:tc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设置依据</w:t>
            </w:r>
          </w:p>
        </w:tc>
        <w:tc>
          <w:tcPr>
            <w:tcW w:type="dxa" w:w="1728"/>
            <w:shd w:val="clear" w:fill="2E5B9F"/>
          </w:tcPr>
          <w:p>
            <w:r>
              <w:rPr>
                <w:b/>
                <w:color w:val="FFFFFF"/>
                <w:sz w:val="17"/>
              </w:rPr>
              <w:t>存疑点（供裁决）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F1 重组/纾困</w:t>
              <w:br/>
              <w:t>6分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重整执行中→6 / 申请/预重整→4 / 出售资产/债务豁免/捐赠→2 / 无→0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巨潮公告（重整/资产/债务/捐赠桶）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回测中重组信号区分度最高（0.657）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①方向特殊：这是唯一"加分=好事发生"的维度，与其余11维"扣分=风险"语义相反②事件驱动，公告滞后一周更新③重整执行≠成功，执行中6分是否过高</w:t>
            </w:r>
          </w:p>
        </w:tc>
      </w:tr>
      <w:tr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H1 司法风险</w:t>
              <w:br/>
              <w:t>4分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实控人冻结/被立案→0 / 限高→2 / 清白→4；北交所中性2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巨潮司法/冻结桶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实控人出事=救援谈判筹码崩塌</w:t>
            </w:r>
          </w:p>
        </w:tc>
        <w:tc>
          <w:tcPr>
            <w:tcW w:type="dxa" w:w="1728"/>
            <w:shd w:val="clear" w:fill="EDF2F9"/>
          </w:tcPr>
          <w:p>
            <w:r>
              <w:rPr>
                <w:sz w:val="17"/>
              </w:rPr>
              <w:t>①与S1诉讼折减双重计权（冻结在两边都扣）②仅4分，实控人被留置/刑拘这类重大事件区分度不足</w:t>
            </w:r>
          </w:p>
        </w:tc>
      </w:tr>
    </w:tbl>
    <w:p>
      <w:pPr>
        <w:pStyle w:val="Heading1"/>
      </w:pPr>
      <w:r>
        <w:t>三、系统性问题（比单维分值更重要）</w:t>
      </w:r>
    </w:p>
    <w:p>
      <w:r>
        <w:rPr>
          <w:sz w:val="19"/>
        </w:rPr>
        <w:t>1. 总分判别力偏弱：V2三年回测总分AUC≈0.53（接近随机），判别力主要来自F1重组信号(0.657)与C1面值距离(0.635)两个维度——即"软指标44分"里大部分维度对"最终是否退市"的区分贡献有限。重审时优先裁决：软指标是压缩（如控制权18→12、纾困司法10→6）还是保留（风险分层用途≠退市预测用途）。</w:t>
      </w:r>
    </w:p>
    <w:p>
      <w:r>
        <w:rPr>
          <w:sz w:val="19"/>
        </w:rPr>
        <w:t>2. 双重计权三处：质押（S1折减+S2扣分）、诉讼（S1折减+H1扣分）、营收利润（A2+A3同源）。每处都是"同一事实扣两次"，重审建议每处二选一。</w:t>
      </w:r>
    </w:p>
    <w:p>
      <w:r>
        <w:rPr>
          <w:sz w:val="19"/>
        </w:rPr>
        <w:t>3. 方向语义混杂：11维是"失分=风险"，F1是"加分=利好"。合并总分时利好会掩盖风险失分（重组执行6分可对冲审计保留意见失分3分），是否改为"基础分-风险扣分+纾困加分"三段式计分。</w:t>
      </w:r>
    </w:p>
    <w:p>
      <w:r>
        <w:rPr>
          <w:sz w:val="19"/>
        </w:rPr>
        <w:t>4. 缺失值哲学不统一：A1缺4/A2缺3/A3缺2/D1缺1/C2缺5/S2缺3——同为财务缺失但保守程度不同，建议统一原则（财务缺失=保守给低档，市场缺失=中性给中档）。</w:t>
      </w:r>
    </w:p>
    <w:p>
      <w:r>
        <w:rPr>
          <w:sz w:val="19"/>
        </w:rPr>
        <w:t>5. 与新规对齐：2025退市新规（主板营收3亿/双创1亿+利润组合）A2已覆盖；市值退市标准（主板5亿）目前未设维度——C1只看面价，5亿市值红线是否值得单独半档。</w:t>
      </w:r>
    </w:p>
    <w:p>
      <w:pPr>
        <w:pStyle w:val="Heading1"/>
      </w:pPr>
      <w:r>
        <w:t>四、待老Z裁决清单（逐项打勾）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B9F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880"/>
            <w:shd w:val="clear" w:fill="2E5B9F"/>
          </w:tcPr>
          <w:p>
            <w:r>
              <w:rPr>
                <w:b/>
                <w:color w:val="FFFFFF"/>
                <w:sz w:val="17"/>
              </w:rPr>
              <w:t>裁决项</w:t>
            </w:r>
          </w:p>
        </w:tc>
        <w:tc>
          <w:tcPr>
            <w:tcW w:type="dxa" w:w="2880"/>
            <w:shd w:val="clear" w:fill="2E5B9F"/>
          </w:tcPr>
          <w:p>
            <w:r>
              <w:rPr>
                <w:b/>
                <w:color w:val="FFFFFF"/>
                <w:sz w:val="17"/>
              </w:rPr>
              <w:t>倾向建议（供参考）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A1满分线10亿是否下调至5亿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下调：5亿档提满分，10亿以上加安全垫不再加分</w:t>
            </w:r>
          </w:p>
        </w:tc>
      </w:tr>
      <w:tr>
        <w:tc>
          <w:tcPr>
            <w:tcW w:type="dxa" w:w="2880"/>
            <w:shd w:val="clear" w:fill="EDF2F9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880"/>
            <w:shd w:val="clear" w:fill="EDF2F9"/>
          </w:tcPr>
          <w:p>
            <w:r>
              <w:rPr>
                <w:sz w:val="17"/>
              </w:rPr>
              <w:t>A2+A3是否合并为"营收利润组合达标度"一维</w:t>
            </w:r>
          </w:p>
        </w:tc>
        <w:tc>
          <w:tcPr>
            <w:tcW w:type="dxa" w:w="2880"/>
            <w:shd w:val="clear" w:fill="EDF2F9"/>
          </w:tcPr>
          <w:p>
            <w:r>
              <w:rPr>
                <w:sz w:val="17"/>
              </w:rPr>
              <w:t>合并：腾出6分给市值退市或B1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D1现金流4分是否并入A3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可并：现金流作为盈利质量的修正项</w:t>
            </w:r>
          </w:p>
        </w:tc>
      </w:tr>
      <w:tr>
        <w:tc>
          <w:tcPr>
            <w:tcW w:type="dxa" w:w="2880"/>
            <w:shd w:val="clear" w:fill="EDF2F9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880"/>
            <w:shd w:val="clear" w:fill="EDF2F9"/>
          </w:tcPr>
          <w:p>
            <w:r>
              <w:rPr>
                <w:sz w:val="17"/>
              </w:rPr>
              <w:t>B1立案4分/7分档距是否收窄</w:t>
            </w:r>
          </w:p>
        </w:tc>
        <w:tc>
          <w:tcPr>
            <w:tcW w:type="dxa" w:w="2880"/>
            <w:shd w:val="clear" w:fill="EDF2F9"/>
          </w:tcPr>
          <w:p>
            <w:r>
              <w:rPr>
                <w:sz w:val="17"/>
              </w:rPr>
              <w:t>收窄：立案后退市转化率高，4→3或历史7→6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质押双重计权：S1折减 vs S2扣分，留哪个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留S2（中登数据客观），S1去掉质押折减</w:t>
            </w:r>
          </w:p>
        </w:tc>
      </w:tr>
      <w:tr>
        <w:tc>
          <w:tcPr>
            <w:tcW w:type="dxa" w:w="2880"/>
            <w:shd w:val="clear" w:fill="EDF2F9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880"/>
            <w:shd w:val="clear" w:fill="EDF2F9"/>
          </w:tcPr>
          <w:p>
            <w:r>
              <w:rPr>
                <w:sz w:val="17"/>
              </w:rPr>
              <w:t>诉讼双重计权：S1折减 vs H1，留哪个</w:t>
            </w:r>
          </w:p>
        </w:tc>
        <w:tc>
          <w:tcPr>
            <w:tcW w:type="dxa" w:w="2880"/>
            <w:shd w:val="clear" w:fill="EDF2F9"/>
          </w:tcPr>
          <w:p>
            <w:r>
              <w:rPr>
                <w:sz w:val="17"/>
              </w:rPr>
              <w:t>留H1（专维语义清晰），S1去掉诉讼折减——S1变纯"性质×持股"两因素，复杂度大降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C1改用"20日均价"替代单日现价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改：对齐交易所规则，消除波动误杀</w:t>
            </w:r>
          </w:p>
        </w:tc>
      </w:tr>
      <w:tr>
        <w:tc>
          <w:tcPr>
            <w:tcW w:type="dxa" w:w="2880"/>
            <w:shd w:val="clear" w:fill="EDF2F9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880"/>
            <w:shd w:val="clear" w:fill="EDF2F9"/>
          </w:tcPr>
          <w:p>
            <w:r>
              <w:rPr>
                <w:sz w:val="17"/>
              </w:rPr>
              <w:t>C2基准33.81亿是否加周期调整系数</w:t>
            </w:r>
          </w:p>
        </w:tc>
        <w:tc>
          <w:tcPr>
            <w:tcW w:type="dxa" w:w="2880"/>
            <w:shd w:val="clear" w:fill="EDF2F9"/>
          </w:tcPr>
          <w:p>
            <w:r>
              <w:rPr>
                <w:sz w:val="17"/>
              </w:rPr>
              <w:t>暂不加：季度复盘时观察基准漂移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F1"执行中6分"是否降为4分（执行≠成功）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降：6→5，申请4→3</w:t>
            </w:r>
          </w:p>
        </w:tc>
      </w:tr>
      <w:tr>
        <w:tc>
          <w:tcPr>
            <w:tcW w:type="dxa" w:w="2880"/>
            <w:shd w:val="clear" w:fill="EDF2F9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880"/>
            <w:shd w:val="clear" w:fill="EDF2F9"/>
          </w:tcPr>
          <w:p>
            <w:r>
              <w:rPr>
                <w:sz w:val="17"/>
              </w:rPr>
              <w:t>是否新增"市值退市(5亿红线)"半档维度</w:t>
            </w:r>
          </w:p>
        </w:tc>
        <w:tc>
          <w:tcPr>
            <w:tcW w:type="dxa" w:w="2880"/>
            <w:shd w:val="clear" w:fill="EDF2F9"/>
          </w:tcPr>
          <w:p>
            <w:r>
              <w:rPr>
                <w:sz w:val="17"/>
              </w:rPr>
              <w:t>建议加：并入C1作C1b或C1两段制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软指标44分占比是否压缩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视用途：榜单做"风险分层"可保留；若追求退市预测精度则压缩至30</w:t>
            </w:r>
          </w:p>
        </w:tc>
      </w:tr>
      <w:tr>
        <w:tc>
          <w:tcPr>
            <w:tcW w:type="dxa" w:w="2880"/>
            <w:shd w:val="clear" w:fill="EDF2F9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880"/>
            <w:shd w:val="clear" w:fill="EDF2F9"/>
          </w:tcPr>
          <w:p>
            <w:r>
              <w:rPr>
                <w:sz w:val="17"/>
              </w:rPr>
              <w:t>计分结构改"基础-扣分+纾困加分"三段式</w:t>
            </w:r>
          </w:p>
        </w:tc>
        <w:tc>
          <w:tcPr>
            <w:tcW w:type="dxa" w:w="2880"/>
            <w:shd w:val="clear" w:fill="EDF2F9"/>
          </w:tcPr>
          <w:p>
            <w:r>
              <w:rPr>
                <w:sz w:val="17"/>
              </w:rPr>
              <w:t>重大改版：若改则升V2.5，需重新回测后再上线</w:t>
            </w:r>
          </w:p>
        </w:tc>
      </w:tr>
    </w:tbl>
    <w:p>
      <w:r>
        <w:rPr>
          <w:color w:val="888888"/>
          <w:sz w:val="17"/>
        </w:rPr>
        <w:br/>
        <w:t>说明：本底稿为内部工作文件，所有"存疑点/倾向建议"为工作假设，未经裁决前不改动任何代码与config。裁决后按"改config→score_v2自检零偏差→verify四重→回测复核→上线"流程落地。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