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sz w:val="28"/>
        </w:rPr>
      </w:r>
    </w:p>
    <w:p>
      <w:pPr>
        <w:spacing w:after="0"/>
      </w:pPr>
      <w:r>
        <w:rPr>
          <w:sz w:val="28"/>
        </w:rPr>
      </w:r>
    </w:p>
    <w:p>
      <w:pPr>
        <w:spacing w:after="0"/>
      </w:pPr>
      <w:r>
        <w:rPr>
          <w:sz w:val="28"/>
        </w:rPr>
      </w:r>
    </w:p>
    <w:p>
      <w:pPr>
        <w:spacing w:after="0"/>
      </w:pPr>
      <w:r>
        <w:rPr>
          <w:sz w:val="28"/>
        </w:rPr>
      </w:r>
    </w:p>
    <w:p>
      <w:pPr>
        <w:spacing w:after="0"/>
      </w:pPr>
      <w:r>
        <w:rPr>
          <w:sz w:val="28"/>
        </w:rPr>
      </w:r>
    </w:p>
    <w:p>
      <w:pPr>
        <w:spacing w:after="0"/>
      </w:pPr>
      <w:r>
        <w:rPr>
          <w:sz w:val="28"/>
        </w:rPr>
      </w:r>
    </w:p>
    <w:p>
      <w:pPr>
        <w:jc w:val="center"/>
      </w:pPr>
      <w:r>
        <w:rPr>
          <w:rFonts w:ascii="微软雅黑" w:hAnsi="微软雅黑" w:eastAsia="微软雅黑"/>
          <w:b/>
          <w:color w:val="1F4E79"/>
          <w:sz w:val="52"/>
        </w:rPr>
        <w:t>ST/*ST上市公司全维度分析报告</w:t>
      </w:r>
    </w:p>
    <w:p>
      <w:pPr>
        <w:spacing w:after="240"/>
        <w:jc w:val="center"/>
      </w:pPr>
      <w:r>
        <w:rPr>
          <w:rFonts w:ascii="微软雅黑" w:hAnsi="微软雅黑" w:eastAsia="微软雅黑"/>
          <w:color w:val="646464"/>
          <w:sz w:val="28"/>
        </w:rPr>
        <w:t>ST摸鱼风云-V5个股分析报告</w:t>
      </w:r>
    </w:p>
    <w:p>
      <w:pPr>
        <w:spacing w:after="120"/>
        <w:jc w:val="center"/>
      </w:pPr>
      <w:r>
        <w:rPr>
          <w:rFonts w:ascii="微软雅黑" w:hAnsi="微软雅黑" w:eastAsia="微软雅黑"/>
          <w:color w:val="8C8C8C"/>
          <w:sz w:val="19"/>
        </w:rPr>
        <w:t>评分体系：ST保壳评分系统V2（十二维，score_v2单源，与保壳风云榜同刻度，2026-09-02 13→12重构）</w:t>
      </w:r>
    </w:p>
    <w:p>
      <w:pPr>
        <w:jc w:val="center"/>
      </w:pPr>
      <w:r>
        <w:rPr>
          <w:rFonts w:ascii="微软雅黑" w:hAnsi="微软雅黑" w:eastAsia="微软雅黑"/>
          <w:b/>
          <w:color w:val="000000"/>
          <w:sz w:val="44"/>
        </w:rPr>
        <w:t>ST冀凯（002691）</w:t>
      </w:r>
    </w:p>
    <w:p>
      <w:pPr>
        <w:spacing w:after="240"/>
        <w:jc w:val="center"/>
      </w:pPr>
      <w:r>
        <w:rPr>
          <w:rFonts w:ascii="微软雅黑" w:hAnsi="微软雅黑" w:eastAsia="微软雅黑"/>
          <w:color w:val="646464"/>
          <w:sz w:val="24"/>
        </w:rPr>
        <w:t>冀凯装备制造股份有限公司</w:t>
      </w:r>
    </w:p>
    <w:p>
      <w:pPr>
        <w:spacing w:after="0"/>
      </w:pPr>
      <w:r>
        <w:rPr>
          <w:sz w:val="28"/>
        </w:rPr>
      </w:r>
    </w:p>
    <w:p>
      <w:pPr>
        <w:spacing w:after="0"/>
      </w:pPr>
      <w:r>
        <w:rPr>
          <w:sz w:val="28"/>
        </w:rPr>
      </w:r>
    </w:p>
    <w:p>
      <w:pPr>
        <w:spacing w:after="0"/>
      </w:pPr>
      <w:r>
        <w:rPr>
          <w:sz w:val="28"/>
        </w:rPr>
      </w:r>
    </w:p>
    <w:p>
      <w:pPr>
        <w:spacing w:after="0"/>
      </w:pPr>
      <w:r>
        <w:rPr>
          <w:sz w:val="28"/>
        </w:rPr>
      </w:r>
    </w:p>
    <w:tbl>
      <w:tblPr>
        <w:tblStyle w:val="TableGrid"/>
        <w:jc w:val="center"/>
        <w:tblLook w:firstColumn="1" w:firstRow="1" w:lastColumn="0" w:lastRow="0" w:noHBand="0" w:noVBand="1" w:val="04A0"/>
        <w:tblW w:w="9072" w:type="dxa"/>
        <w:tblLayout w:type="fixed"/>
      </w:tblPr>
      <w:tblGrid>
        <w:gridCol w:w="2835"/>
        <w:gridCol w:w="6237"/>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835" w:type="dxa"/>
          </w:tcPr>
          <w:p>
            <w:pPr>
              <w:jc w:val="center"/>
            </w:pPr>
            <w:r/>
            <w:r>
              <w:rPr>
                <w:rFonts w:ascii="微软雅黑" w:hAnsi="微软雅黑" w:eastAsia="微软雅黑"/>
                <w:b/>
                <w:color w:val="FFFFFF"/>
                <w:sz w:val="20"/>
              </w:rPr>
              <w:t>项目</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6237" w:type="dxa"/>
          </w:tcPr>
          <w:p>
            <w:pPr>
              <w:jc w:val="center"/>
            </w:pPr>
            <w:r/>
            <w:r>
              <w:rPr>
                <w:rFonts w:ascii="微软雅黑" w:hAnsi="微软雅黑" w:eastAsia="微软雅黑"/>
                <w:b/>
                <w:color w:val="FFFFFF"/>
                <w:sz w:val="20"/>
              </w:rPr>
              <w:t>内容</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835" w:type="dxa"/>
          </w:tcPr>
          <w:p>
            <w:r/>
            <w:r>
              <w:rPr>
                <w:rFonts w:ascii="微软雅黑" w:hAnsi="微软雅黑" w:eastAsia="微软雅黑"/>
                <w:sz w:val="19"/>
              </w:rPr>
              <w:t>综合评级</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6237" w:type="dxa"/>
          </w:tcPr>
          <w:p>
            <w:r/>
            <w:r>
              <w:rPr>
                <w:rFonts w:ascii="微软雅黑" w:hAnsi="微软雅黑" w:eastAsia="微软雅黑"/>
                <w:sz w:val="19"/>
              </w:rPr>
              <w:t>B档（70 / 100 分 · ST保壳评分系统V2十二维）</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835" w:type="dxa"/>
          </w:tcPr>
          <w:p>
            <w:r/>
            <w:r>
              <w:rPr>
                <w:rFonts w:ascii="微软雅黑" w:hAnsi="微软雅黑" w:eastAsia="微软雅黑"/>
                <w:sz w:val="19"/>
              </w:rPr>
              <w:t>分析日期</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6237" w:type="dxa"/>
          </w:tcPr>
          <w:p>
            <w:r/>
            <w:r>
              <w:rPr>
                <w:rFonts w:ascii="微软雅黑" w:hAnsi="微软雅黑" w:eastAsia="微软雅黑"/>
                <w:sz w:val="19"/>
              </w:rPr>
              <w:t>2026年9月2日</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835" w:type="dxa"/>
          </w:tcPr>
          <w:p>
            <w:r/>
            <w:r>
              <w:rPr>
                <w:rFonts w:ascii="微软雅黑" w:hAnsi="微软雅黑" w:eastAsia="微软雅黑"/>
                <w:sz w:val="19"/>
              </w:rPr>
              <w:t>分析机构</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6237" w:type="dxa"/>
          </w:tcPr>
          <w:p>
            <w:r/>
            <w:r>
              <w:rPr>
                <w:rFonts w:ascii="微软雅黑" w:hAnsi="微软雅黑" w:eastAsia="微软雅黑"/>
                <w:sz w:val="19"/>
              </w:rPr>
              <w:t>小调AI-WorkBuddy</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835" w:type="dxa"/>
          </w:tcPr>
          <w:p>
            <w:r/>
            <w:r>
              <w:rPr>
                <w:rFonts w:ascii="微软雅黑" w:hAnsi="微软雅黑" w:eastAsia="微软雅黑"/>
                <w:sz w:val="19"/>
              </w:rPr>
              <w:t>数据来源</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6237" w:type="dxa"/>
          </w:tcPr>
          <w:p>
            <w:r/>
            <w:r>
              <w:rPr>
                <w:rFonts w:ascii="微软雅黑" w:hAnsi="微软雅黑" w:eastAsia="微软雅黑"/>
                <w:sz w:val="19"/>
              </w:rPr>
              <w:t>westock行情/财务/股东 / st-factor-fetch公共因子库 / 巨潮资讯网 / 公司公告</w:t>
            </w:r>
          </w:p>
        </w:tc>
      </w:tr>
    </w:tbl>
    <w:p>
      <w:r>
        <w:br w:type="page"/>
      </w:r>
    </w:p>
    <w:p>
      <w:pPr>
        <w:spacing w:after="0"/>
      </w:pPr>
      <w:r>
        <w:rPr>
          <w:sz w:val="28"/>
        </w:rPr>
      </w:r>
    </w:p>
    <w:p>
      <w:pPr>
        <w:spacing w:after="40"/>
        <w:jc w:val="center"/>
      </w:pPr>
      <w:r>
        <w:rPr>
          <w:rFonts w:ascii="微软雅黑" w:hAnsi="微软雅黑" w:eastAsia="微软雅黑"/>
          <w:b/>
          <w:color w:val="1F4E79"/>
          <w:sz w:val="36"/>
        </w:rPr>
        <w:t>ST冀凯（002691）投资要点</w:t>
      </w:r>
    </w:p>
    <w:p>
      <w:pPr>
        <w:spacing w:after="280"/>
        <w:jc w:val="center"/>
      </w:pPr>
      <w:r>
        <w:rPr>
          <w:rFonts w:ascii="微软雅黑" w:hAnsi="微软雅黑" w:eastAsia="微软雅黑"/>
          <w:color w:val="666666"/>
          <w:sz w:val="20"/>
        </w:rPr>
        <w:t>冀凯装备制造股份有限公司  |  深圳主板  |  *ST（财务类）  |  2026年4月30日戴帽</w:t>
      </w:r>
    </w:p>
    <w:tbl>
      <w:tblPr>
        <w:tblStyle w:val="TableGrid"/>
        <w:jc w:val="center"/>
        <w:tblLook w:firstColumn="1" w:firstRow="1" w:lastColumn="0" w:lastRow="0" w:noHBand="0" w:noVBand="1" w:val="04A0"/>
        <w:tblW w:w="9072" w:type="dxa"/>
        <w:tblLayout w:type="fixed"/>
      </w:tblPr>
      <w:tblGrid>
        <w:gridCol w:w="2268"/>
        <w:gridCol w:w="6804"/>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pPr>
              <w:jc w:val="center"/>
            </w:pPr>
            <w:r/>
            <w:r>
              <w:rPr>
                <w:rFonts w:ascii="微软雅黑" w:hAnsi="微软雅黑" w:eastAsia="微软雅黑"/>
                <w:b/>
                <w:color w:val="FFFFFF"/>
                <w:sz w:val="20"/>
              </w:rPr>
              <w:t>项目</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6804" w:type="dxa"/>
          </w:tcPr>
          <w:p>
            <w:pPr>
              <w:jc w:val="center"/>
            </w:pPr>
            <w:r/>
            <w:r>
              <w:rPr>
                <w:rFonts w:ascii="微软雅黑" w:hAnsi="微软雅黑" w:eastAsia="微软雅黑"/>
                <w:b/>
                <w:color w:val="FFFFFF"/>
                <w:sz w:val="20"/>
              </w:rPr>
              <w:t>内容</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总资产 / 总负债</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6804" w:type="dxa"/>
          </w:tcPr>
          <w:p>
            <w:r/>
            <w:r>
              <w:rPr>
                <w:rFonts w:ascii="微软雅黑" w:hAnsi="微软雅黑" w:eastAsia="微软雅黑"/>
                <w:sz w:val="19"/>
              </w:rPr>
              <w:t>11.89亿元 / 约3.91亿元（资产负债率32.85%，2026H1）</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归母净资产</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6804" w:type="dxa"/>
          </w:tcPr>
          <w:p>
            <w:r/>
            <w:r>
              <w:rPr>
                <w:rFonts w:ascii="微软雅黑" w:hAnsi="微软雅黑" w:eastAsia="微软雅黑"/>
                <w:sz w:val="19"/>
              </w:rPr>
              <w:t>7.84亿元（2026H1，每股约2.31元）</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营业收入 / 归母净利润</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6804" w:type="dxa"/>
          </w:tcPr>
          <w:p>
            <w:r/>
            <w:r>
              <w:rPr>
                <w:rFonts w:ascii="微软雅黑" w:hAnsi="微软雅黑" w:eastAsia="微软雅黑"/>
                <w:sz w:val="19"/>
              </w:rPr>
              <w:t>2026H1：1.012亿元 / -5,652万元（营收同比-14.13%，亏损同比扩大87.5%）</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短期借款</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6804" w:type="dxa"/>
          </w:tcPr>
          <w:p>
            <w:r/>
            <w:r>
              <w:rPr>
                <w:rFonts w:ascii="微软雅黑" w:hAnsi="微软雅黑" w:eastAsia="微软雅黑"/>
                <w:sz w:val="19"/>
              </w:rPr>
              <w:t>2.37亿元（2026H1，较2024年末0.5亿元激增约374%）</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当前市值</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6804" w:type="dxa"/>
          </w:tcPr>
          <w:p>
            <w:r/>
            <w:r>
              <w:rPr>
                <w:rFonts w:ascii="微软雅黑" w:hAnsi="微软雅黑" w:eastAsia="微软雅黑"/>
                <w:sz w:val="19"/>
              </w:rPr>
              <w:t>15.64亿元（2026-08-28收盘价4.60元；PB 1.99；52周区间3.15-11.32元）</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实控人 / 二股东</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6804" w:type="dxa"/>
          </w:tcPr>
          <w:p>
            <w:r/>
            <w:r>
              <w:rPr>
                <w:rFonts w:ascii="微软雅黑" w:hAnsi="微软雅黑" w:eastAsia="微软雅黑"/>
                <w:sz w:val="19"/>
              </w:rPr>
              <w:t>冯春保 / 34.33%；深圳卓众达富 / 29.00%（合计63.33%，前十大合计70.8%）</w:t>
            </w:r>
          </w:p>
        </w:tc>
      </w:tr>
    </w:tbl>
    <w:p>
      <w:pPr>
        <w:spacing w:before="280" w:after="200"/>
      </w:pPr>
      <w:r>
        <w:rPr>
          <w:rFonts w:ascii="微软雅黑" w:hAnsi="微软雅黑" w:eastAsia="微软雅黑"/>
          <w:b/>
          <w:color w:val="2E75B6"/>
          <w:sz w:val="24"/>
        </w:rPr>
        <w:t>综合评级：B档（70 / 100 分 · V2十二维）——保壳评分中等，但退市风险极高，详见第八章</w:t>
      </w:r>
    </w:p>
    <w:p>
      <w:pPr>
        <w:spacing w:after="80"/>
      </w:pPr>
      <w:r>
        <w:rPr>
          <w:rFonts w:ascii="微软雅黑" w:hAnsi="微软雅黑" w:eastAsia="微软雅黑"/>
          <w:b/>
          <w:sz w:val="22"/>
        </w:rPr>
        <w:t>核心风险</w:t>
      </w:r>
    </w:p>
    <w:p>
      <w:pPr>
        <w:spacing w:before="0" w:after="40"/>
      </w:pPr>
      <w:r>
        <w:rPr>
          <w:rFonts w:ascii="微软雅黑" w:hAnsi="微软雅黑" w:eastAsia="微软雅黑"/>
          <w:b/>
          <w:sz w:val="20"/>
        </w:rPr>
        <w:t xml:space="preserve">  1.  财务类退市倒计时：</w:t>
      </w:r>
      <w:r>
        <w:rPr>
          <w:rFonts w:ascii="微软雅黑" w:hAnsi="微软雅黑" w:eastAsia="微软雅黑"/>
          <w:sz w:val="20"/>
        </w:rPr>
        <w:t>2025年扣除后营收28,869.98万&lt;3亿触发9.3.1条，2026年报达标概率&lt;5%，2027年4月终止上市概率80-85%</w:t>
      </w:r>
    </w:p>
    <w:p>
      <w:pPr>
        <w:spacing w:before="0" w:after="40"/>
      </w:pPr>
      <w:r>
        <w:rPr>
          <w:rFonts w:ascii="微软雅黑" w:hAnsi="微软雅黑" w:eastAsia="微软雅黑"/>
          <w:b/>
          <w:sz w:val="20"/>
        </w:rPr>
        <w:t xml:space="preserve">  2.  立案调查未决：</w:t>
      </w:r>
      <w:r>
        <w:rPr>
          <w:rFonts w:ascii="微软雅黑" w:hAnsi="微软雅黑" w:eastAsia="微软雅黑"/>
          <w:sz w:val="20"/>
        </w:rPr>
        <w:t>2026-04-30证监会立案（涉嫌信披违规），若构成重大违法将切换为不可逆退市路径</w:t>
      </w:r>
    </w:p>
    <w:p>
      <w:pPr>
        <w:spacing w:before="0" w:after="40"/>
      </w:pPr>
      <w:r>
        <w:rPr>
          <w:rFonts w:ascii="微软雅黑" w:hAnsi="微软雅黑" w:eastAsia="微软雅黑"/>
          <w:b/>
          <w:sz w:val="20"/>
        </w:rPr>
        <w:t xml:space="preserve">  3.  公开谴责：</w:t>
      </w:r>
      <w:r>
        <w:rPr>
          <w:rFonts w:ascii="微软雅黑" w:hAnsi="微软雅黑" w:eastAsia="微软雅黑"/>
          <w:sz w:val="20"/>
        </w:rPr>
        <w:t>2026-06-24深交所公开谴责（深证上〔2026〕861号），公司+冯帆+孙波+乔贵彩被谴责</w:t>
      </w:r>
    </w:p>
    <w:p>
      <w:pPr>
        <w:spacing w:before="0" w:after="40"/>
      </w:pPr>
      <w:r>
        <w:rPr>
          <w:rFonts w:ascii="微软雅黑" w:hAnsi="微软雅黑" w:eastAsia="微软雅黑"/>
          <w:b/>
          <w:sz w:val="20"/>
        </w:rPr>
        <w:t xml:space="preserve">  4.  主业持续失血：</w:t>
      </w:r>
      <w:r>
        <w:rPr>
          <w:rFonts w:ascii="微软雅黑" w:hAnsi="微软雅黑" w:eastAsia="微软雅黑"/>
          <w:sz w:val="20"/>
        </w:rPr>
        <w:t>2026H1营收1.012亿元（同比-14.13%）、归母净利-5,652万元（亏损扩大87.5%）、毛利率9.55%、经营现金流-6,814万元</w:t>
      </w:r>
    </w:p>
    <w:p>
      <w:pPr>
        <w:spacing w:before="0" w:after="40"/>
      </w:pPr>
      <w:r>
        <w:rPr>
          <w:rFonts w:ascii="微软雅黑" w:hAnsi="微软雅黑" w:eastAsia="微软雅黑"/>
          <w:b/>
          <w:sz w:val="20"/>
        </w:rPr>
        <w:t xml:space="preserve">  5.  高杠杆续命：</w:t>
      </w:r>
      <w:r>
        <w:rPr>
          <w:rFonts w:ascii="微软雅黑" w:hAnsi="微软雅黑" w:eastAsia="微软雅黑"/>
          <w:sz w:val="20"/>
        </w:rPr>
        <w:t>短贷2.37亿较2024年末0.5亿激增374%，资产负债率升至32.85%</w:t>
      </w:r>
    </w:p>
    <w:p>
      <w:pPr>
        <w:spacing w:before="200" w:after="80"/>
      </w:pPr>
      <w:r>
        <w:rPr>
          <w:rFonts w:ascii="微软雅黑" w:hAnsi="微软雅黑" w:eastAsia="微软雅黑"/>
          <w:b/>
          <w:sz w:val="22"/>
        </w:rPr>
        <w:t>分析结论</w:t>
      </w:r>
    </w:p>
    <w:p>
      <w:pPr>
        <w:spacing w:before="0" w:after="80"/>
      </w:pPr>
      <w:r>
        <w:rPr>
          <w:rFonts w:ascii="微软雅黑" w:hAnsi="微软雅黑" w:eastAsia="微软雅黑"/>
          <w:sz w:val="20"/>
        </w:rPr>
        <w:t>*ST冀凯保壳评分70分（B档，V2十二维），但评分未覆盖的退市概率维度极端恶化：2026年报达标概率不足5%、2027年4月触发终止上市概率80-85%，叠加立案调查结果未明、公开谴责、投资者索赔三重合规风险，公司处于「退市倒计时+合规双杀」状态。壳价安全垫（市值15.44亿=壳费基准33.81亿的4.6折，V2-C2壳价值满分10分）仅对重组博弈具有理论意义，对场外资金而言风险收益比极差。投资核心假设是2026年内能否出现实质性保壳动作（资产注入/并购）——在立案调查未结案的背景下，任何方案推进都面临监管不确定性。不建议普通投资者参与，专业投资者亦应视为极高风险事件驱动标的。</w:t>
      </w:r>
    </w:p>
    <w:p>
      <w:pPr>
        <w:spacing w:before="280"/>
        <w:jc w:val="right"/>
      </w:pPr>
      <w:r>
        <w:rPr>
          <w:rFonts w:ascii="微软雅黑" w:hAnsi="微软雅黑" w:eastAsia="微软雅黑"/>
          <w:color w:val="666666"/>
          <w:sz w:val="19"/>
        </w:rPr>
        <w:t>分析机构：小调AI-WorkBuddy  |  分析日期：2026年9月2日</w:t>
      </w:r>
    </w:p>
    <w:p>
      <w:r>
        <w:br w:type="page"/>
      </w:r>
    </w:p>
    <w:p>
      <w:pPr>
        <w:pStyle w:val="Heading1"/>
      </w:pPr>
      <w:r>
        <w:rPr>
          <w:rFonts w:ascii="微软雅黑" w:hAnsi="微软雅黑" w:eastAsia="微软雅黑"/>
          <w:color w:val="1F4E79"/>
        </w:rPr>
        <w:t>目  录</w:t>
      </w:r>
    </w:p>
    <w:p>
      <w:pPr>
        <w:spacing w:after="20"/>
      </w:pPr>
      <w:r>
        <w:rPr>
          <w:rFonts w:ascii="微软雅黑" w:hAnsi="微软雅黑" w:eastAsia="微软雅黑"/>
          <w:b/>
          <w:sz w:val="22"/>
        </w:rPr>
        <w:t>第一章  公司概况</w:t>
      </w:r>
    </w:p>
    <w:p>
      <w:pPr>
        <w:spacing w:after="20"/>
      </w:pPr>
      <w:r>
        <w:rPr>
          <w:rFonts w:ascii="微软雅黑" w:hAnsi="微软雅黑" w:eastAsia="微软雅黑"/>
          <w:b w:val="0"/>
          <w:sz w:val="20"/>
        </w:rPr>
        <w:t xml:space="preserve">  1.1 公司简介</w:t>
      </w:r>
    </w:p>
    <w:p>
      <w:pPr>
        <w:spacing w:after="20"/>
      </w:pPr>
      <w:r>
        <w:rPr>
          <w:rFonts w:ascii="微软雅黑" w:hAnsi="微软雅黑" w:eastAsia="微软雅黑"/>
          <w:b w:val="0"/>
          <w:sz w:val="20"/>
        </w:rPr>
        <w:t xml:space="preserve">  1.2 主营业务</w:t>
      </w:r>
    </w:p>
    <w:p>
      <w:pPr>
        <w:spacing w:after="20"/>
      </w:pPr>
      <w:r>
        <w:rPr>
          <w:rFonts w:ascii="微软雅黑" w:hAnsi="微软雅黑" w:eastAsia="微软雅黑"/>
          <w:b w:val="0"/>
          <w:sz w:val="20"/>
        </w:rPr>
        <w:t xml:space="preserve">  1.3 财务概况</w:t>
      </w:r>
    </w:p>
    <w:p>
      <w:pPr>
        <w:spacing w:after="20"/>
      </w:pPr>
      <w:r>
        <w:rPr>
          <w:rFonts w:ascii="微软雅黑" w:hAnsi="微软雅黑" w:eastAsia="微软雅黑"/>
          <w:b w:val="0"/>
          <w:sz w:val="20"/>
        </w:rPr>
        <w:t xml:space="preserve">  1.4 股东背景</w:t>
      </w:r>
    </w:p>
    <w:p>
      <w:pPr>
        <w:spacing w:after="20"/>
      </w:pPr>
      <w:r>
        <w:rPr>
          <w:rFonts w:ascii="微软雅黑" w:hAnsi="微软雅黑" w:eastAsia="微软雅黑"/>
          <w:b/>
          <w:sz w:val="22"/>
        </w:rPr>
        <w:t>第二章  财务分析</w:t>
      </w:r>
    </w:p>
    <w:p>
      <w:pPr>
        <w:spacing w:after="20"/>
      </w:pPr>
      <w:r>
        <w:rPr>
          <w:rFonts w:ascii="微软雅黑" w:hAnsi="微软雅黑" w:eastAsia="微软雅黑"/>
          <w:b w:val="0"/>
          <w:sz w:val="20"/>
        </w:rPr>
        <w:t xml:space="preserve">  2.1 盈利能力</w:t>
      </w:r>
    </w:p>
    <w:p>
      <w:pPr>
        <w:spacing w:after="20"/>
      </w:pPr>
      <w:r>
        <w:rPr>
          <w:rFonts w:ascii="微软雅黑" w:hAnsi="微软雅黑" w:eastAsia="微软雅黑"/>
          <w:b w:val="0"/>
          <w:sz w:val="20"/>
        </w:rPr>
        <w:t xml:space="preserve">  2.2 偿债能力</w:t>
      </w:r>
    </w:p>
    <w:p>
      <w:pPr>
        <w:spacing w:after="20"/>
      </w:pPr>
      <w:r>
        <w:rPr>
          <w:rFonts w:ascii="微软雅黑" w:hAnsi="微软雅黑" w:eastAsia="微软雅黑"/>
          <w:b w:val="0"/>
          <w:sz w:val="20"/>
        </w:rPr>
        <w:t xml:space="preserve">  2.3 现金流分析</w:t>
      </w:r>
    </w:p>
    <w:p>
      <w:pPr>
        <w:spacing w:after="20"/>
      </w:pPr>
      <w:r>
        <w:rPr>
          <w:rFonts w:ascii="微软雅黑" w:hAnsi="微软雅黑" w:eastAsia="微软雅黑"/>
          <w:b w:val="0"/>
          <w:sz w:val="20"/>
        </w:rPr>
        <w:t xml:space="preserve">  2.4 营运能力</w:t>
      </w:r>
    </w:p>
    <w:p>
      <w:pPr>
        <w:spacing w:after="20"/>
      </w:pPr>
      <w:r>
        <w:rPr>
          <w:rFonts w:ascii="微软雅黑" w:hAnsi="微软雅黑" w:eastAsia="微软雅黑"/>
          <w:b w:val="0"/>
          <w:sz w:val="20"/>
        </w:rPr>
        <w:t xml:space="preserve">  2.5 财务趋势</w:t>
      </w:r>
    </w:p>
    <w:p>
      <w:pPr>
        <w:spacing w:after="20"/>
      </w:pPr>
      <w:r>
        <w:rPr>
          <w:rFonts w:ascii="微软雅黑" w:hAnsi="微软雅黑" w:eastAsia="微软雅黑"/>
          <w:b/>
          <w:sz w:val="22"/>
        </w:rPr>
        <w:t>第三章  股权结构</w:t>
      </w:r>
    </w:p>
    <w:p>
      <w:pPr>
        <w:spacing w:after="20"/>
      </w:pPr>
      <w:r>
        <w:rPr>
          <w:rFonts w:ascii="微软雅黑" w:hAnsi="微软雅黑" w:eastAsia="微软雅黑"/>
          <w:b w:val="0"/>
          <w:sz w:val="20"/>
        </w:rPr>
        <w:t xml:space="preserve">  3.1 前十大股东</w:t>
      </w:r>
    </w:p>
    <w:p>
      <w:pPr>
        <w:spacing w:after="20"/>
      </w:pPr>
      <w:r>
        <w:rPr>
          <w:rFonts w:ascii="微软雅黑" w:hAnsi="微软雅黑" w:eastAsia="微软雅黑"/>
          <w:b w:val="0"/>
          <w:sz w:val="20"/>
        </w:rPr>
        <w:t xml:space="preserve">  3.2 实际控制人</w:t>
      </w:r>
    </w:p>
    <w:p>
      <w:pPr>
        <w:spacing w:after="20"/>
      </w:pPr>
      <w:r>
        <w:rPr>
          <w:rFonts w:ascii="微软雅黑" w:hAnsi="微软雅黑" w:eastAsia="微软雅黑"/>
          <w:b w:val="0"/>
          <w:sz w:val="20"/>
        </w:rPr>
        <w:t xml:space="preserve">  3.3 股权质押</w:t>
      </w:r>
    </w:p>
    <w:p>
      <w:pPr>
        <w:spacing w:after="20"/>
      </w:pPr>
      <w:r>
        <w:rPr>
          <w:rFonts w:ascii="微软雅黑" w:hAnsi="微软雅黑" w:eastAsia="微软雅黑"/>
          <w:b/>
          <w:sz w:val="22"/>
        </w:rPr>
        <w:t>第四章  风险全景</w:t>
      </w:r>
    </w:p>
    <w:p>
      <w:pPr>
        <w:spacing w:after="20"/>
      </w:pPr>
      <w:r>
        <w:rPr>
          <w:rFonts w:ascii="微软雅黑" w:hAnsi="微软雅黑" w:eastAsia="微软雅黑"/>
          <w:b w:val="0"/>
          <w:sz w:val="20"/>
        </w:rPr>
        <w:t xml:space="preserve">  4.1 司法诉讼与舆情</w:t>
      </w:r>
    </w:p>
    <w:p>
      <w:pPr>
        <w:spacing w:after="20"/>
      </w:pPr>
      <w:r>
        <w:rPr>
          <w:rFonts w:ascii="微软雅黑" w:hAnsi="微软雅黑" w:eastAsia="微软雅黑"/>
          <w:b w:val="0"/>
          <w:sz w:val="20"/>
        </w:rPr>
        <w:t xml:space="preserve">  4.2 戴帽原因及审计质量</w:t>
      </w:r>
    </w:p>
    <w:p>
      <w:pPr>
        <w:spacing w:after="20"/>
      </w:pPr>
      <w:r>
        <w:rPr>
          <w:rFonts w:ascii="微软雅黑" w:hAnsi="微软雅黑" w:eastAsia="微软雅黑"/>
          <w:b w:val="0"/>
          <w:sz w:val="20"/>
        </w:rPr>
        <w:t xml:space="preserve">  4.3 退市风险研判</w:t>
      </w:r>
    </w:p>
    <w:p>
      <w:pPr>
        <w:spacing w:after="20"/>
      </w:pPr>
      <w:r>
        <w:rPr>
          <w:rFonts w:ascii="微软雅黑" w:hAnsi="微软雅黑" w:eastAsia="微软雅黑"/>
          <w:b/>
          <w:sz w:val="22"/>
        </w:rPr>
        <w:t>第五章  风险因素与投资逻辑</w:t>
      </w:r>
    </w:p>
    <w:p>
      <w:pPr>
        <w:spacing w:after="20"/>
      </w:pPr>
      <w:r>
        <w:rPr>
          <w:rFonts w:ascii="微软雅黑" w:hAnsi="微软雅黑" w:eastAsia="微软雅黑"/>
          <w:b w:val="0"/>
          <w:sz w:val="20"/>
        </w:rPr>
        <w:t xml:space="preserve">  5.1 驱动因素</w:t>
      </w:r>
    </w:p>
    <w:p>
      <w:pPr>
        <w:spacing w:after="20"/>
      </w:pPr>
      <w:r>
        <w:rPr>
          <w:rFonts w:ascii="微软雅黑" w:hAnsi="微软雅黑" w:eastAsia="微软雅黑"/>
          <w:b w:val="0"/>
          <w:sz w:val="20"/>
        </w:rPr>
        <w:t xml:space="preserve">  5.2 压制因素</w:t>
      </w:r>
    </w:p>
    <w:p>
      <w:pPr>
        <w:spacing w:after="20"/>
      </w:pPr>
      <w:r>
        <w:rPr>
          <w:rFonts w:ascii="微软雅黑" w:hAnsi="微软雅黑" w:eastAsia="微软雅黑"/>
          <w:b w:val="0"/>
          <w:sz w:val="20"/>
        </w:rPr>
        <w:t xml:space="preserve">  5.3 多空博弈研判</w:t>
      </w:r>
    </w:p>
    <w:p>
      <w:pPr>
        <w:spacing w:after="20"/>
      </w:pPr>
      <w:r>
        <w:rPr>
          <w:rFonts w:ascii="微软雅黑" w:hAnsi="微软雅黑" w:eastAsia="微软雅黑"/>
          <w:b/>
          <w:sz w:val="22"/>
        </w:rPr>
        <w:t>第六章  资本运作成本与安全边际</w:t>
      </w:r>
    </w:p>
    <w:p>
      <w:pPr>
        <w:spacing w:after="20"/>
      </w:pPr>
      <w:r>
        <w:rPr>
          <w:rFonts w:ascii="微软雅黑" w:hAnsi="微软雅黑" w:eastAsia="微软雅黑"/>
          <w:b w:val="0"/>
          <w:sz w:val="20"/>
        </w:rPr>
        <w:t xml:space="preserve">  6.1 隐性负债穿透</w:t>
      </w:r>
    </w:p>
    <w:p>
      <w:pPr>
        <w:spacing w:after="20"/>
      </w:pPr>
      <w:r>
        <w:rPr>
          <w:rFonts w:ascii="微软雅黑" w:hAnsi="微软雅黑" w:eastAsia="微软雅黑"/>
          <w:b w:val="0"/>
          <w:sz w:val="20"/>
        </w:rPr>
        <w:t xml:space="preserve">  6.2 交易本质定性</w:t>
      </w:r>
    </w:p>
    <w:p>
      <w:pPr>
        <w:spacing w:after="20"/>
      </w:pPr>
      <w:r>
        <w:rPr>
          <w:rFonts w:ascii="微软雅黑" w:hAnsi="微软雅黑" w:eastAsia="微软雅黑"/>
          <w:b/>
          <w:sz w:val="22"/>
        </w:rPr>
        <w:t>第七章  估值分析</w:t>
      </w:r>
    </w:p>
    <w:p>
      <w:pPr>
        <w:spacing w:after="20"/>
      </w:pPr>
      <w:r>
        <w:rPr>
          <w:rFonts w:ascii="微软雅黑" w:hAnsi="微软雅黑" w:eastAsia="微软雅黑"/>
          <w:b w:val="0"/>
          <w:sz w:val="20"/>
        </w:rPr>
        <w:t xml:space="preserve">  7.1 壳资源估值</w:t>
      </w:r>
    </w:p>
    <w:p>
      <w:pPr>
        <w:spacing w:after="20"/>
      </w:pPr>
      <w:r>
        <w:rPr>
          <w:rFonts w:ascii="微软雅黑" w:hAnsi="微软雅黑" w:eastAsia="微软雅黑"/>
          <w:b w:val="0"/>
          <w:sz w:val="20"/>
        </w:rPr>
        <w:t xml:space="preserve">  7.2 估值情景分析</w:t>
      </w:r>
    </w:p>
    <w:p>
      <w:pPr>
        <w:spacing w:after="20"/>
      </w:pPr>
      <w:r>
        <w:rPr>
          <w:rFonts w:ascii="微软雅黑" w:hAnsi="微软雅黑" w:eastAsia="微软雅黑"/>
          <w:b/>
          <w:sz w:val="22"/>
        </w:rPr>
        <w:t>第八章  投资建议与策略</w:t>
      </w:r>
    </w:p>
    <w:p>
      <w:pPr>
        <w:spacing w:after="20"/>
      </w:pPr>
      <w:r>
        <w:rPr>
          <w:rFonts w:ascii="微软雅黑" w:hAnsi="微软雅黑" w:eastAsia="微软雅黑"/>
          <w:b w:val="0"/>
          <w:sz w:val="20"/>
        </w:rPr>
        <w:t xml:space="preserve">  8.1 ST保壳评分系统V2 十二维评分</w:t>
      </w:r>
    </w:p>
    <w:p>
      <w:pPr>
        <w:spacing w:after="20"/>
      </w:pPr>
      <w:r>
        <w:rPr>
          <w:rFonts w:ascii="微软雅黑" w:hAnsi="微软雅黑" w:eastAsia="微软雅黑"/>
          <w:b w:val="0"/>
          <w:sz w:val="20"/>
        </w:rPr>
        <w:t xml:space="preserve">  8.2 综合评级（V2刻度）</w:t>
      </w:r>
    </w:p>
    <w:p>
      <w:pPr>
        <w:spacing w:after="20"/>
      </w:pPr>
      <w:r>
        <w:rPr>
          <w:rFonts w:ascii="微软雅黑" w:hAnsi="微软雅黑" w:eastAsia="微软雅黑"/>
          <w:b w:val="0"/>
          <w:sz w:val="20"/>
        </w:rPr>
        <w:t xml:space="preserve">  8.3 分层策略</w:t>
      </w:r>
    </w:p>
    <w:p>
      <w:pPr>
        <w:spacing w:after="20"/>
      </w:pPr>
      <w:r>
        <w:rPr>
          <w:rFonts w:ascii="微软雅黑" w:hAnsi="微软雅黑" w:eastAsia="微软雅黑"/>
          <w:b w:val="0"/>
          <w:sz w:val="20"/>
        </w:rPr>
        <w:t xml:space="preserve">  8.4 重点跟踪指标清单</w:t>
      </w:r>
    </w:p>
    <w:p>
      <w:pPr>
        <w:spacing w:after="20"/>
      </w:pPr>
      <w:r>
        <w:rPr>
          <w:rFonts w:ascii="微软雅黑" w:hAnsi="微软雅黑" w:eastAsia="微软雅黑"/>
          <w:b/>
          <w:sz w:val="22"/>
        </w:rPr>
        <w:t>第九章  附录</w:t>
      </w:r>
    </w:p>
    <w:p>
      <w:pPr>
        <w:spacing w:after="20"/>
      </w:pPr>
      <w:r>
        <w:rPr>
          <w:rFonts w:ascii="微软雅黑" w:hAnsi="微软雅黑" w:eastAsia="微软雅黑"/>
          <w:b w:val="0"/>
          <w:sz w:val="20"/>
        </w:rPr>
        <w:t xml:space="preserve">  9.1 核心风险事项跟踪表</w:t>
      </w:r>
    </w:p>
    <w:p>
      <w:pPr>
        <w:spacing w:after="20"/>
      </w:pPr>
      <w:r>
        <w:rPr>
          <w:rFonts w:ascii="微软雅黑" w:hAnsi="微软雅黑" w:eastAsia="微软雅黑"/>
          <w:b w:val="0"/>
          <w:sz w:val="20"/>
        </w:rPr>
        <w:t xml:space="preserve">  9.2 核心财务数据汇总表</w:t>
      </w:r>
    </w:p>
    <w:p>
      <w:pPr>
        <w:spacing w:after="20"/>
      </w:pPr>
      <w:r>
        <w:rPr>
          <w:rFonts w:ascii="微软雅黑" w:hAnsi="微软雅黑" w:eastAsia="微软雅黑"/>
          <w:b w:val="0"/>
          <w:sz w:val="20"/>
        </w:rPr>
        <w:t xml:space="preserve">  9.3 股东结构汇总表</w:t>
      </w:r>
    </w:p>
    <w:p>
      <w:pPr>
        <w:spacing w:after="20"/>
      </w:pPr>
      <w:r>
        <w:rPr>
          <w:rFonts w:ascii="微软雅黑" w:hAnsi="微软雅黑" w:eastAsia="微软雅黑"/>
          <w:b w:val="0"/>
          <w:sz w:val="20"/>
        </w:rPr>
        <w:t xml:space="preserve">  9.4 壳资源估值参照表</w:t>
      </w:r>
    </w:p>
    <w:p>
      <w:pPr>
        <w:spacing w:after="20"/>
      </w:pPr>
      <w:r>
        <w:rPr>
          <w:rFonts w:ascii="微软雅黑" w:hAnsi="微软雅黑" w:eastAsia="微软雅黑"/>
          <w:b w:val="0"/>
          <w:sz w:val="20"/>
        </w:rPr>
        <w:t xml:space="preserve">  9.5 潜在并购资产画像</w:t>
      </w:r>
    </w:p>
    <w:p>
      <w:pPr>
        <w:spacing w:after="20"/>
      </w:pPr>
      <w:r>
        <w:rPr>
          <w:rFonts w:ascii="微软雅黑" w:hAnsi="微软雅黑" w:eastAsia="微软雅黑"/>
          <w:b/>
          <w:sz w:val="22"/>
        </w:rPr>
        <w:t>免责声明</w:t>
      </w:r>
    </w:p>
    <w:p>
      <w:r>
        <w:br w:type="page"/>
      </w:r>
    </w:p>
    <w:p>
      <w:pPr>
        <w:pStyle w:val="Heading1"/>
      </w:pPr>
      <w:r>
        <w:rPr>
          <w:rFonts w:ascii="微软雅黑" w:hAnsi="微软雅黑" w:eastAsia="微软雅黑"/>
          <w:color w:val="1F4E79"/>
        </w:rPr>
        <w:t>第一章  公司概况</w:t>
      </w:r>
    </w:p>
    <w:p>
      <w:pPr>
        <w:pStyle w:val="Heading2"/>
      </w:pPr>
      <w:r>
        <w:rPr>
          <w:rFonts w:ascii="微软雅黑" w:hAnsi="微软雅黑" w:eastAsia="微软雅黑"/>
          <w:color w:val="1F4E79"/>
        </w:rPr>
        <w:t>1.1 公司简介</w:t>
      </w:r>
    </w:p>
    <w:p>
      <w:pPr>
        <w:spacing w:before="0" w:after="80"/>
      </w:pPr>
      <w:r>
        <w:rPr>
          <w:rFonts w:ascii="微软雅黑" w:hAnsi="微软雅黑" w:eastAsia="微软雅黑"/>
          <w:sz w:val="21"/>
        </w:rPr>
        <w:t>冀凯装备制造股份有限公司（证券简称 *ST冀凯，证券代码 002691）成立于2003年5月，2012年7月31日在深圳证券交易所主板上市，注册地址位于河北省石家庄高新区湘江道418号，现注册资本3.4亿元，董事长为冯帆。公司属于机械设备行业，是矿山装备领域的专业供应商与服务商，主营支护机具、安全钻机、掘进设备和运输机械等矿用机械装备的研发、制造、销售与服务。</w:t>
      </w:r>
    </w:p>
    <w:p>
      <w:pPr>
        <w:spacing w:before="0" w:after="80"/>
      </w:pPr>
      <w:r>
        <w:rPr>
          <w:rFonts w:ascii="微软雅黑" w:hAnsi="微软雅黑" w:eastAsia="微软雅黑"/>
          <w:sz w:val="21"/>
        </w:rPr>
        <w:t>公司下游主要为煤炭矿山及隧道掘进领域客户，经营景气度与煤炭行业资本开支高度相关。受煤炭市场行情下行、煤机行业竞争加剧影响，公司近年盈利能力持续承压，主业营收规模萎缩、毛利率下滑，并出现应收账款回款不及预期导致的信用减值损失，构成近年经营亏损的主因。</w:t>
      </w:r>
    </w:p>
    <w:p>
      <w:pPr>
        <w:pStyle w:val="Heading2"/>
      </w:pPr>
      <w:r>
        <w:rPr>
          <w:rFonts w:ascii="微软雅黑" w:hAnsi="微软雅黑" w:eastAsia="微软雅黑"/>
          <w:color w:val="1F4E79"/>
        </w:rPr>
        <w:t>1.2 主营业务结构</w:t>
      </w:r>
    </w:p>
    <w:tbl>
      <w:tblPr>
        <w:tblStyle w:val="TableGrid"/>
        <w:jc w:val="center"/>
        <w:tblLook w:firstColumn="1" w:firstRow="1" w:lastColumn="0" w:lastRow="0" w:noHBand="0" w:noVBand="1" w:val="04A0"/>
        <w:tblW w:w="9072" w:type="dxa"/>
        <w:tblLayout w:type="fixed"/>
      </w:tblPr>
      <w:tblGrid>
        <w:gridCol w:w="1890"/>
        <w:gridCol w:w="4158"/>
        <w:gridCol w:w="3024"/>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1890" w:type="dxa"/>
          </w:tcPr>
          <w:p>
            <w:pPr>
              <w:jc w:val="center"/>
            </w:pPr>
            <w:r/>
            <w:r>
              <w:rPr>
                <w:rFonts w:ascii="微软雅黑" w:hAnsi="微软雅黑" w:eastAsia="微软雅黑"/>
                <w:b/>
                <w:color w:val="FFFFFF"/>
                <w:sz w:val="20"/>
              </w:rPr>
              <w:t>业务板块</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4158" w:type="dxa"/>
          </w:tcPr>
          <w:p>
            <w:pPr>
              <w:jc w:val="center"/>
            </w:pPr>
            <w:r/>
            <w:r>
              <w:rPr>
                <w:rFonts w:ascii="微软雅黑" w:hAnsi="微软雅黑" w:eastAsia="微软雅黑"/>
                <w:b/>
                <w:color w:val="FFFFFF"/>
                <w:sz w:val="20"/>
              </w:rPr>
              <w:t>主要产品</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3024" w:type="dxa"/>
          </w:tcPr>
          <w:p>
            <w:pPr>
              <w:jc w:val="center"/>
            </w:pPr>
            <w:r/>
            <w:r>
              <w:rPr>
                <w:rFonts w:ascii="微软雅黑" w:hAnsi="微软雅黑" w:eastAsia="微软雅黑"/>
                <w:b/>
                <w:color w:val="FFFFFF"/>
                <w:sz w:val="20"/>
              </w:rPr>
              <w:t>下游场景</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90" w:type="dxa"/>
          </w:tcPr>
          <w:p>
            <w:r/>
            <w:r>
              <w:rPr>
                <w:rFonts w:ascii="微软雅黑" w:hAnsi="微软雅黑" w:eastAsia="微软雅黑"/>
                <w:sz w:val="19"/>
              </w:rPr>
              <w:t>支护机具</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4158" w:type="dxa"/>
          </w:tcPr>
          <w:p>
            <w:r/>
            <w:r>
              <w:rPr>
                <w:rFonts w:ascii="微软雅黑" w:hAnsi="微软雅黑" w:eastAsia="微软雅黑"/>
                <w:sz w:val="19"/>
              </w:rPr>
              <w:t>矿用锚杆、锚索、支护钻具</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024" w:type="dxa"/>
          </w:tcPr>
          <w:p>
            <w:r/>
            <w:r>
              <w:rPr>
                <w:rFonts w:ascii="微软雅黑" w:hAnsi="微软雅黑" w:eastAsia="微软雅黑"/>
                <w:sz w:val="19"/>
              </w:rPr>
              <w:t>煤矿巷道支护</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890" w:type="dxa"/>
          </w:tcPr>
          <w:p>
            <w:r/>
            <w:r>
              <w:rPr>
                <w:rFonts w:ascii="微软雅黑" w:hAnsi="微软雅黑" w:eastAsia="微软雅黑"/>
                <w:sz w:val="19"/>
              </w:rPr>
              <w:t>安全钻机</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4158" w:type="dxa"/>
          </w:tcPr>
          <w:p>
            <w:r/>
            <w:r>
              <w:rPr>
                <w:rFonts w:ascii="微软雅黑" w:hAnsi="微软雅黑" w:eastAsia="微软雅黑"/>
                <w:sz w:val="19"/>
              </w:rPr>
              <w:t>瓦斯抽采钻机、探放水钻机</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024" w:type="dxa"/>
          </w:tcPr>
          <w:p>
            <w:r/>
            <w:r>
              <w:rPr>
                <w:rFonts w:ascii="微软雅黑" w:hAnsi="微软雅黑" w:eastAsia="微软雅黑"/>
                <w:sz w:val="19"/>
              </w:rPr>
              <w:t>煤矿安全治理</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90" w:type="dxa"/>
          </w:tcPr>
          <w:p>
            <w:r/>
            <w:r>
              <w:rPr>
                <w:rFonts w:ascii="微软雅黑" w:hAnsi="微软雅黑" w:eastAsia="微软雅黑"/>
                <w:sz w:val="19"/>
              </w:rPr>
              <w:t>掘进设备</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4158" w:type="dxa"/>
          </w:tcPr>
          <w:p>
            <w:r/>
            <w:r>
              <w:rPr>
                <w:rFonts w:ascii="微软雅黑" w:hAnsi="微软雅黑" w:eastAsia="微软雅黑"/>
                <w:sz w:val="19"/>
              </w:rPr>
              <w:t>掘进机及配套部件</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024" w:type="dxa"/>
          </w:tcPr>
          <w:p>
            <w:r/>
            <w:r>
              <w:rPr>
                <w:rFonts w:ascii="微软雅黑" w:hAnsi="微软雅黑" w:eastAsia="微软雅黑"/>
                <w:sz w:val="19"/>
              </w:rPr>
              <w:t>巷道掘进工程</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890" w:type="dxa"/>
          </w:tcPr>
          <w:p>
            <w:r/>
            <w:r>
              <w:rPr>
                <w:rFonts w:ascii="微软雅黑" w:hAnsi="微软雅黑" w:eastAsia="微软雅黑"/>
                <w:sz w:val="19"/>
              </w:rPr>
              <w:t>运输机械</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4158" w:type="dxa"/>
          </w:tcPr>
          <w:p>
            <w:r/>
            <w:r>
              <w:rPr>
                <w:rFonts w:ascii="微软雅黑" w:hAnsi="微软雅黑" w:eastAsia="微软雅黑"/>
                <w:sz w:val="19"/>
              </w:rPr>
              <w:t>矿用带式输送机等</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024" w:type="dxa"/>
          </w:tcPr>
          <w:p>
            <w:r/>
            <w:r>
              <w:rPr>
                <w:rFonts w:ascii="微软雅黑" w:hAnsi="微软雅黑" w:eastAsia="微软雅黑"/>
                <w:sz w:val="19"/>
              </w:rPr>
              <w:t>矿井物料运输</w:t>
            </w:r>
          </w:p>
        </w:tc>
      </w:tr>
    </w:tbl>
    <w:p>
      <w:pPr>
        <w:spacing w:before="0" w:after="80"/>
      </w:pPr>
      <w:r>
        <w:rPr>
          <w:rFonts w:ascii="微软雅黑" w:hAnsi="微软雅黑" w:eastAsia="微软雅黑"/>
          <w:sz w:val="21"/>
        </w:rPr>
        <w:t>公司产品线围绕煤矿井下「采-掘-支-运」四大环节布局，属于典型的煤炭后周期设备供应商。需求弹性取决于煤矿资本开支节奏，2024-2026年煤炭行业资本开支下行叠加竞争加剧，直接冲击公司订单与盈利。</w:t>
      </w:r>
    </w:p>
    <w:p>
      <w:pPr>
        <w:pStyle w:val="Heading2"/>
      </w:pPr>
      <w:r>
        <w:rPr>
          <w:rFonts w:ascii="微软雅黑" w:hAnsi="微软雅黑" w:eastAsia="微软雅黑"/>
          <w:color w:val="1F4E79"/>
        </w:rPr>
        <w:t>1.3 财务概况（截至2026H1）</w:t>
      </w:r>
    </w:p>
    <w:tbl>
      <w:tblPr>
        <w:tblStyle w:val="TableGrid"/>
        <w:jc w:val="center"/>
        <w:tblLook w:firstColumn="1" w:firstRow="1" w:lastColumn="0" w:lastRow="0" w:noHBand="0" w:noVBand="1" w:val="04A0"/>
        <w:tblW w:w="9072" w:type="dxa"/>
        <w:tblLayout w:type="fixed"/>
      </w:tblPr>
      <w:tblGrid>
        <w:gridCol w:w="2304"/>
        <w:gridCol w:w="2304"/>
        <w:gridCol w:w="2304"/>
        <w:gridCol w:w="2160"/>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pPr>
              <w:jc w:val="center"/>
            </w:pPr>
            <w:r/>
            <w:r>
              <w:rPr>
                <w:rFonts w:ascii="微软雅黑" w:hAnsi="微软雅黑" w:eastAsia="微软雅黑"/>
                <w:b/>
                <w:color w:val="FFFFFF"/>
                <w:sz w:val="20"/>
              </w:rPr>
              <w:t>指标</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pPr>
              <w:jc w:val="center"/>
            </w:pPr>
            <w:r/>
            <w:r>
              <w:rPr>
                <w:rFonts w:ascii="微软雅黑" w:hAnsi="微软雅黑" w:eastAsia="微软雅黑"/>
                <w:b/>
                <w:color w:val="FFFFFF"/>
                <w:sz w:val="20"/>
              </w:rPr>
              <w:t>2026H1</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pPr>
              <w:jc w:val="center"/>
            </w:pPr>
            <w:r/>
            <w:r>
              <w:rPr>
                <w:rFonts w:ascii="微软雅黑" w:hAnsi="微软雅黑" w:eastAsia="微软雅黑"/>
                <w:b/>
                <w:color w:val="FFFFFF"/>
                <w:sz w:val="20"/>
              </w:rPr>
              <w:t>2025年报</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160" w:type="dxa"/>
          </w:tcPr>
          <w:p>
            <w:pPr>
              <w:jc w:val="center"/>
            </w:pPr>
            <w:r/>
            <w:r>
              <w:rPr>
                <w:rFonts w:ascii="微软雅黑" w:hAnsi="微软雅黑" w:eastAsia="微软雅黑"/>
                <w:b/>
                <w:color w:val="FFFFFF"/>
                <w:sz w:val="20"/>
              </w:rPr>
              <w:t>趋势</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营业总收入</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1.01亿元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3.01亿元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160" w:type="dxa"/>
          </w:tcPr>
          <w:p>
            <w:r/>
            <w:r>
              <w:rPr>
                <w:rFonts w:ascii="微软雅黑" w:hAnsi="微软雅黑" w:eastAsia="微软雅黑"/>
                <w:sz w:val="19"/>
              </w:rPr>
              <w:t>同比-14.13%</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归母净利润</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-5,652万元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-5,487万元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160" w:type="dxa"/>
          </w:tcPr>
          <w:p>
            <w:r/>
            <w:r>
              <w:rPr>
                <w:rFonts w:ascii="微软雅黑" w:hAnsi="微软雅黑" w:eastAsia="微软雅黑"/>
                <w:sz w:val="19"/>
              </w:rPr>
              <w:t>亏损扩大87.5%</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扣非净利润</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-5,929万元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-6,359万元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160" w:type="dxa"/>
          </w:tcPr>
          <w:p>
            <w:r/>
            <w:r>
              <w:rPr>
                <w:rFonts w:ascii="微软雅黑" w:hAnsi="微软雅黑" w:eastAsia="微软雅黑"/>
                <w:sz w:val="19"/>
              </w:rPr>
              <w:t>连续为负</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总资产</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11.89亿元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11.34亿元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160" w:type="dxa"/>
          </w:tcPr>
          <w:p>
            <w:r/>
            <w:r>
              <w:rPr>
                <w:rFonts w:ascii="微软雅黑" w:hAnsi="微软雅黑" w:eastAsia="微软雅黑"/>
                <w:sz w:val="19"/>
              </w:rPr>
              <w:t>—</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归母净资产</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7.84亿元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8.40亿元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160" w:type="dxa"/>
          </w:tcPr>
          <w:p>
            <w:r/>
            <w:r>
              <w:rPr>
                <w:rFonts w:ascii="微软雅黑" w:hAnsi="微软雅黑" w:eastAsia="微软雅黑"/>
                <w:sz w:val="19"/>
              </w:rPr>
              <w:t>持续下滑</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资产负债率</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32.85%</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24.6%</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160" w:type="dxa"/>
          </w:tcPr>
          <w:p>
            <w:r/>
            <w:r>
              <w:rPr>
                <w:rFonts w:ascii="微软雅黑" w:hAnsi="微软雅黑" w:eastAsia="微软雅黑"/>
                <w:sz w:val="19"/>
              </w:rPr>
              <w:t>杠杆上升</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短期借款</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2.37亿元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304" w:type="dxa"/>
          </w:tcPr>
          <w:p>
            <w:r/>
            <w:r>
              <w:rPr>
                <w:rFonts w:ascii="微软雅黑" w:hAnsi="微软雅黑" w:eastAsia="微软雅黑"/>
                <w:sz w:val="19"/>
              </w:rPr>
              <w:t>1.40亿元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160" w:type="dxa"/>
          </w:tcPr>
          <w:p>
            <w:r/>
            <w:r>
              <w:rPr>
                <w:rFonts w:ascii="微软雅黑" w:hAnsi="微软雅黑" w:eastAsia="微软雅黑"/>
                <w:sz w:val="19"/>
              </w:rPr>
              <w:t>激增</w:t>
            </w:r>
          </w:p>
        </w:tc>
      </w:tr>
    </w:tbl>
    <w:p>
      <w:pPr>
        <w:spacing w:before="0" w:after="80"/>
      </w:pPr>
      <w:r>
        <w:rPr>
          <w:rFonts w:ascii="微软雅黑" w:hAnsi="微软雅黑" w:eastAsia="微软雅黑"/>
          <w:sz w:val="21"/>
        </w:rPr>
        <w:t>整体看，公司陷入“营收萎缩-亏损扩大-杠杆抬升”的负向循环。2026H1营收仅1.01亿元（同比-14.13%）、归母净利亏损5,652万元（上年同期-3,014万元，亏损近乎翻倍），短期借款从2025年末1.40亿元攀升至2.37亿元，资产负债率由24.6%升至32.85%，靠债务融资支撑运营的迹象明显。</w:t>
      </w:r>
    </w:p>
    <w:p>
      <w:pPr>
        <w:pStyle w:val="Heading2"/>
      </w:pPr>
      <w:r>
        <w:rPr>
          <w:rFonts w:ascii="微软雅黑" w:hAnsi="微软雅黑" w:eastAsia="微软雅黑"/>
          <w:color w:val="1F4E79"/>
        </w:rPr>
        <w:t>1.4 股东背景与上市沿革</w:t>
      </w:r>
    </w:p>
    <w:p>
      <w:pPr>
        <w:spacing w:before="0" w:after="80"/>
      </w:pPr>
      <w:r>
        <w:rPr>
          <w:rFonts w:ascii="微软雅黑" w:hAnsi="微软雅黑" w:eastAsia="微软雅黑"/>
          <w:sz w:val="21"/>
        </w:rPr>
        <w:t>公司由自然人冯春保控制（民企·个人属性），实控人无国资或产业资本背书，保壳依赖自身资源与外部资本博弈。2026年4月30日，因2025年度利润总额、净利润、扣非净利润均为负，且扣除后营业收入（2.887亿元）低于3亿元，触及《股票上市规则》财务类退市风险警示条款，公司股票被实施 *ST（退市风险警示）。</w:t>
      </w:r>
    </w:p>
    <w:p>
      <w:pPr>
        <w:pStyle w:val="Heading1"/>
      </w:pPr>
      <w:r>
        <w:rPr>
          <w:rFonts w:ascii="微软雅黑" w:hAnsi="微软雅黑" w:eastAsia="微软雅黑"/>
          <w:color w:val="1F4E79"/>
        </w:rPr>
        <w:t>第二章  财务分析</w:t>
      </w:r>
    </w:p>
    <w:p>
      <w:pPr>
        <w:pStyle w:val="Heading2"/>
      </w:pPr>
      <w:r>
        <w:rPr>
          <w:rFonts w:ascii="微软雅黑" w:hAnsi="微软雅黑" w:eastAsia="微软雅黑"/>
          <w:color w:val="1F4E79"/>
        </w:rPr>
        <w:t>2.1 盈利能力：主业持续失血</w:t>
      </w:r>
    </w:p>
    <w:tbl>
      <w:tblPr>
        <w:tblStyle w:val="TableGrid"/>
        <w:jc w:val="center"/>
        <w:tblLook w:firstColumn="1" w:firstRow="1" w:lastColumn="0" w:lastRow="0" w:noHBand="0" w:noVBand="1" w:val="04A0"/>
        <w:tblW w:w="9072" w:type="dxa"/>
        <w:tblLayout w:type="fixed"/>
      </w:tblPr>
      <w:tblGrid>
        <w:gridCol w:w="2268"/>
        <w:gridCol w:w="2268"/>
        <w:gridCol w:w="2268"/>
        <w:gridCol w:w="2268"/>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pPr>
              <w:jc w:val="center"/>
            </w:pPr>
            <w:r/>
            <w:r>
              <w:rPr>
                <w:rFonts w:ascii="微软雅黑" w:hAnsi="微软雅黑" w:eastAsia="微软雅黑"/>
                <w:b/>
                <w:color w:val="FFFFFF"/>
                <w:sz w:val="20"/>
              </w:rPr>
              <w:t>指标</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pPr>
              <w:jc w:val="center"/>
            </w:pPr>
            <w:r/>
            <w:r>
              <w:rPr>
                <w:rFonts w:ascii="微软雅黑" w:hAnsi="微软雅黑" w:eastAsia="微软雅黑"/>
                <w:b/>
                <w:color w:val="FFFFFF"/>
                <w:sz w:val="20"/>
              </w:rPr>
              <w:t>2026H1</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pPr>
              <w:jc w:val="center"/>
            </w:pPr>
            <w:r/>
            <w:r>
              <w:rPr>
                <w:rFonts w:ascii="微软雅黑" w:hAnsi="微软雅黑" w:eastAsia="微软雅黑"/>
                <w:b/>
                <w:color w:val="FFFFFF"/>
                <w:sz w:val="20"/>
              </w:rPr>
              <w:t>2025年报</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pPr>
              <w:jc w:val="center"/>
            </w:pPr>
            <w:r/>
            <w:r>
              <w:rPr>
                <w:rFonts w:ascii="微软雅黑" w:hAnsi="微软雅黑" w:eastAsia="微软雅黑"/>
                <w:b/>
                <w:color w:val="FFFFFF"/>
                <w:sz w:val="20"/>
              </w:rPr>
              <w:t>2024年报</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营业收入</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1.01亿元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3.01亿元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3.49亿元</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营业成本</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0.92亿元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2.30亿元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毛利率</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约9.6%</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约23.5%</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下滑</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归母净利</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-5,652万元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-5,487万元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亏损</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扣非净利</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-5,929万元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-6,359万元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亏损</w:t>
            </w:r>
          </w:p>
        </w:tc>
      </w:tr>
    </w:tbl>
    <w:p>
      <w:pPr>
        <w:spacing w:before="0" w:after="80"/>
      </w:pPr>
      <w:r>
        <w:rPr>
          <w:rFonts w:ascii="微软雅黑" w:hAnsi="微软雅黑" w:eastAsia="微软雅黑"/>
          <w:sz w:val="21"/>
        </w:rPr>
        <w:t>盈利能力恶化呈现“量价齐跌”特征：营收规模持续萎缩（从2024年约3.5亿降至2025年3.01亿、2026H1同比再降14%），毛利率大幅下滑（2026H1仅约9.6%）。公司归因于煤机市场竞争加剧、部分产品售价下调，同时应收账款回款未达预期导致信用减值损失增加。</w:t>
      </w:r>
    </w:p>
    <w:p>
      <w:pPr>
        <w:spacing w:before="120" w:after="120"/>
        <w:shd w:val="clear" w:color="auto" w:fill="FFF0F0"/>
      </w:pPr>
      <w:r>
        <w:rPr>
          <w:rFonts w:ascii="微软雅黑" w:hAnsi="微软雅黑" w:eastAsia="微软雅黑"/>
          <w:b/>
          <w:color w:val="FF0000"/>
          <w:sz w:val="21"/>
        </w:rPr>
        <w:t>【盈利端核心风险】</w:t>
      </w:r>
    </w:p>
    <w:p>
      <w:pPr>
        <w:spacing w:before="0" w:after="120"/>
        <w:shd w:val="clear" w:color="auto" w:fill="FFF0F0"/>
      </w:pPr>
      <w:r>
        <w:rPr>
          <w:rFonts w:ascii="微软雅黑" w:hAnsi="微软雅黑" w:eastAsia="微软雅黑"/>
          <w:color w:val="333333"/>
          <w:sz w:val="19"/>
        </w:rPr>
        <w:t>扣非净利润连续多年为负（2025年-6,359万、2026H1-5,929万），主业造血能力丧失。V2口径下A3扣非盈利=0/6、D1现金流=0/4，财务红线通道持续承压。只要营收与扣非盈利未实质改善，退市风险警示便无法解除。</w:t>
      </w:r>
    </w:p>
    <w:p>
      <w:pPr>
        <w:pStyle w:val="Heading2"/>
      </w:pPr>
      <w:r>
        <w:rPr>
          <w:rFonts w:ascii="微软雅黑" w:hAnsi="微软雅黑" w:eastAsia="微软雅黑"/>
          <w:color w:val="1F4E79"/>
        </w:rPr>
        <w:t>2.2 偿债能力：短贷激增，流动性承压</w:t>
      </w:r>
    </w:p>
    <w:p>
      <w:pPr>
        <w:spacing w:before="0" w:after="80"/>
      </w:pPr>
      <w:r>
        <w:rPr>
          <w:rFonts w:ascii="微软雅黑" w:hAnsi="微软雅黑" w:eastAsia="微软雅黑"/>
          <w:sz w:val="21"/>
        </w:rPr>
        <w:t>2026H1短期借款2.37亿元，较2025年末1.40亿元激增约69%（若较2024年末0.5亿元口径则增幅更大），资产负债率由24.6%升至32.85%。虽整体杠杆率尚在可控区间，但在主业持续亏损、经营现金流为负的背景下，债务滚续依赖外部融资支持，存在流动性边际风险。</w:t>
      </w:r>
    </w:p>
    <w:p>
      <w:pPr>
        <w:pStyle w:val="Heading2"/>
      </w:pPr>
      <w:r>
        <w:rPr>
          <w:rFonts w:ascii="微软雅黑" w:hAnsi="微软雅黑" w:eastAsia="微软雅黑"/>
          <w:color w:val="1F4E79"/>
        </w:rPr>
        <w:t>2.3 现金流分析：经营净流出</w:t>
      </w:r>
    </w:p>
    <w:p>
      <w:pPr>
        <w:spacing w:before="0" w:after="80"/>
      </w:pPr>
      <w:r>
        <w:rPr>
          <w:rFonts w:ascii="微软雅黑" w:hAnsi="微软雅黑" w:eastAsia="微软雅黑"/>
          <w:sz w:val="21"/>
        </w:rPr>
        <w:t>2026H1经营活动现金流净额约-6,814万元（2025全年约-6,271万元），连续为负且缺口扩大。收现比恶化、信用减值高企，说明公司销售回款质量下降、营运资金被不断侵蚀。在净利与现金流双负的情况下，公司运转高度依赖借款补血，财务可持续性存疑。</w:t>
      </w:r>
    </w:p>
    <w:p>
      <w:pPr>
        <w:pStyle w:val="Heading2"/>
      </w:pPr>
      <w:r>
        <w:rPr>
          <w:rFonts w:ascii="微软雅黑" w:hAnsi="微软雅黑" w:eastAsia="微软雅黑"/>
          <w:color w:val="1F4E79"/>
        </w:rPr>
        <w:t>2.4 营运能力与资产质量</w:t>
      </w:r>
    </w:p>
    <w:p>
      <w:pPr>
        <w:spacing w:before="0" w:after="80"/>
      </w:pPr>
      <w:r>
        <w:rPr>
          <w:rFonts w:ascii="微软雅黑" w:hAnsi="微软雅黑" w:eastAsia="微软雅黑"/>
          <w:sz w:val="21"/>
        </w:rPr>
        <w:t>公司应收账款规模较大（2026H1应收账款及票据合计约3.27亿元），远超同期营收，回款周期长。2026年8月20日公司公告计提资产减值准备及核销资产，反映下游客户（煤矿企业）付款能力下降，应收账款与存货存在减值风险。资产质量下滑叠加主业亏损，是公司近年报表端的显著特征。</w:t>
      </w:r>
    </w:p>
    <w:p>
      <w:pPr>
        <w:pStyle w:val="Heading2"/>
      </w:pPr>
      <w:r>
        <w:rPr>
          <w:rFonts w:ascii="微软雅黑" w:hAnsi="微软雅黑" w:eastAsia="微软雅黑"/>
          <w:color w:val="1F4E79"/>
        </w:rPr>
        <w:t>2.5 财务趋势与退市红线距离</w:t>
      </w:r>
    </w:p>
    <w:p>
      <w:pPr>
        <w:spacing w:before="120" w:after="120"/>
        <w:shd w:val="clear" w:color="auto" w:fill="FFF0F0"/>
      </w:pPr>
      <w:r>
        <w:rPr>
          <w:rFonts w:ascii="微软雅黑" w:hAnsi="微软雅黑" w:eastAsia="微软雅黑"/>
          <w:b/>
          <w:color w:val="FF0000"/>
          <w:sz w:val="21"/>
        </w:rPr>
        <w:t>【退市红线：扣非营业收入缺口】</w:t>
      </w:r>
    </w:p>
    <w:p>
      <w:pPr>
        <w:spacing w:before="0" w:after="120"/>
        <w:shd w:val="clear" w:color="auto" w:fill="FFF0F0"/>
      </w:pPr>
      <w:r>
        <w:rPr>
          <w:rFonts w:ascii="微软雅黑" w:hAnsi="微软雅黑" w:eastAsia="微软雅黑"/>
          <w:color w:val="333333"/>
          <w:sz w:val="19"/>
        </w:rPr>
        <w:t>2025年度扣除后营业收入28,869.98万元，距离主板3亿元退市红线仅差约4%。2026H1营收仅1.01亿元（同比-14.13%），若下半年无显著改善，全年达标3亿元的概率极低——这是公司最核心的退市风险触发点，也是决定2027年是否终止上市的关键变量。</w:t>
      </w:r>
    </w:p>
    <w:p>
      <w:pPr>
        <w:spacing w:before="0" w:after="80"/>
      </w:pPr>
      <w:r>
        <w:rPr>
          <w:rFonts w:ascii="微软雅黑" w:hAnsi="微软雅黑" w:eastAsia="微软雅黑"/>
          <w:sz w:val="21"/>
        </w:rPr>
        <w:t>财务趋势结论：公司处于“营收红线逼近+持续亏损+现金流为负”的三重挤压，靠内生经营完成2026年度财务类指标修复的可能性很小，保壳必须依赖外部变量（重组注入、政府纾困等）方能破局，详见第六章。</w:t>
      </w:r>
    </w:p>
    <w:p>
      <w:pPr>
        <w:pStyle w:val="Heading1"/>
      </w:pPr>
      <w:r>
        <w:rPr>
          <w:rFonts w:ascii="微软雅黑" w:hAnsi="微软雅黑" w:eastAsia="微软雅黑"/>
          <w:color w:val="1F4E79"/>
        </w:rPr>
        <w:t>第三章  股权结构</w:t>
      </w:r>
    </w:p>
    <w:p>
      <w:pPr>
        <w:pStyle w:val="Heading2"/>
      </w:pPr>
      <w:r>
        <w:rPr>
          <w:rFonts w:ascii="微软雅黑" w:hAnsi="微软雅黑" w:eastAsia="微软雅黑"/>
          <w:color w:val="1F4E79"/>
        </w:rPr>
        <w:t>3.1 实际控制人</w:t>
      </w:r>
    </w:p>
    <w:p>
      <w:pPr>
        <w:spacing w:before="0" w:after="80"/>
      </w:pPr>
      <w:r>
        <w:rPr>
          <w:rFonts w:ascii="微软雅黑" w:hAnsi="微软雅黑" w:eastAsia="微软雅黑"/>
          <w:sz w:val="21"/>
        </w:rPr>
        <w:t>公司实际控制人为冯春保，属于民企（个人）属性，V2口径下S1实控人性质得分10/12——民企档上限8分，但公司前3大股东合计持股65.61%（冯春保34.33%+深圳卓众达富29%+杭州焱热2.28%）&gt;50%，触发控制力上探至10分。无国资兜底、无产业资本背书，保壳仍依赖自身资源或引入外部资本，但前3大股东股权高度集中为后续引入重组方保留了博弈空间。</w:t>
      </w:r>
    </w:p>
    <w:p>
      <w:pPr>
        <w:spacing w:before="120" w:after="120"/>
        <w:shd w:val="clear" w:color="auto" w:fill="FFF8F0"/>
      </w:pPr>
      <w:r>
        <w:rPr>
          <w:rFonts w:ascii="微软雅黑" w:hAnsi="微软雅黑" w:eastAsia="微软雅黑"/>
          <w:b/>
          <w:color w:val="FF8C00"/>
          <w:sz w:val="21"/>
        </w:rPr>
        <w:t>【实控人属性提示】</w:t>
      </w:r>
    </w:p>
    <w:p>
      <w:pPr>
        <w:spacing w:before="0" w:after="120"/>
        <w:shd w:val="clear" w:color="auto" w:fill="FFF8F0"/>
      </w:pPr>
      <w:r>
        <w:rPr>
          <w:rFonts w:ascii="微软雅黑" w:hAnsi="微软雅黑" w:eastAsia="微软雅黑"/>
          <w:color w:val="333333"/>
          <w:sz w:val="19"/>
        </w:rPr>
        <w:t>民企实控人若无增量资本介入，在财务类退市压力下自救能力有限。需关注实控人是否可能转让控制权、引入战略方或进行资产腾挪，作为保壳博弈的关键观察点。</w:t>
      </w:r>
    </w:p>
    <w:p>
      <w:pPr>
        <w:pStyle w:val="Heading2"/>
      </w:pPr>
      <w:r>
        <w:rPr>
          <w:rFonts w:ascii="微软雅黑" w:hAnsi="微软雅黑" w:eastAsia="微软雅黑"/>
          <w:color w:val="1F4E79"/>
        </w:rPr>
        <w:t>3.2 前十大股东与二股东</w:t>
      </w:r>
    </w:p>
    <w:p>
      <w:pPr>
        <w:spacing w:before="0" w:after="80"/>
      </w:pPr>
      <w:r>
        <w:rPr>
          <w:rFonts w:ascii="微软雅黑" w:hAnsi="微软雅黑" w:eastAsia="微软雅黑"/>
          <w:sz w:val="21"/>
        </w:rPr>
        <w:t>据2026年中报披露，实控人冯春保持股约34.33%，第二大股东深圳卓众达富持股约29.00%，二者合计约63.33%，前十大股东合计持股约70.8%，股权相对集中。二股东卓众达富作为机构/产业方持股近三成，其后续动作（增持、退出或配合重组）对控制权稳定与保壳路径有实质影响，需重点跟踪。</w:t>
      </w:r>
    </w:p>
    <w:p>
      <w:pPr>
        <w:pStyle w:val="Heading2"/>
      </w:pPr>
      <w:r>
        <w:rPr>
          <w:rFonts w:ascii="微软雅黑" w:hAnsi="微软雅黑" w:eastAsia="微软雅黑"/>
          <w:color w:val="1F4E79"/>
        </w:rPr>
        <w:t>3.3 股权质押与冻结</w:t>
      </w:r>
    </w:p>
    <w:p>
      <w:pPr>
        <w:spacing w:before="0" w:after="80"/>
      </w:pPr>
      <w:r>
        <w:rPr>
          <w:rFonts w:ascii="微软雅黑" w:hAnsi="微软雅黑" w:eastAsia="微软雅黑"/>
          <w:sz w:val="21"/>
        </w:rPr>
        <w:t>整体质押比例约28.78%（V2口径S2得分4/6，20%-50%档扣2分）。质押比例虽未达极端高位，但在股价低迷、退市风险高悬的背景下，若股价进一步下行可能触发质押平仓风险，需持续监控质押变动公告。</w:t>
      </w:r>
    </w:p>
    <w:p>
      <w:pPr>
        <w:pStyle w:val="Heading1"/>
      </w:pPr>
      <w:r>
        <w:rPr>
          <w:rFonts w:ascii="微软雅黑" w:hAnsi="微软雅黑" w:eastAsia="微软雅黑"/>
          <w:color w:val="1F4E79"/>
        </w:rPr>
        <w:t>第四章  风险全景</w:t>
      </w:r>
    </w:p>
    <w:p>
      <w:pPr>
        <w:pStyle w:val="Heading2"/>
      </w:pPr>
      <w:r>
        <w:rPr>
          <w:rFonts w:ascii="微软雅黑" w:hAnsi="微软雅黑" w:eastAsia="微软雅黑"/>
          <w:color w:val="1F4E79"/>
        </w:rPr>
        <w:t>4.1 司法诉讼与监管处罚</w:t>
      </w:r>
    </w:p>
    <w:p>
      <w:pPr>
        <w:spacing w:before="120" w:after="120"/>
        <w:shd w:val="clear" w:color="auto" w:fill="FFF0F0"/>
      </w:pPr>
      <w:r>
        <w:rPr>
          <w:rFonts w:ascii="微软雅黑" w:hAnsi="微软雅黑" w:eastAsia="微软雅黑"/>
          <w:b/>
          <w:color w:val="FF0000"/>
          <w:sz w:val="21"/>
        </w:rPr>
        <w:t>【证监会立案调查（2026-04-30）】</w:t>
      </w:r>
    </w:p>
    <w:p>
      <w:pPr>
        <w:spacing w:before="0" w:after="120"/>
        <w:shd w:val="clear" w:color="auto" w:fill="FFF0F0"/>
      </w:pPr>
      <w:r>
        <w:rPr>
          <w:rFonts w:ascii="微软雅黑" w:hAnsi="微软雅黑" w:eastAsia="微软雅黑"/>
          <w:color w:val="333333"/>
          <w:sz w:val="19"/>
        </w:rPr>
        <w:t>公司于2026年4月30日披露收到证监会《立案告知书》，因涉嫌信息披露违法违规被立案调查。该立案源于2025年度业绩预告信披问题（详见4.2）。若后续认定构成重大违法（如触及重大违法强制退市情形），将触发不可逆的强制退市路径，一切保壳预期随之失效——这是当前所有风险中影响最重大、最不确定的一条。</w:t>
      </w:r>
    </w:p>
    <w:p>
      <w:pPr>
        <w:spacing w:before="120" w:after="120"/>
        <w:shd w:val="clear" w:color="auto" w:fill="FFF0F0"/>
      </w:pPr>
      <w:r>
        <w:rPr>
          <w:rFonts w:ascii="微软雅黑" w:hAnsi="微软雅黑" w:eastAsia="微软雅黑"/>
          <w:b/>
          <w:color w:val="FF0000"/>
          <w:sz w:val="21"/>
        </w:rPr>
        <w:t>【深交所公开谴责（2026-06-24）】</w:t>
      </w:r>
    </w:p>
    <w:p>
      <w:pPr>
        <w:spacing w:before="0" w:after="120"/>
        <w:shd w:val="clear" w:color="auto" w:fill="FFF0F0"/>
      </w:pPr>
      <w:r>
        <w:rPr>
          <w:rFonts w:ascii="微软雅黑" w:hAnsi="微软雅黑" w:eastAsia="微软雅黑"/>
          <w:color w:val="333333"/>
          <w:sz w:val="19"/>
        </w:rPr>
        <w:t>深交所出具《深证上〔2026〕861号》公开谴责处分：对冀凯股份及董事长冯帆、总经理孙波、财务负责人乔贵彩给予公开谴责。公司及3名高管同时被处分，反映监管对信披违规的严肃追责，也加大了对公司后续资本运作的监管约束。</w:t>
      </w:r>
    </w:p>
    <w:p>
      <w:pPr>
        <w:pStyle w:val="Heading2"/>
      </w:pPr>
      <w:r>
        <w:rPr>
          <w:rFonts w:ascii="微软雅黑" w:hAnsi="微软雅黑" w:eastAsia="微软雅黑"/>
          <w:color w:val="1F4E79"/>
        </w:rPr>
        <w:t>4.2 戴帽原因及审计质量</w:t>
      </w:r>
    </w:p>
    <w:p>
      <w:pPr>
        <w:spacing w:before="0" w:after="80"/>
      </w:pPr>
      <w:r>
        <w:rPr>
          <w:rFonts w:ascii="微软雅黑" w:hAnsi="微软雅黑" w:eastAsia="微软雅黑"/>
          <w:sz w:val="21"/>
        </w:rPr>
        <w:t>公司戴帽（*ST）的直接原因：2025年度利润总额、净利润、扣非净利润均为负值，且扣除后营业收入28,869.98万元低于3亿元，触发《股票上市规则（2025年修订）》第9.3.1条财务类退市风险警示规定，自2026年4月30日起被实施 *ST。</w:t>
      </w:r>
    </w:p>
    <w:p>
      <w:pPr>
        <w:spacing w:before="120" w:after="120"/>
        <w:shd w:val="clear" w:color="auto" w:fill="FFF0F0"/>
      </w:pPr>
      <w:r>
        <w:rPr>
          <w:rFonts w:ascii="微软雅黑" w:hAnsi="微软雅黑" w:eastAsia="微软雅黑"/>
          <w:b/>
          <w:color w:val="FF0000"/>
          <w:sz w:val="21"/>
        </w:rPr>
        <w:t>【戴帽链条中的信披违规（*ST起因）】</w:t>
      </w:r>
    </w:p>
    <w:p>
      <w:pPr>
        <w:spacing w:before="0" w:after="120"/>
        <w:shd w:val="clear" w:color="auto" w:fill="FFF0F0"/>
      </w:pPr>
      <w:r>
        <w:rPr>
          <w:rFonts w:ascii="微软雅黑" w:hAnsi="微软雅黑" w:eastAsia="微软雅黑"/>
          <w:color w:val="333333"/>
          <w:sz w:val="19"/>
        </w:rPr>
        <w:t>回溯：公司2026年1月28日披露的《2025年度业绩预告》仅预计净利亏损，未披露扣非营收低于3亿元情形，也未及时提示退市风险；至2026年4月24日才披露《业绩预告修正公告》并首次提示可能被实施退市风险警示。深交所认定其违反披露义务并予公开谴责，证监会随后立案——「业绩预告漏报→修正补报→被谴责→被立案→被戴帽」是完整的风险链条，直接导致公司进入退市风险警示状态。</w:t>
      </w:r>
    </w:p>
    <w:p>
      <w:pPr>
        <w:pStyle w:val="Heading2"/>
      </w:pPr>
      <w:r>
        <w:rPr>
          <w:rFonts w:ascii="微软雅黑" w:hAnsi="微软雅黑" w:eastAsia="微软雅黑"/>
          <w:color w:val="1F4E79"/>
        </w:rPr>
        <w:t>4.3 退市风险研判</w:t>
      </w:r>
    </w:p>
    <w:p>
      <w:pPr>
        <w:spacing w:before="0" w:after="80"/>
      </w:pPr>
      <w:r>
        <w:rPr>
          <w:rFonts w:ascii="微软雅黑" w:hAnsi="微软雅黑" w:eastAsia="微软雅黑"/>
          <w:sz w:val="21"/>
        </w:rPr>
        <w:t>冀凯当前面临三重退市路径叠加：① 财务类——2026年度需扣非营收≥3亿，但2026H1仅1.01亿且下滑，达标概率极低；② 违法类——证监会立案若升级为重大违法认定，直接强制退市；③ 交易类——现价虽在面值线上方（4.61元），但退市预期下存在股价持续下行的理论可能。其中财务类是概率最高的退市路径，违法类是破坏力最大的路径。</w:t>
      </w:r>
    </w:p>
    <w:p>
      <w:pPr>
        <w:pStyle w:val="Heading1"/>
      </w:pPr>
      <w:r>
        <w:rPr>
          <w:rFonts w:ascii="微软雅黑" w:hAnsi="微软雅黑" w:eastAsia="微软雅黑"/>
          <w:color w:val="1F4E79"/>
        </w:rPr>
        <w:t>第五章  风险因素与投资逻辑</w:t>
      </w:r>
    </w:p>
    <w:p>
      <w:pPr>
        <w:pStyle w:val="Heading2"/>
      </w:pPr>
      <w:r>
        <w:rPr>
          <w:rFonts w:ascii="微软雅黑" w:hAnsi="微软雅黑" w:eastAsia="微软雅黑"/>
          <w:color w:val="1F4E79"/>
        </w:rPr>
        <w:t>5.1 驱动因素（潜在保壳/看多方）</w:t>
      </w:r>
    </w:p>
    <w:p>
      <w:pPr>
        <w:spacing w:after="40"/>
      </w:pPr>
      <w:r>
        <w:rPr>
          <w:rFonts w:ascii="微软雅黑" w:hAnsi="微软雅黑" w:eastAsia="微软雅黑"/>
          <w:b/>
          <w:sz w:val="20"/>
        </w:rPr>
        <w:t>• 壳价值安全垫：</w:t>
      </w:r>
      <w:r>
        <w:rPr>
          <w:rFonts w:ascii="微软雅黑" w:hAnsi="微软雅黑" w:eastAsia="微软雅黑"/>
          <w:sz w:val="20"/>
        </w:rPr>
        <w:t>市值约15.44亿元，仅为壳费基准33.81亿元的4.6折（≤5折=并购机会区），对潜在重组方而言壳价便宜、借壳成本低</w:t>
      </w:r>
    </w:p>
    <w:p>
      <w:pPr>
        <w:spacing w:after="40"/>
      </w:pPr>
      <w:r>
        <w:rPr>
          <w:rFonts w:ascii="微软雅黑" w:hAnsi="微软雅黑" w:eastAsia="微软雅黑"/>
          <w:b/>
          <w:sz w:val="20"/>
        </w:rPr>
        <w:t>• 账面净资产：</w:t>
      </w:r>
      <w:r>
        <w:rPr>
          <w:rFonts w:ascii="微软雅黑" w:hAnsi="微软雅黑" w:eastAsia="微软雅黑"/>
          <w:sz w:val="20"/>
        </w:rPr>
        <w:t>归母净资产8.40亿元（2025年报，V2-A1=9/12），无资不抵债，财务退市的“资不抵债”红线尚远</w:t>
      </w:r>
    </w:p>
    <w:p>
      <w:pPr>
        <w:spacing w:after="40"/>
      </w:pPr>
      <w:r>
        <w:rPr>
          <w:rFonts w:ascii="微软雅黑" w:hAnsi="微软雅黑" w:eastAsia="微软雅黑"/>
          <w:b/>
          <w:sz w:val="20"/>
        </w:rPr>
        <w:t>• 审计意见干净：</w:t>
      </w:r>
      <w:r>
        <w:rPr>
          <w:rFonts w:ascii="微软雅黑" w:hAnsi="微软雅黑" w:eastAsia="微软雅黑"/>
          <w:sz w:val="20"/>
        </w:rPr>
        <w:t>2025年度财务+内控均为标准无保留（V2-B2=12/12），无因审计意见导致的退市触发</w:t>
      </w:r>
    </w:p>
    <w:p>
      <w:pPr>
        <w:spacing w:after="40"/>
      </w:pPr>
      <w:r>
        <w:rPr>
          <w:rFonts w:ascii="微软雅黑" w:hAnsi="微软雅黑" w:eastAsia="微软雅黑"/>
          <w:b/>
          <w:sz w:val="20"/>
        </w:rPr>
        <w:t>• 股权集中：</w:t>
      </w:r>
      <w:r>
        <w:rPr>
          <w:rFonts w:ascii="微软雅黑" w:hAnsi="微软雅黑" w:eastAsia="微软雅黑"/>
          <w:sz w:val="20"/>
        </w:rPr>
        <w:t>实控人+二股东合计63.33%，若二股东卓众达富愿配合，引入重组方案的操作空间较大</w:t>
      </w:r>
    </w:p>
    <w:p>
      <w:pPr>
        <w:pStyle w:val="Heading2"/>
      </w:pPr>
      <w:r>
        <w:rPr>
          <w:rFonts w:ascii="微软雅黑" w:hAnsi="微软雅黑" w:eastAsia="微软雅黑"/>
          <w:color w:val="1F4E79"/>
        </w:rPr>
        <w:t>5.2 压制因素（看空/风险方）</w:t>
      </w:r>
    </w:p>
    <w:p>
      <w:pPr>
        <w:spacing w:after="40"/>
      </w:pPr>
      <w:r>
        <w:rPr>
          <w:rFonts w:ascii="微软雅黑" w:hAnsi="微软雅黑" w:eastAsia="微软雅黑"/>
          <w:b/>
          <w:sz w:val="20"/>
        </w:rPr>
        <w:t>• 财务类退市倒计时：</w:t>
      </w:r>
      <w:r>
        <w:rPr>
          <w:rFonts w:ascii="微软雅黑" w:hAnsi="微软雅黑" w:eastAsia="微软雅黑"/>
          <w:sz w:val="20"/>
        </w:rPr>
        <w:t>2026年报达标(扣非营收≥3亿)概率&lt;5%，2027年4月触发终止上市概率高（80-85%区间）</w:t>
      </w:r>
    </w:p>
    <w:p>
      <w:pPr>
        <w:spacing w:after="40"/>
      </w:pPr>
      <w:r>
        <w:rPr>
          <w:rFonts w:ascii="微软雅黑" w:hAnsi="微软雅黑" w:eastAsia="微软雅黑"/>
          <w:b/>
          <w:sz w:val="20"/>
        </w:rPr>
        <w:t>• 证监会立案未决：</w:t>
      </w:r>
      <w:r>
        <w:rPr>
          <w:rFonts w:ascii="微软雅黑" w:hAnsi="微软雅黑" w:eastAsia="微软雅黑"/>
          <w:sz w:val="20"/>
        </w:rPr>
        <w:t>重大违法认定一旦成立即强制退市，结果未明前一切保壳动作受限</w:t>
      </w:r>
    </w:p>
    <w:p>
      <w:pPr>
        <w:spacing w:after="40"/>
      </w:pPr>
      <w:r>
        <w:rPr>
          <w:rFonts w:ascii="微软雅黑" w:hAnsi="微软雅黑" w:eastAsia="微软雅黑"/>
          <w:b/>
          <w:sz w:val="20"/>
        </w:rPr>
        <w:t>• 公开谴责叠加：</w:t>
      </w:r>
      <w:r>
        <w:rPr>
          <w:rFonts w:ascii="微软雅黑" w:hAnsi="微软雅黑" w:eastAsia="微软雅黑"/>
          <w:sz w:val="20"/>
        </w:rPr>
        <w:t>监管问责升级，董监高面临处分，公司再融资/重组审批难度加大</w:t>
      </w:r>
    </w:p>
    <w:p>
      <w:pPr>
        <w:spacing w:after="40"/>
      </w:pPr>
      <w:r>
        <w:rPr>
          <w:rFonts w:ascii="微软雅黑" w:hAnsi="微软雅黑" w:eastAsia="微软雅黑"/>
          <w:b/>
          <w:sz w:val="20"/>
        </w:rPr>
        <w:t>• 主业持续失血：</w:t>
      </w:r>
      <w:r>
        <w:rPr>
          <w:rFonts w:ascii="微软雅黑" w:hAnsi="微软雅黑" w:eastAsia="微软雅黑"/>
          <w:sz w:val="20"/>
        </w:rPr>
        <w:t>营收萎缩+亏损扩大+现金流为负，内生修复无望</w:t>
      </w:r>
    </w:p>
    <w:p>
      <w:pPr>
        <w:spacing w:after="40"/>
      </w:pPr>
      <w:r>
        <w:rPr>
          <w:rFonts w:ascii="微软雅黑" w:hAnsi="微软雅黑" w:eastAsia="微软雅黑"/>
          <w:b/>
          <w:sz w:val="20"/>
        </w:rPr>
        <w:t>• 高杠杆续命：</w:t>
      </w:r>
      <w:r>
        <w:rPr>
          <w:rFonts w:ascii="微软雅黑" w:hAnsi="微软雅黑" w:eastAsia="微软雅黑"/>
          <w:sz w:val="20"/>
        </w:rPr>
        <w:t>短贷激增、资产负债率上升，流动性与债务风险累积</w:t>
      </w:r>
    </w:p>
    <w:p>
      <w:pPr>
        <w:pStyle w:val="Heading2"/>
      </w:pPr>
      <w:r>
        <w:rPr>
          <w:rFonts w:ascii="微软雅黑" w:hAnsi="微软雅黑" w:eastAsia="微软雅黑"/>
          <w:color w:val="1F4E79"/>
        </w:rPr>
        <w:t>5.3 多空博弈研判</w:t>
      </w:r>
    </w:p>
    <w:p>
      <w:pPr>
        <w:spacing w:before="0" w:after="80"/>
      </w:pPr>
      <w:r>
        <w:rPr>
          <w:rFonts w:ascii="微软雅黑" w:hAnsi="微软雅黑" w:eastAsia="微软雅黑"/>
          <w:sz w:val="21"/>
        </w:rPr>
        <w:t>冀凯的博弈本质是“财务类退市倒计时”与“壳价值+潜在重组”的赛跑。多头逻辑建立在壳价便宜、若二股东配合引入重组可保壳的假设上；空头逻辑则指向财务类红线几乎无法内生跨越、叠加立案调查不确定性的现实。从风险收益比看，多头的理论收益（重组后估值修复）远低于空头的现实风险（退市归零），对场外资金而言是典型的高风险事件驱动标的，仅对能承受归零风险、深谙退市博弈规则的专业资金有博弈意义。</w:t>
      </w:r>
    </w:p>
    <w:p>
      <w:pPr>
        <w:pStyle w:val="Heading1"/>
      </w:pPr>
      <w:r>
        <w:rPr>
          <w:rFonts w:ascii="微软雅黑" w:hAnsi="微软雅黑" w:eastAsia="微软雅黑"/>
          <w:color w:val="1F4E79"/>
        </w:rPr>
        <w:t>第六章  资本运作成本与安全边际</w:t>
      </w:r>
    </w:p>
    <w:p>
      <w:pPr>
        <w:pStyle w:val="Heading2"/>
      </w:pPr>
      <w:r>
        <w:rPr>
          <w:rFonts w:ascii="微软雅黑" w:hAnsi="微软雅黑" w:eastAsia="微软雅黑"/>
          <w:color w:val="1F4E79"/>
        </w:rPr>
        <w:t>6.1 隐性负债穿透</w:t>
      </w:r>
    </w:p>
    <w:p>
      <w:pPr>
        <w:spacing w:before="0" w:after="80"/>
      </w:pPr>
      <w:r>
        <w:rPr>
          <w:rFonts w:ascii="微软雅黑" w:hAnsi="微软雅黑" w:eastAsia="微软雅黑"/>
          <w:sz w:val="21"/>
        </w:rPr>
        <w:t>公司表内资产负债率32.85%虽不算高，但需穿透关注：① 短期借款2.37亿元依赖滚动续贷，主业不产生净现金流入的情况下，续贷能力依赖银行授信与股东支持；② 应收账款及票据约3.27亿元规模较大，其中存在减值风险的部分可能构成表内「隐性」减损；③ 立案调查与公开谴责可能影响公司再融资渠道，限制通过定增等工具补充资本的能力。综合看，公司的真实财务安全边际弱于表观负债率所反映的水平。</w:t>
      </w:r>
    </w:p>
    <w:p>
      <w:pPr>
        <w:pStyle w:val="Heading2"/>
      </w:pPr>
      <w:r>
        <w:rPr>
          <w:rFonts w:ascii="微软雅黑" w:hAnsi="微软雅黑" w:eastAsia="微软雅黑"/>
          <w:color w:val="1F4E79"/>
        </w:rPr>
        <w:t>6.2 交易本质定性</w:t>
      </w:r>
    </w:p>
    <w:p>
      <w:pPr>
        <w:spacing w:before="0" w:after="80"/>
      </w:pPr>
      <w:r>
        <w:rPr>
          <w:rFonts w:ascii="微软雅黑" w:hAnsi="微软雅黑" w:eastAsia="微软雅黑"/>
          <w:sz w:val="21"/>
        </w:rPr>
        <w:t>若发生控制权或重大资产交易，冀凯作为*ST壳标的的本质是“以净资产为底、以保壳预期为溢价的博弈载体”。当前市值15.44亿 vs 归母净资产7.84亿，PB约2倍——壳的估值含了保壳成功的期权价值。潜在买方的理性出价会锚定：① 壳的净壳程度（负债/诉讼/立案风险的清理成本）；② 保壳时间窗口（2026年报为生死线，留给重组方时间极短）；③ 立案调查的确定性。在立案未结前，任何交易的执行都面临巨大监管与时间不确定性。</w:t>
      </w:r>
    </w:p>
    <w:p>
      <w:pPr>
        <w:pStyle w:val="Heading1"/>
      </w:pPr>
      <w:r>
        <w:rPr>
          <w:rFonts w:ascii="微软雅黑" w:hAnsi="微软雅黑" w:eastAsia="微软雅黑"/>
          <w:color w:val="1F4E79"/>
        </w:rPr>
        <w:t>第七章  估值分析</w:t>
      </w:r>
    </w:p>
    <w:p>
      <w:pPr>
        <w:pStyle w:val="Heading2"/>
      </w:pPr>
      <w:r>
        <w:rPr>
          <w:rFonts w:ascii="微软雅黑" w:hAnsi="微软雅黑" w:eastAsia="微软雅黑"/>
          <w:color w:val="1F4E79"/>
        </w:rPr>
        <w:t>7.1 壳资源估值</w:t>
      </w:r>
    </w:p>
    <w:tbl>
      <w:tblPr>
        <w:tblStyle w:val="TableGrid"/>
        <w:jc w:val="center"/>
        <w:tblLook w:firstColumn="1" w:firstRow="1" w:lastColumn="0" w:lastRow="0" w:noHBand="0" w:noVBand="1" w:val="04A0"/>
        <w:tblW w:w="9072" w:type="dxa"/>
        <w:tblLayout w:type="fixed"/>
      </w:tblPr>
      <w:tblGrid>
        <w:gridCol w:w="2268"/>
        <w:gridCol w:w="2268"/>
        <w:gridCol w:w="4536"/>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pPr>
              <w:jc w:val="center"/>
            </w:pPr>
            <w:r/>
            <w:r>
              <w:rPr>
                <w:rFonts w:ascii="微软雅黑" w:hAnsi="微软雅黑" w:eastAsia="微软雅黑"/>
                <w:b/>
                <w:color w:val="FFFFFF"/>
                <w:sz w:val="20"/>
              </w:rPr>
              <w:t>估值参照</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pPr>
              <w:jc w:val="center"/>
            </w:pPr>
            <w:r/>
            <w:r>
              <w:rPr>
                <w:rFonts w:ascii="微软雅黑" w:hAnsi="微软雅黑" w:eastAsia="微软雅黑"/>
                <w:b/>
                <w:color w:val="FFFFFF"/>
                <w:sz w:val="20"/>
              </w:rPr>
              <w:t>数值</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4536" w:type="dxa"/>
          </w:tcPr>
          <w:p>
            <w:pPr>
              <w:jc w:val="center"/>
            </w:pPr>
            <w:r/>
            <w:r>
              <w:rPr>
                <w:rFonts w:ascii="微软雅黑" w:hAnsi="微软雅黑" w:eastAsia="微软雅黑"/>
                <w:b/>
                <w:color w:val="FFFFFF"/>
                <w:sz w:val="20"/>
              </w:rPr>
              <w:t>说明</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交易市值中位数</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33.81亿元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4536" w:type="dxa"/>
          </w:tcPr>
          <w:p>
            <w:r/>
            <w:r>
              <w:rPr>
                <w:rFonts w:ascii="微软雅黑" w:hAnsi="微软雅黑" w:eastAsia="微软雅黑"/>
                <w:sz w:val="19"/>
              </w:rPr>
              <w:t>own口径：近2年154笔实控权变更样本</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壳费中位数</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22.02亿元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4536" w:type="dxa"/>
          </w:tcPr>
          <w:p>
            <w:r/>
            <w:r>
              <w:rPr>
                <w:rFonts w:ascii="微软雅黑" w:hAnsi="微软雅黑" w:eastAsia="微软雅黑"/>
                <w:sz w:val="19"/>
              </w:rPr>
              <w:t>own口径L2单源基准</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冀凯当前市值</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约15.44亿元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4536" w:type="dxa"/>
          </w:tcPr>
          <w:p>
            <w:r/>
            <w:r>
              <w:rPr>
                <w:rFonts w:ascii="微软雅黑" w:hAnsi="微软雅黑" w:eastAsia="微软雅黑"/>
                <w:sz w:val="19"/>
              </w:rPr>
              <w:t>仅约为基准的4.6折</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归母净资产</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7.84亿元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4536" w:type="dxa"/>
          </w:tcPr>
          <w:p>
            <w:r/>
            <w:r>
              <w:rPr>
                <w:rFonts w:ascii="微软雅黑" w:hAnsi="微软雅黑" w:eastAsia="微软雅黑"/>
                <w:sz w:val="19"/>
              </w:rPr>
              <w:t>PB约2倍</w:t>
            </w:r>
          </w:p>
        </w:tc>
      </w:tr>
    </w:tbl>
    <w:p>
      <w:pPr>
        <w:spacing w:before="0" w:after="80"/>
      </w:pPr>
      <w:r>
        <w:rPr>
          <w:rFonts w:ascii="微软雅黑" w:hAnsi="微软雅黑" w:eastAsia="微软雅黑"/>
          <w:sz w:val="21"/>
        </w:rPr>
        <w:t>V2-C2壳价值锚定得分10/10：冀凯市值≤壳基准33.81亿的5折，处于并购/借壳成本优势区——壳越便宜，潜在重组方入场成本越低，被并购的概率上升。但需清醒认识到，壳价值锚定是「重组博弈发生前提」下的估值参考，在财务类退市倒计时+立案未决的现实下，壳价值的变现高度依赖能否在2026年报前完成有效的保壳动作。</w:t>
      </w:r>
    </w:p>
    <w:p>
      <w:pPr>
        <w:pStyle w:val="Heading2"/>
      </w:pPr>
      <w:r>
        <w:rPr>
          <w:rFonts w:ascii="微软雅黑" w:hAnsi="微软雅黑" w:eastAsia="微软雅黑"/>
          <w:color w:val="1F4E79"/>
        </w:rPr>
        <w:t>7.2 估值情景分析</w:t>
      </w:r>
    </w:p>
    <w:tbl>
      <w:tblPr>
        <w:tblStyle w:val="TableGrid"/>
        <w:jc w:val="center"/>
        <w:tblLook w:firstColumn="1" w:firstRow="1" w:lastColumn="0" w:lastRow="0" w:noHBand="0" w:noVBand="1" w:val="04A0"/>
        <w:tblW w:w="9072" w:type="dxa"/>
        <w:tblLayout w:type="fixed"/>
      </w:tblPr>
      <w:tblGrid>
        <w:gridCol w:w="1877"/>
        <w:gridCol w:w="3128"/>
        <w:gridCol w:w="2190"/>
        <w:gridCol w:w="1877"/>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pPr>
              <w:jc w:val="center"/>
            </w:pPr>
            <w:r/>
            <w:r>
              <w:rPr>
                <w:rFonts w:ascii="微软雅黑" w:hAnsi="微软雅黑" w:eastAsia="微软雅黑"/>
                <w:b/>
                <w:color w:val="FFFFFF"/>
                <w:sz w:val="20"/>
              </w:rPr>
              <w:t>情景</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pPr>
              <w:jc w:val="center"/>
            </w:pPr>
            <w:r/>
            <w:r>
              <w:rPr>
                <w:rFonts w:ascii="微软雅黑" w:hAnsi="微软雅黑" w:eastAsia="微软雅黑"/>
                <w:b/>
                <w:color w:val="FFFFFF"/>
                <w:sz w:val="20"/>
              </w:rPr>
              <w:t>触发条件</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190" w:type="dxa"/>
          </w:tcPr>
          <w:p>
            <w:pPr>
              <w:jc w:val="center"/>
            </w:pPr>
            <w:r/>
            <w:r>
              <w:rPr>
                <w:rFonts w:ascii="微软雅黑" w:hAnsi="微软雅黑" w:eastAsia="微软雅黑"/>
                <w:b/>
                <w:color w:val="FFFFFF"/>
                <w:sz w:val="20"/>
              </w:rPr>
              <w:t>估值含义</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pPr>
              <w:jc w:val="center"/>
            </w:pPr>
            <w:r/>
            <w:r>
              <w:rPr>
                <w:rFonts w:ascii="微软雅黑" w:hAnsi="微软雅黑" w:eastAsia="微软雅黑"/>
                <w:b/>
                <w:color w:val="FFFFFF"/>
                <w:sz w:val="20"/>
              </w:rPr>
              <w:t>概率判断</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退市归零</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2026年报扣非营收&lt;3亿且无重大违法(退市整理后摘牌)</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190" w:type="dxa"/>
          </w:tcPr>
          <w:p>
            <w:r/>
            <w:r>
              <w:rPr>
                <w:rFonts w:ascii="微软雅黑" w:hAnsi="微软雅黑" w:eastAsia="微软雅黑"/>
                <w:sz w:val="19"/>
              </w:rPr>
              <w:t>市值趋向0（整理期缩水）</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中高(概率最高路径)</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立案升级强制退市</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证监会认定重大违法</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190" w:type="dxa"/>
          </w:tcPr>
          <w:p>
            <w:r/>
            <w:r>
              <w:rPr>
                <w:rFonts w:ascii="微软雅黑" w:hAnsi="微软雅黑" w:eastAsia="微软雅黑"/>
                <w:sz w:val="19"/>
              </w:rPr>
              <w:t>直接退市，壳价值归零</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需盯调查结论</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成功保壳(摘帽)</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2026年报达标+立案结案中性+审计无保留</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190" w:type="dxa"/>
          </w:tcPr>
          <w:p>
            <w:r/>
            <w:r>
              <w:rPr>
                <w:rFonts w:ascii="微软雅黑" w:hAnsi="微软雅黑" w:eastAsia="微软雅黑"/>
                <w:sz w:val="19"/>
              </w:rPr>
              <w:t>估值修复至净资产上方</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低(需重组配合)</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重组博弈</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引入资产注入/二股东主导重组</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190" w:type="dxa"/>
          </w:tcPr>
          <w:p>
            <w:r/>
            <w:r>
              <w:rPr>
                <w:rFonts w:ascii="微软雅黑" w:hAnsi="微软雅黑" w:eastAsia="微软雅黑"/>
                <w:sz w:val="19"/>
              </w:rPr>
              <w:t>壳价博弈抬升市值</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中(窗口极短)</w:t>
            </w:r>
          </w:p>
        </w:tc>
      </w:tr>
    </w:tbl>
    <w:p>
      <w:pPr>
        <w:spacing w:before="0" w:after="80"/>
      </w:pPr>
      <w:r>
        <w:rPr>
          <w:rFonts w:ascii="微软雅黑" w:hAnsi="微软雅黑" w:eastAsia="微软雅黑"/>
          <w:sz w:val="21"/>
        </w:rPr>
        <w:t>估值结论：基准情形是“财务类退市倒计时下的壳价博弈”。当前15.44亿市值对应的是市场对“年内出现保壳动作”的期权定价，一旦时间窗口关闭且无动作，估值将向归零方向快速收敛。投资者须对“壳价值仅在重组发生时才成立”有清醒认知。</w:t>
      </w:r>
    </w:p>
    <w:p>
      <w:pPr>
        <w:pStyle w:val="Heading1"/>
      </w:pPr>
      <w:r>
        <w:rPr>
          <w:rFonts w:ascii="微软雅黑" w:hAnsi="微软雅黑" w:eastAsia="微软雅黑"/>
          <w:color w:val="1F4E79"/>
        </w:rPr>
        <w:t>第八章  投资建议与策略</w:t>
      </w:r>
    </w:p>
    <w:p>
      <w:pPr>
        <w:pStyle w:val="Heading2"/>
      </w:pPr>
      <w:r>
        <w:rPr>
          <w:rFonts w:ascii="微软雅黑" w:hAnsi="微软雅黑" w:eastAsia="微软雅黑"/>
          <w:color w:val="1F4E79"/>
        </w:rPr>
        <w:t>8.1 ST保壳评分系统V2 十二维评分</w:t>
      </w:r>
    </w:p>
    <w:p>
      <w:pPr>
        <w:spacing w:before="0" w:after="80"/>
      </w:pPr>
      <w:r>
        <w:rPr>
          <w:rFonts w:ascii="微软雅黑" w:hAnsi="微软雅黑" w:eastAsia="微软雅黑"/>
          <w:sz w:val="19"/>
        </w:rPr>
        <w:t>评分口径：与保壳风云榜同刻度同数据源（score_v2单源出分，财务基期以榜单快照为准），十二维权重=近5年176家退市案例实证贡献度，维度即退市通道。2026-09-02重构：取消原F1经营改善趋势4分→A1净资产(+2)、C2壳价值(+2)，原F2重组/纾困更名F1。通道封顶（一票否决）：C1=0或B2=0→总分封顶50；B1=0→总分封顶30。</w:t>
      </w:r>
    </w:p>
    <w:tbl>
      <w:tblPr>
        <w:tblStyle w:val="TableGrid"/>
        <w:jc w:val="center"/>
        <w:tblLook w:firstColumn="1" w:firstRow="1" w:lastColumn="0" w:lastRow="0" w:noHBand="0" w:noVBand="1" w:val="04A0"/>
        <w:tblW w:w="9072" w:type="dxa"/>
        <w:tblLayout w:type="fixed"/>
      </w:tblPr>
      <w:tblGrid>
        <w:gridCol w:w="1752"/>
        <w:gridCol w:w="873"/>
        <w:gridCol w:w="873"/>
        <w:gridCol w:w="5574"/>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pPr>
              <w:jc w:val="center"/>
            </w:pPr>
            <w:r/>
            <w:r>
              <w:rPr>
                <w:rFonts w:ascii="微软雅黑" w:hAnsi="微软雅黑" w:eastAsia="微软雅黑"/>
                <w:b/>
                <w:color w:val="FFFFFF"/>
                <w:sz w:val="20"/>
              </w:rPr>
              <w:t>维度</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pPr>
              <w:jc w:val="center"/>
            </w:pPr>
            <w:r/>
            <w:r>
              <w:rPr>
                <w:rFonts w:ascii="微软雅黑" w:hAnsi="微软雅黑" w:eastAsia="微软雅黑"/>
                <w:b/>
                <w:color w:val="FFFFFF"/>
                <w:sz w:val="20"/>
              </w:rPr>
              <w:t>满分</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pPr>
              <w:jc w:val="center"/>
            </w:pPr>
            <w:r/>
            <w:r>
              <w:rPr>
                <w:rFonts w:ascii="微软雅黑" w:hAnsi="微软雅黑" w:eastAsia="微软雅黑"/>
                <w:b/>
                <w:color w:val="FFFFFF"/>
                <w:sz w:val="20"/>
              </w:rPr>
              <w:t>得分</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pPr>
              <w:jc w:val="center"/>
            </w:pPr>
            <w:r/>
            <w:r>
              <w:rPr>
                <w:rFonts w:ascii="微软雅黑" w:hAnsi="微软雅黑" w:eastAsia="微软雅黑"/>
                <w:b/>
                <w:color w:val="FFFFFF"/>
                <w:sz w:val="20"/>
              </w:rPr>
              <w:t>得分逻辑</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S1 实控人性质</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12</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10</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民企(个人)冯春保；前3大股东合计65.61%&gt;50%→上探10（民企档上限8→10）</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A2 扣非主营收入</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12</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6</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扣除后营收2.89亿、缺口4%（档位12分）−*ST戴帽(3)−低毛利&lt;30%(3)=6分</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B2 审计意见</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12</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12</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2025年度标准无保留（大信，财务+内控双无保留）</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A1 净资产充裕度</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12</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9</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归母净资产8.40亿（2025年报，5-10亿档→9分，12分需≥10亿）</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C2 壳价值锚定</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10</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10</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市值15.44亿=壳费基准33.81亿的4.6折（≤5折=并购机会区，满分10）</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B1 立案/造假信号</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10</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10</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榜单快照无信号（10分）；动态敏感度见8.2</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C1 面值距离</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6</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5</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股价4.54元（≥3元档），距1元面值线安全垫充足</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S2 股权质押</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6</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4</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整体质押28.78%（20%-50%档，扣2分）</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A3 扣非盈利</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6</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0</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扣非净利-6,359万（2025），连续3年为负</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F1 重组/纾困</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6</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0</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无重整/重组/债务豁免/赠与预案（原F2维度，v2.3更名）</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D1 现金流质量</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4</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0</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2025经营现金流-6,271万，收现比恶化</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H1 实控人司法风险</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4</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4</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实控人无冻结/限高/立案记录</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752" w:type="dxa"/>
          </w:tcPr>
          <w:p>
            <w:r/>
            <w:r>
              <w:rPr>
                <w:rFonts w:ascii="微软雅黑" w:hAnsi="微软雅黑" w:eastAsia="微软雅黑"/>
                <w:sz w:val="19"/>
              </w:rPr>
              <w:t>合计</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100</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873" w:type="dxa"/>
          </w:tcPr>
          <w:p>
            <w:r/>
            <w:r>
              <w:rPr>
                <w:rFonts w:ascii="微软雅黑" w:hAnsi="微软雅黑" w:eastAsia="微软雅黑"/>
                <w:sz w:val="19"/>
              </w:rPr>
              <w:t>70</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5574" w:type="dxa"/>
          </w:tcPr>
          <w:p>
            <w:r/>
            <w:r>
              <w:rPr>
                <w:rFonts w:ascii="微软雅黑" w:hAnsi="微软雅黑" w:eastAsia="微软雅黑"/>
                <w:sz w:val="19"/>
              </w:rPr>
              <w:t>B（51-70分，保壳能力中等） · 通道封顶未触发</w:t>
            </w:r>
          </w:p>
        </w:tc>
      </w:tr>
    </w:tbl>
    <w:p>
      <w:pPr>
        <w:pStyle w:val="Heading2"/>
      </w:pPr>
      <w:r>
        <w:rPr>
          <w:rFonts w:ascii="微软雅黑" w:hAnsi="微软雅黑" w:eastAsia="微软雅黑"/>
          <w:color w:val="1F4E79"/>
        </w:rPr>
        <w:t>8.2 综合评级（V2刻度）</w:t>
      </w:r>
    </w:p>
    <w:p>
      <w:pPr>
        <w:spacing w:before="0" w:after="80"/>
      </w:pPr>
      <w:r>
        <w:rPr>
          <w:rFonts w:ascii="微软雅黑" w:hAnsi="微软雅黑" w:eastAsia="微软雅黑"/>
          <w:b/>
          <w:sz w:val="22"/>
        </w:rPr>
        <w:t>全市场保壳评分总分：70 / 100分（ST保壳评分系统V2·十二维）</w:t>
      </w:r>
    </w:p>
    <w:p>
      <w:pPr>
        <w:spacing w:before="0" w:after="80"/>
      </w:pPr>
      <w:r>
        <w:rPr>
          <w:rFonts w:ascii="微软雅黑" w:hAnsi="微软雅黑" w:eastAsia="微软雅黑"/>
          <w:sz w:val="21"/>
        </w:rPr>
        <w:t>综合评级：B（51-70分，保壳能力中等）——全市场排名第21位</w:t>
      </w:r>
    </w:p>
    <w:p>
      <w:pPr>
        <w:pStyle w:val="Heading2"/>
      </w:pPr>
      <w:r>
        <w:rPr>
          <w:rFonts w:ascii="微软雅黑" w:hAnsi="微软雅黑" w:eastAsia="微软雅黑"/>
          <w:color w:val="1F4E79"/>
        </w:rPr>
        <w:t>8.3 分层策略</w:t>
      </w:r>
    </w:p>
    <w:tbl>
      <w:tblPr>
        <w:tblStyle w:val="TableGrid"/>
        <w:jc w:val="center"/>
        <w:tblLook w:firstColumn="1" w:firstRow="1" w:lastColumn="0" w:lastRow="0" w:noHBand="0" w:noVBand="1" w:val="04A0"/>
        <w:tblW w:w="9072" w:type="dxa"/>
        <w:tblLayout w:type="fixed"/>
      </w:tblPr>
      <w:tblGrid>
        <w:gridCol w:w="1890"/>
        <w:gridCol w:w="3402"/>
        <w:gridCol w:w="2268"/>
        <w:gridCol w:w="1512"/>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1890" w:type="dxa"/>
          </w:tcPr>
          <w:p>
            <w:pPr>
              <w:jc w:val="center"/>
            </w:pPr>
            <w:r/>
            <w:r>
              <w:rPr>
                <w:rFonts w:ascii="微软雅黑" w:hAnsi="微软雅黑" w:eastAsia="微软雅黑"/>
                <w:b/>
                <w:color w:val="FFFFFF"/>
                <w:sz w:val="20"/>
              </w:rPr>
              <w:t>时间维度</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3402" w:type="dxa"/>
          </w:tcPr>
          <w:p>
            <w:pPr>
              <w:jc w:val="center"/>
            </w:pPr>
            <w:r/>
            <w:r>
              <w:rPr>
                <w:rFonts w:ascii="微软雅黑" w:hAnsi="微软雅黑" w:eastAsia="微软雅黑"/>
                <w:b/>
                <w:color w:val="FFFFFF"/>
                <w:sz w:val="20"/>
              </w:rPr>
              <w:t>策略</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pPr>
              <w:jc w:val="center"/>
            </w:pPr>
            <w:r/>
            <w:r>
              <w:rPr>
                <w:rFonts w:ascii="微软雅黑" w:hAnsi="微软雅黑" w:eastAsia="微软雅黑"/>
                <w:b/>
                <w:color w:val="FFFFFF"/>
                <w:sz w:val="20"/>
              </w:rPr>
              <w:t>关键节点</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1512" w:type="dxa"/>
          </w:tcPr>
          <w:p>
            <w:pPr>
              <w:jc w:val="center"/>
            </w:pPr>
            <w:r/>
            <w:r>
              <w:rPr>
                <w:rFonts w:ascii="微软雅黑" w:hAnsi="微软雅黑" w:eastAsia="微软雅黑"/>
                <w:b/>
                <w:color w:val="FFFFFF"/>
                <w:sz w:val="20"/>
              </w:rPr>
              <w:t>仓位建议</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90" w:type="dxa"/>
          </w:tcPr>
          <w:p>
            <w:r/>
            <w:r>
              <w:rPr>
                <w:rFonts w:ascii="微软雅黑" w:hAnsi="微软雅黑" w:eastAsia="微软雅黑"/>
                <w:sz w:val="19"/>
              </w:rPr>
              <w:t>短期(0-6月)</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402" w:type="dxa"/>
          </w:tcPr>
          <w:p>
            <w:r/>
            <w:r>
              <w:rPr>
                <w:rFonts w:ascii="微软雅黑" w:hAnsi="微软雅黑" w:eastAsia="微软雅黑"/>
                <w:sz w:val="19"/>
              </w:rPr>
              <w:t>观望为主，不参与；跟踪立案调查进展与保壳公告</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立案结论、最新季报(10月)、重组/并购公告</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512" w:type="dxa"/>
          </w:tcPr>
          <w:p>
            <w:r/>
            <w:r>
              <w:rPr>
                <w:rFonts w:ascii="微软雅黑" w:hAnsi="微软雅黑" w:eastAsia="微软雅黑"/>
                <w:sz w:val="19"/>
              </w:rPr>
              <w:t>0%（场外资金）</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890" w:type="dxa"/>
          </w:tcPr>
          <w:p>
            <w:r/>
            <w:r>
              <w:rPr>
                <w:rFonts w:ascii="微软雅黑" w:hAnsi="微软雅黑" w:eastAsia="微软雅黑"/>
                <w:sz w:val="19"/>
              </w:rPr>
              <w:t>中期(6-12月)</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402" w:type="dxa"/>
          </w:tcPr>
          <w:p>
            <w:r/>
            <w:r>
              <w:rPr>
                <w:rFonts w:ascii="微软雅黑" w:hAnsi="微软雅黑" w:eastAsia="微软雅黑"/>
                <w:sz w:val="19"/>
              </w:rPr>
              <w:t>仅当出现实质性保壳动作（预案披露+立案结案）再评估</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年报业绩预告(次年1月)、年报(次年4月)</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512" w:type="dxa"/>
          </w:tcPr>
          <w:p>
            <w:r/>
            <w:r>
              <w:rPr>
                <w:rFonts w:ascii="微软雅黑" w:hAnsi="微软雅黑" w:eastAsia="微软雅黑"/>
                <w:sz w:val="19"/>
              </w:rPr>
              <w:t>0-3%（专业投资者博弈仓）</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90" w:type="dxa"/>
          </w:tcPr>
          <w:p>
            <w:r/>
            <w:r>
              <w:rPr>
                <w:rFonts w:ascii="微软雅黑" w:hAnsi="微软雅黑" w:eastAsia="微软雅黑"/>
                <w:sz w:val="19"/>
              </w:rPr>
              <w:t>长期(12月+)</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402" w:type="dxa"/>
          </w:tcPr>
          <w:p>
            <w:r/>
            <w:r>
              <w:rPr>
                <w:rFonts w:ascii="微软雅黑" w:hAnsi="微软雅黑" w:eastAsia="微软雅黑"/>
                <w:sz w:val="19"/>
              </w:rPr>
              <w:t>退市落地→停止交易退出；摘帽成功→重新评估</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终止上市决定/摘帽日</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512" w:type="dxa"/>
          </w:tcPr>
          <w:p>
            <w:r/>
            <w:r>
              <w:rPr>
                <w:rFonts w:ascii="微软雅黑" w:hAnsi="微软雅黑" w:eastAsia="微软雅黑"/>
                <w:sz w:val="19"/>
              </w:rPr>
              <w:t>—</w:t>
            </w:r>
          </w:p>
        </w:tc>
      </w:tr>
    </w:tbl>
    <w:p>
      <w:pPr>
        <w:spacing w:before="0" w:after="80"/>
      </w:pPr>
      <w:r>
        <w:rPr>
          <w:rFonts w:ascii="微软雅黑" w:hAnsi="微软雅黑" w:eastAsia="微软雅黑"/>
          <w:sz w:val="21"/>
        </w:rPr>
        <w:t>核心原则：在立案调查结案+实质性保壳方案落地之前，不参与。对场外资金（非专业投资者）：明确不建议参与，退市归零风险远超博弈收益。对专业投资者：若确要博弈，仅限事件驱动策略，仓位≤2%，严格设置止损（-15%），并以「立案结案为中性、重大违法认定为清仓」为硬纪律。</w:t>
      </w:r>
    </w:p>
    <w:p>
      <w:pPr>
        <w:pStyle w:val="Heading2"/>
      </w:pPr>
      <w:r>
        <w:rPr>
          <w:rFonts w:ascii="微软雅黑" w:hAnsi="微软雅黑" w:eastAsia="微软雅黑"/>
          <w:color w:val="1F4E79"/>
        </w:rPr>
        <w:t>8.4 重点跟踪指标清单</w:t>
      </w:r>
    </w:p>
    <w:p>
      <w:pPr>
        <w:spacing w:after="40"/>
      </w:pPr>
      <w:r>
        <w:rPr>
          <w:rFonts w:ascii="微软雅黑" w:hAnsi="微软雅黑" w:eastAsia="微软雅黑"/>
          <w:b/>
          <w:sz w:val="19"/>
        </w:rPr>
        <w:t>1. 立案调查进展：</w:t>
      </w:r>
      <w:r>
        <w:rPr>
          <w:rFonts w:ascii="微软雅黑" w:hAnsi="微软雅黑" w:eastAsia="微软雅黑"/>
          <w:sz w:val="19"/>
        </w:rPr>
        <w:t>证监会调查结论——若构成重大违法，直接切换退市路径，一切保壳预期失效</w:t>
      </w:r>
    </w:p>
    <w:p>
      <w:pPr>
        <w:spacing w:after="40"/>
      </w:pPr>
      <w:r>
        <w:rPr>
          <w:rFonts w:ascii="微软雅黑" w:hAnsi="微软雅黑" w:eastAsia="微软雅黑"/>
          <w:b/>
          <w:sz w:val="19"/>
        </w:rPr>
        <w:t>2. 2026Q3营收：</w:t>
      </w:r>
      <w:r>
        <w:rPr>
          <w:rFonts w:ascii="微软雅黑" w:hAnsi="微软雅黑" w:eastAsia="微软雅黑"/>
          <w:sz w:val="19"/>
        </w:rPr>
        <w:t>10月三季报：Q3单季营收是否回升至6,000万+（对应H2合计约1.2亿+，距3亿红线仍远但可见边际）</w:t>
      </w:r>
    </w:p>
    <w:p>
      <w:pPr>
        <w:spacing w:after="40"/>
      </w:pPr>
      <w:r>
        <w:rPr>
          <w:rFonts w:ascii="微软雅黑" w:hAnsi="微软雅黑" w:eastAsia="微软雅黑"/>
          <w:b/>
          <w:sz w:val="19"/>
        </w:rPr>
        <w:t>3. 短贷与现金流：</w:t>
      </w:r>
      <w:r>
        <w:rPr>
          <w:rFonts w:ascii="微软雅黑" w:hAnsi="微软雅黑" w:eastAsia="微软雅黑"/>
          <w:sz w:val="19"/>
        </w:rPr>
        <w:t>2.37亿元短贷的续贷情况、货币资金变化，警惕流动性断裂</w:t>
      </w:r>
    </w:p>
    <w:p>
      <w:pPr>
        <w:spacing w:after="40"/>
      </w:pPr>
      <w:r>
        <w:rPr>
          <w:rFonts w:ascii="微软雅黑" w:hAnsi="微软雅黑" w:eastAsia="微软雅黑"/>
          <w:b/>
          <w:sz w:val="19"/>
        </w:rPr>
        <w:t>4. 保壳动作公告：</w:t>
      </w:r>
      <w:r>
        <w:rPr>
          <w:rFonts w:ascii="微软雅黑" w:hAnsi="微软雅黑" w:eastAsia="微软雅黑"/>
          <w:sz w:val="19"/>
        </w:rPr>
        <w:t>是否发布重大资产重组/发行股份购买资产/重整预案，方案可行性与时间表</w:t>
      </w:r>
    </w:p>
    <w:p>
      <w:pPr>
        <w:spacing w:after="40"/>
      </w:pPr>
      <w:r>
        <w:rPr>
          <w:rFonts w:ascii="微软雅黑" w:hAnsi="微软雅黑" w:eastAsia="微软雅黑"/>
          <w:b/>
          <w:sz w:val="19"/>
        </w:rPr>
        <w:t>5. 股东户数变化：</w:t>
      </w:r>
      <w:r>
        <w:rPr>
          <w:rFonts w:ascii="微软雅黑" w:hAnsi="微软雅黑" w:eastAsia="微软雅黑"/>
          <w:sz w:val="19"/>
        </w:rPr>
        <w:t>11,150户基础上是否进一步集中，大额吸筹信号</w:t>
      </w:r>
    </w:p>
    <w:p>
      <w:pPr>
        <w:spacing w:after="40"/>
      </w:pPr>
      <w:r>
        <w:rPr>
          <w:rFonts w:ascii="微软雅黑" w:hAnsi="微软雅黑" w:eastAsia="微软雅黑"/>
          <w:b/>
          <w:sz w:val="19"/>
        </w:rPr>
        <w:t>6. 索赔进展：</w:t>
      </w:r>
      <w:r>
        <w:rPr>
          <w:rFonts w:ascii="微软雅黑" w:hAnsi="微软雅黑" w:eastAsia="微软雅黑"/>
          <w:sz w:val="19"/>
        </w:rPr>
        <w:t>投资者索赔规模与立案结论联动，关注是否触发重大违法认定</w:t>
      </w:r>
    </w:p>
    <w:p>
      <w:r>
        <w:br w:type="page"/>
      </w:r>
    </w:p>
    <w:p>
      <w:pPr>
        <w:pStyle w:val="Heading1"/>
      </w:pPr>
      <w:r>
        <w:rPr>
          <w:rFonts w:ascii="微软雅黑" w:hAnsi="微软雅黑" w:eastAsia="微软雅黑"/>
          <w:color w:val="1F4E79"/>
        </w:rPr>
        <w:t>第九章  附录</w:t>
      </w:r>
    </w:p>
    <w:p>
      <w:pPr>
        <w:pStyle w:val="Heading2"/>
      </w:pPr>
      <w:r>
        <w:rPr>
          <w:rFonts w:ascii="微软雅黑" w:hAnsi="微软雅黑" w:eastAsia="微软雅黑"/>
          <w:color w:val="1F4E79"/>
        </w:rPr>
        <w:t>9.1 核心风险事项跟踪表</w:t>
      </w:r>
    </w:p>
    <w:tbl>
      <w:tblPr>
        <w:tblStyle w:val="TableGrid"/>
        <w:jc w:val="center"/>
        <w:tblLook w:firstColumn="1" w:firstRow="1" w:lastColumn="0" w:lastRow="0" w:noHBand="0" w:noVBand="1" w:val="04A0"/>
        <w:tblW w:w="9072" w:type="dxa"/>
        <w:tblLayout w:type="fixed"/>
      </w:tblPr>
      <w:tblGrid>
        <w:gridCol w:w="2815"/>
        <w:gridCol w:w="1877"/>
        <w:gridCol w:w="2503"/>
        <w:gridCol w:w="1877"/>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pPr>
              <w:jc w:val="center"/>
            </w:pPr>
            <w:r/>
            <w:r>
              <w:rPr>
                <w:rFonts w:ascii="微软雅黑" w:hAnsi="微软雅黑" w:eastAsia="微软雅黑"/>
                <w:b/>
                <w:color w:val="FFFFFF"/>
                <w:sz w:val="20"/>
              </w:rPr>
              <w:t>风险事项</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pPr>
              <w:jc w:val="center"/>
            </w:pPr>
            <w:r/>
            <w:r>
              <w:rPr>
                <w:rFonts w:ascii="微软雅黑" w:hAnsi="微软雅黑" w:eastAsia="微软雅黑"/>
                <w:b/>
                <w:color w:val="FFFFFF"/>
                <w:sz w:val="20"/>
              </w:rPr>
              <w:t>状态</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pPr>
              <w:jc w:val="center"/>
            </w:pPr>
            <w:r/>
            <w:r>
              <w:rPr>
                <w:rFonts w:ascii="微软雅黑" w:hAnsi="微软雅黑" w:eastAsia="微软雅黑"/>
                <w:b/>
                <w:color w:val="FFFFFF"/>
                <w:sz w:val="20"/>
              </w:rPr>
              <w:t>触发影响</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pPr>
              <w:jc w:val="center"/>
            </w:pPr>
            <w:r/>
            <w:r>
              <w:rPr>
                <w:rFonts w:ascii="微软雅黑" w:hAnsi="微软雅黑" w:eastAsia="微软雅黑"/>
                <w:b/>
                <w:color w:val="FFFFFF"/>
                <w:sz w:val="20"/>
              </w:rPr>
              <w:t>跟踪时点</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证监会立案调查(信披违规)</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调查进行中</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r/>
            <w:r>
              <w:rPr>
                <w:rFonts w:ascii="微软雅黑" w:hAnsi="微软雅黑" w:eastAsia="微软雅黑"/>
                <w:sz w:val="19"/>
              </w:rPr>
              <w:t>若认定重大违法→强制退市</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调查结论公布日</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2026年度扣非营收&lt;3亿</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2026H1仅1.01亿，缺口大</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r/>
            <w:r>
              <w:rPr>
                <w:rFonts w:ascii="微软雅黑" w:hAnsi="微软雅黑" w:eastAsia="微软雅黑"/>
                <w:sz w:val="19"/>
              </w:rPr>
              <w:t>触发财务类终止上市</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2027年4月年报</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深交所公开谴责</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已处分</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r/>
            <w:r>
              <w:rPr>
                <w:rFonts w:ascii="微软雅黑" w:hAnsi="微软雅黑" w:eastAsia="微软雅黑"/>
                <w:sz w:val="19"/>
              </w:rPr>
              <w:t>监管约束资本运作/再融资</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持续</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主业亏损+现金流为负</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持续</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r/>
            <w:r>
              <w:rPr>
                <w:rFonts w:ascii="微软雅黑" w:hAnsi="微软雅黑" w:eastAsia="微软雅黑"/>
                <w:sz w:val="19"/>
              </w:rPr>
              <w:t>财务红线通道承压</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各期财报</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短贷滚续/流动风险</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2.37亿短贷</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r/>
            <w:r>
              <w:rPr>
                <w:rFonts w:ascii="微软雅黑" w:hAnsi="微软雅黑" w:eastAsia="微软雅黑"/>
                <w:sz w:val="19"/>
              </w:rPr>
              <w:t>流动性断裂</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季报/融资公告</w:t>
            </w:r>
          </w:p>
        </w:tc>
      </w:tr>
    </w:tbl>
    <w:p>
      <w:pPr>
        <w:pStyle w:val="Heading2"/>
      </w:pPr>
      <w:r>
        <w:rPr>
          <w:rFonts w:ascii="微软雅黑" w:hAnsi="微软雅黑" w:eastAsia="微软雅黑"/>
          <w:color w:val="1F4E79"/>
        </w:rPr>
        <w:t>9.2 核心财务数据汇总表</w:t>
      </w:r>
    </w:p>
    <w:tbl>
      <w:tblPr>
        <w:tblStyle w:val="TableGrid"/>
        <w:jc w:val="center"/>
        <w:tblLook w:firstColumn="1" w:firstRow="1" w:lastColumn="0" w:lastRow="0" w:noHBand="0" w:noVBand="1" w:val="04A0"/>
        <w:tblW w:w="9072" w:type="dxa"/>
        <w:tblLayout w:type="fixed"/>
      </w:tblPr>
      <w:tblGrid>
        <w:gridCol w:w="2815"/>
        <w:gridCol w:w="3128"/>
        <w:gridCol w:w="3128"/>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pPr>
              <w:jc w:val="center"/>
            </w:pPr>
            <w:r/>
            <w:r>
              <w:rPr>
                <w:rFonts w:ascii="微软雅黑" w:hAnsi="微软雅黑" w:eastAsia="微软雅黑"/>
                <w:b/>
                <w:color w:val="FFFFFF"/>
                <w:sz w:val="20"/>
              </w:rPr>
              <w:t>科目</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pPr>
              <w:jc w:val="center"/>
            </w:pPr>
            <w:r/>
            <w:r>
              <w:rPr>
                <w:rFonts w:ascii="微软雅黑" w:hAnsi="微软雅黑" w:eastAsia="微软雅黑"/>
                <w:b/>
                <w:color w:val="FFFFFF"/>
                <w:sz w:val="20"/>
              </w:rPr>
              <w:t>2026H1</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pPr>
              <w:jc w:val="center"/>
            </w:pPr>
            <w:r/>
            <w:r>
              <w:rPr>
                <w:rFonts w:ascii="微软雅黑" w:hAnsi="微软雅黑" w:eastAsia="微软雅黑"/>
                <w:b/>
                <w:color w:val="FFFFFF"/>
                <w:sz w:val="20"/>
              </w:rPr>
              <w:t>2025年报</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营业总收入</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1.01亿元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3.01亿元</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归母净利润</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-5,652万元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-5,487万元</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扣非净利润</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-5,929万元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-6,359万元</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扣非营业收入</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2.887亿元(触发红线)</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总资产</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11.89亿元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11.34亿元</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归母净资产</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7.84亿元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8.40亿元</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资产负债率</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32.85%</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24.6%</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短期借款</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2.37亿元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1.40亿元</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815" w:type="dxa"/>
          </w:tcPr>
          <w:p>
            <w:r/>
            <w:r>
              <w:rPr>
                <w:rFonts w:ascii="微软雅黑" w:hAnsi="微软雅黑" w:eastAsia="微软雅黑"/>
                <w:sz w:val="19"/>
              </w:rPr>
              <w:t>经营现金流净额</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约-6,814万元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128" w:type="dxa"/>
          </w:tcPr>
          <w:p>
            <w:r/>
            <w:r>
              <w:rPr>
                <w:rFonts w:ascii="微软雅黑" w:hAnsi="微软雅黑" w:eastAsia="微软雅黑"/>
                <w:sz w:val="19"/>
              </w:rPr>
              <w:t>约-6,271万元</w:t>
            </w:r>
          </w:p>
        </w:tc>
      </w:tr>
    </w:tbl>
    <w:p>
      <w:pPr>
        <w:spacing w:before="0" w:after="80"/>
      </w:pPr>
      <w:r>
        <w:rPr>
          <w:rFonts w:ascii="微软雅黑" w:hAnsi="微软雅黑" w:eastAsia="微软雅黑"/>
          <w:sz w:val="21"/>
        </w:rPr>
        <w:t>数据来源：westock财务接口（2026H1/2025年报），与封面摘要、投资要点表一致。</w:t>
      </w:r>
    </w:p>
    <w:p>
      <w:pPr>
        <w:pStyle w:val="Heading2"/>
      </w:pPr>
      <w:r>
        <w:rPr>
          <w:rFonts w:ascii="微软雅黑" w:hAnsi="微软雅黑" w:eastAsia="微软雅黑"/>
          <w:color w:val="1F4E79"/>
        </w:rPr>
        <w:t>9.3 股东结构汇总表</w:t>
      </w:r>
    </w:p>
    <w:tbl>
      <w:tblPr>
        <w:tblStyle w:val="TableGrid"/>
        <w:jc w:val="center"/>
        <w:tblLook w:firstColumn="1" w:firstRow="1" w:lastColumn="0" w:lastRow="0" w:noHBand="0" w:noVBand="1" w:val="04A0"/>
        <w:tblW w:w="9072" w:type="dxa"/>
        <w:tblLayout w:type="fixed"/>
      </w:tblPr>
      <w:tblGrid>
        <w:gridCol w:w="2503"/>
        <w:gridCol w:w="1877"/>
        <w:gridCol w:w="2190"/>
        <w:gridCol w:w="2503"/>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pPr>
              <w:jc w:val="center"/>
            </w:pPr>
            <w:r/>
            <w:r>
              <w:rPr>
                <w:rFonts w:ascii="微软雅黑" w:hAnsi="微软雅黑" w:eastAsia="微软雅黑"/>
                <w:b/>
                <w:color w:val="FFFFFF"/>
                <w:sz w:val="20"/>
              </w:rPr>
              <w:t>股东</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pPr>
              <w:jc w:val="center"/>
            </w:pPr>
            <w:r/>
            <w:r>
              <w:rPr>
                <w:rFonts w:ascii="微软雅黑" w:hAnsi="微软雅黑" w:eastAsia="微软雅黑"/>
                <w:b/>
                <w:color w:val="FFFFFF"/>
                <w:sz w:val="20"/>
              </w:rPr>
              <w:t>持股比例</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190" w:type="dxa"/>
          </w:tcPr>
          <w:p>
            <w:pPr>
              <w:jc w:val="center"/>
            </w:pPr>
            <w:r/>
            <w:r>
              <w:rPr>
                <w:rFonts w:ascii="微软雅黑" w:hAnsi="微软雅黑" w:eastAsia="微软雅黑"/>
                <w:b/>
                <w:color w:val="FFFFFF"/>
                <w:sz w:val="20"/>
              </w:rPr>
              <w:t>性质</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pPr>
              <w:jc w:val="center"/>
            </w:pPr>
            <w:r/>
            <w:r>
              <w:rPr>
                <w:rFonts w:ascii="微软雅黑" w:hAnsi="微软雅黑" w:eastAsia="微软雅黑"/>
                <w:b/>
                <w:color w:val="FFFFFF"/>
                <w:sz w:val="20"/>
              </w:rPr>
              <w:t>备注</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r/>
            <w:r>
              <w:rPr>
                <w:rFonts w:ascii="微软雅黑" w:hAnsi="微软雅黑" w:eastAsia="微软雅黑"/>
                <w:sz w:val="19"/>
              </w:rPr>
              <w:t>冯春保</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约34.33%</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190" w:type="dxa"/>
          </w:tcPr>
          <w:p>
            <w:r/>
            <w:r>
              <w:rPr>
                <w:rFonts w:ascii="微软雅黑" w:hAnsi="微软雅黑" w:eastAsia="微软雅黑"/>
                <w:sz w:val="19"/>
              </w:rPr>
              <w:t>实际控制人</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r/>
            <w:r>
              <w:rPr>
                <w:rFonts w:ascii="微软雅黑" w:hAnsi="微软雅黑" w:eastAsia="微软雅黑"/>
                <w:sz w:val="19"/>
              </w:rPr>
              <w:t>民企(个人)</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r/>
            <w:r>
              <w:rPr>
                <w:rFonts w:ascii="微软雅黑" w:hAnsi="微软雅黑" w:eastAsia="微软雅黑"/>
                <w:sz w:val="19"/>
              </w:rPr>
              <w:t>深圳卓众达富</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约29.00%</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190" w:type="dxa"/>
          </w:tcPr>
          <w:p>
            <w:r/>
            <w:r>
              <w:rPr>
                <w:rFonts w:ascii="微软雅黑" w:hAnsi="微软雅黑" w:eastAsia="微软雅黑"/>
                <w:sz w:val="19"/>
              </w:rPr>
              <w:t>二股东</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r/>
            <w:r>
              <w:rPr>
                <w:rFonts w:ascii="微软雅黑" w:hAnsi="微软雅黑" w:eastAsia="微软雅黑"/>
                <w:sz w:val="19"/>
              </w:rPr>
              <w:t>机构/产业方</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r/>
            <w:r>
              <w:rPr>
                <w:rFonts w:ascii="微软雅黑" w:hAnsi="微软雅黑" w:eastAsia="微软雅黑"/>
                <w:sz w:val="19"/>
              </w:rPr>
              <w:t>前十大合计</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1877" w:type="dxa"/>
          </w:tcPr>
          <w:p>
            <w:r/>
            <w:r>
              <w:rPr>
                <w:rFonts w:ascii="微软雅黑" w:hAnsi="微软雅黑" w:eastAsia="微软雅黑"/>
                <w:sz w:val="19"/>
              </w:rPr>
              <w:t>约70.8%</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190" w:type="dxa"/>
          </w:tcPr>
          <w:p>
            <w:r/>
            <w:r>
              <w:rPr>
                <w:rFonts w:ascii="微软雅黑" w:hAnsi="微软雅黑" w:eastAsia="微软雅黑"/>
                <w:sz w:val="19"/>
              </w:rPr>
              <w:t>—</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503" w:type="dxa"/>
          </w:tcPr>
          <w:p>
            <w:r/>
            <w:r>
              <w:rPr>
                <w:rFonts w:ascii="微软雅黑" w:hAnsi="微软雅黑" w:eastAsia="微软雅黑"/>
                <w:sz w:val="19"/>
              </w:rPr>
              <w:t>股权集中</w:t>
            </w:r>
          </w:p>
        </w:tc>
      </w:tr>
    </w:tbl>
    <w:p>
      <w:pPr>
        <w:spacing w:before="0" w:after="80"/>
      </w:pPr>
      <w:r>
        <w:rPr>
          <w:rFonts w:ascii="微软雅黑" w:hAnsi="微软雅黑" w:eastAsia="微软雅黑"/>
          <w:sz w:val="21"/>
        </w:rPr>
        <w:t>注：整体质押比例约28.78%（V2-S2口径）。股东结构数据以公司定期报告披露为准，本表为榜单快照期口径。</w:t>
      </w:r>
    </w:p>
    <w:p>
      <w:pPr>
        <w:pStyle w:val="Heading2"/>
      </w:pPr>
      <w:r>
        <w:rPr>
          <w:rFonts w:ascii="微软雅黑" w:hAnsi="微软雅黑" w:eastAsia="微软雅黑"/>
          <w:color w:val="1F4E79"/>
        </w:rPr>
        <w:t>9.4 壳资源估值参照表</w:t>
      </w:r>
    </w:p>
    <w:tbl>
      <w:tblPr>
        <w:tblStyle w:val="TableGrid"/>
        <w:jc w:val="center"/>
        <w:tblLook w:firstColumn="1" w:firstRow="1" w:lastColumn="0" w:lastRow="0" w:noHBand="0" w:noVBand="1" w:val="04A0"/>
        <w:tblW w:w="9072" w:type="dxa"/>
        <w:tblLayout w:type="fixed"/>
      </w:tblPr>
      <w:tblGrid>
        <w:gridCol w:w="2916"/>
        <w:gridCol w:w="2268"/>
        <w:gridCol w:w="3888"/>
      </w:tblGrid>
      <w:tr>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916" w:type="dxa"/>
          </w:tcPr>
          <w:p>
            <w:pPr>
              <w:jc w:val="center"/>
            </w:pPr>
            <w:r/>
            <w:r>
              <w:rPr>
                <w:rFonts w:ascii="微软雅黑" w:hAnsi="微软雅黑" w:eastAsia="微软雅黑"/>
                <w:b/>
                <w:color w:val="FFFFFF"/>
                <w:sz w:val="20"/>
              </w:rPr>
              <w:t>参照指标</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pPr>
              <w:jc w:val="center"/>
            </w:pPr>
            <w:r/>
            <w:r>
              <w:rPr>
                <w:rFonts w:ascii="微软雅黑" w:hAnsi="微软雅黑" w:eastAsia="微软雅黑"/>
                <w:b/>
                <w:color w:val="FFFFFF"/>
                <w:sz w:val="20"/>
              </w:rPr>
              <w:t>数值</w:t>
            </w:r>
          </w:p>
        </w:tc>
        <w:tc>
          <w:tcPr>
            <w:shd w:val="clear" w:color="auto" w:fill="1F4E79"/>
            <w:tcBorders>
              <w:top w:sz="1" w:val="single" w:color="CCCCCC"/>
              <w:left w:sz="1" w:val="single" w:color="CCCCCC"/>
              <w:bottom w:sz="1" w:val="single" w:color="CCCCCC"/>
              <w:right w:sz="1" w:val="single" w:color="CCCCCC"/>
            </w:tcBorders>
            <w:tcMar>
              <w:top w:w="80" w:type="dxa"/>
              <w:bottom w:w="80" w:type="dxa"/>
              <w:left w:w="120" w:type="dxa"/>
              <w:right w:w="120" w:type="dxa"/>
            </w:tcMar>
            <w:tcW w:w="3888" w:type="dxa"/>
          </w:tcPr>
          <w:p>
            <w:pPr>
              <w:jc w:val="center"/>
            </w:pPr>
            <w:r/>
            <w:r>
              <w:rPr>
                <w:rFonts w:ascii="微软雅黑" w:hAnsi="微软雅黑" w:eastAsia="微软雅黑"/>
                <w:b/>
                <w:color w:val="FFFFFF"/>
                <w:sz w:val="20"/>
              </w:rPr>
              <w:t>口径说明</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916" w:type="dxa"/>
          </w:tcPr>
          <w:p>
            <w:r/>
            <w:r>
              <w:rPr>
                <w:rFonts w:ascii="微软雅黑" w:hAnsi="微软雅黑" w:eastAsia="微软雅黑"/>
                <w:sz w:val="19"/>
              </w:rPr>
              <w:t>交易市值中位数(基准)</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33.81亿元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888" w:type="dxa"/>
          </w:tcPr>
          <w:p>
            <w:r/>
            <w:r>
              <w:rPr>
                <w:rFonts w:ascii="微软雅黑" w:hAnsi="微软雅黑" w:eastAsia="微软雅黑"/>
                <w:sz w:val="19"/>
              </w:rPr>
              <w:t>own口径：近2年154笔实控权变更</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916" w:type="dxa"/>
          </w:tcPr>
          <w:p>
            <w:r/>
            <w:r>
              <w:rPr>
                <w:rFonts w:ascii="微软雅黑" w:hAnsi="微软雅黑" w:eastAsia="微软雅黑"/>
                <w:sz w:val="19"/>
              </w:rPr>
              <w:t>壳费中位数</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22.02亿元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888" w:type="dxa"/>
          </w:tcPr>
          <w:p>
            <w:r/>
            <w:r>
              <w:rPr>
                <w:rFonts w:ascii="微软雅黑" w:hAnsi="微软雅黑" w:eastAsia="微软雅黑"/>
                <w:sz w:val="19"/>
              </w:rPr>
              <w:t>L2单源基准</w:t>
            </w:r>
          </w:p>
        </w:tc>
      </w:tr>
      <w:tr>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916" w:type="dxa"/>
          </w:tcPr>
          <w:p>
            <w:r/>
            <w:r>
              <w:rPr>
                <w:rFonts w:ascii="微软雅黑" w:hAnsi="微软雅黑" w:eastAsia="微软雅黑"/>
                <w:sz w:val="19"/>
              </w:rPr>
              <w:t>冀凯市值</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约15.44亿元</w:t>
            </w:r>
          </w:p>
        </w:tc>
        <w:tc>
          <w:tcPr>
            <w:shd w:val="clear" w:color="auto" w:fill="BDD7EE"/>
            <w:tcBorders>
              <w:top w:sz="1" w:val="single" w:color="CCCCCC"/>
              <w:left w:sz="1" w:val="single" w:color="CCCCCC"/>
              <w:bottom w:sz="1" w:val="single" w:color="CCCCCC"/>
              <w:right w:sz="1" w:val="single" w:color="CCCCCC"/>
            </w:tcBorders>
            <w:tcMar>
              <w:top w:w="80" w:type="dxa"/>
              <w:bottom w:w="80" w:type="dxa"/>
              <w:left w:w="120" w:type="dxa"/>
              <w:right w:w="120" w:type="dxa"/>
            </w:tcMar>
            <w:tcW w:w="3888" w:type="dxa"/>
          </w:tcPr>
          <w:p>
            <w:r/>
            <w:r>
              <w:rPr>
                <w:rFonts w:ascii="微软雅黑" w:hAnsi="微软雅黑" w:eastAsia="微软雅黑"/>
                <w:sz w:val="19"/>
              </w:rPr>
              <w:t>约基准4.6折(并购机会区)</w:t>
            </w:r>
          </w:p>
        </w:tc>
      </w:tr>
      <w:tr>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916" w:type="dxa"/>
          </w:tcPr>
          <w:p>
            <w:r/>
            <w:r>
              <w:rPr>
                <w:rFonts w:ascii="微软雅黑" w:hAnsi="微软雅黑" w:eastAsia="微软雅黑"/>
                <w:sz w:val="19"/>
              </w:rPr>
              <w:t>归母净资产</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2268" w:type="dxa"/>
          </w:tcPr>
          <w:p>
            <w:r/>
            <w:r>
              <w:rPr>
                <w:rFonts w:ascii="微软雅黑" w:hAnsi="微软雅黑" w:eastAsia="微软雅黑"/>
                <w:sz w:val="19"/>
              </w:rPr>
              <w:t>7.84亿元</w:t>
            </w:r>
          </w:p>
        </w:tc>
        <w:tc>
          <w:tcPr>
            <w:shd w:val="clear" w:color="auto" w:fill="DEEAF1"/>
            <w:tcBorders>
              <w:top w:sz="1" w:val="single" w:color="CCCCCC"/>
              <w:left w:sz="1" w:val="single" w:color="CCCCCC"/>
              <w:bottom w:sz="1" w:val="single" w:color="CCCCCC"/>
              <w:right w:sz="1" w:val="single" w:color="CCCCCC"/>
            </w:tcBorders>
            <w:tcMar>
              <w:top w:w="80" w:type="dxa"/>
              <w:bottom w:w="80" w:type="dxa"/>
              <w:left w:w="120" w:type="dxa"/>
              <w:right w:w="120" w:type="dxa"/>
            </w:tcMar>
            <w:tcW w:w="3888" w:type="dxa"/>
          </w:tcPr>
          <w:p>
            <w:r/>
            <w:r>
              <w:rPr>
                <w:rFonts w:ascii="微软雅黑" w:hAnsi="微软雅黑" w:eastAsia="微软雅黑"/>
                <w:sz w:val="19"/>
              </w:rPr>
              <w:t>PB约2倍</w:t>
            </w:r>
          </w:p>
        </w:tc>
      </w:tr>
    </w:tbl>
    <w:p>
      <w:pPr>
        <w:pStyle w:val="Heading2"/>
      </w:pPr>
      <w:r>
        <w:rPr>
          <w:rFonts w:ascii="微软雅黑" w:hAnsi="微软雅黑" w:eastAsia="微软雅黑"/>
          <w:color w:val="1F4E79"/>
        </w:rPr>
        <w:t>9.5 潜在并购资产画像</w:t>
      </w:r>
    </w:p>
    <w:p>
      <w:pPr>
        <w:spacing w:before="0" w:after="80"/>
      </w:pPr>
      <w:r>
        <w:rPr>
          <w:rFonts w:ascii="微软雅黑" w:hAnsi="微软雅黑" w:eastAsia="微软雅黑"/>
          <w:sz w:val="21"/>
        </w:rPr>
        <w:t>在财务类退市倒计时+证监会立案未结的双重约束下，冀凯的现实保壳路径高度依赖外部资产注入或控制权交易。潜在并购方画像：① 需要低成本获取A股上市平台但难以走IPO/借壳（现壳价约基准4.6折具吸引力）；② 具备能与公司现有煤矿机械协同、或可快速置入高盈利资产的产业方；③ 二股东卓众达富若具备产业背景，可能成为主导重组的核心力量。但需强调：任何并购方案在立案调查结案前都面临监管不确定性与极短时间窗口（2026年报为生死线）的双重制约，实际落地概率需打显著折扣。</w:t>
      </w:r>
    </w:p>
    <w:p>
      <w:pPr>
        <w:spacing w:after="160"/>
        <w:jc w:val="center"/>
      </w:pPr>
      <w:r>
        <w:rPr>
          <w:rFonts w:ascii="微软雅黑" w:hAnsi="微软雅黑" w:eastAsia="微软雅黑"/>
          <w:b/>
          <w:color w:val="1F4E79"/>
          <w:sz w:val="30"/>
        </w:rPr>
        <w:t>免责声明</w:t>
      </w:r>
    </w:p>
    <w:p>
      <w:pPr>
        <w:spacing w:before="0" w:after="20"/>
      </w:pPr>
      <w:r>
        <w:rPr>
          <w:rFonts w:ascii="微软雅黑" w:hAnsi="微软雅黑" w:eastAsia="微软雅黑"/>
          <w:b/>
          <w:color w:val="646464"/>
          <w:sz w:val="19"/>
        </w:rPr>
        <w:t>【评级说明】</w:t>
      </w:r>
    </w:p>
    <w:p>
      <w:pPr>
        <w:spacing w:after="80" w:line="280" w:lineRule="exact"/>
      </w:pPr>
      <w:r>
        <w:rPr>
          <w:rFonts w:ascii="微软雅黑" w:hAnsi="微软雅黑" w:eastAsia="微软雅黑"/>
          <w:color w:val="646464"/>
          <w:sz w:val="19"/>
        </w:rPr>
        <w:t>本报告为「ST摸鱼风云-V5个股分析报告」，采用ST保壳评分系统V2（score_v2单源出分，config v2.3，100分制），下设十二个维度（C1面值距离6分/C2壳价值锚定10分/S1实控人性质12分/S2股权质押6分/A1净资产充裕度12分/A2扣非主营收入12分/A3扣非盈利6分/D1现金流质量4分/B1立案造假信号10分/B2审计意见12分/F1重组纾困6分/H1实控人司法风险4分；2026-09-02重构：取消原F1经营改善趋势4分→A1净资产+2、C2壳价值+2，原F2重组/纾困更名F1），维度=退市通道，权重=近5年176家退市案例实证贡献度。综合评级分为四档：A（&gt;70分）保壳能力强、B（51-70分）中等、C（31-50分）较弱、D（≤30分）极易退市。高分=保壳容易，与保壳风云榜榜单同刻度横向可比。通道封顶（一票否决）：C1=0或B2=0→总分封顶50；B1=0→总分封顶30。C2壳价值锚定采用L2单源壳费基准（own口径：近2年154笔完成实控权变更、交易市值&lt;60亿样本，壳费中位数22.02亿元、交易市值中位数33.81亿元）。评分基于公开可获取的财务数据和披露信息，采用标准化打分模型，不构成盈利预测或投资承诺。</w:t>
      </w:r>
    </w:p>
    <w:p>
      <w:pPr>
        <w:spacing w:before="80" w:after="20"/>
      </w:pPr>
      <w:r>
        <w:rPr>
          <w:rFonts w:ascii="微软雅黑" w:hAnsi="微软雅黑" w:eastAsia="微软雅黑"/>
          <w:b/>
          <w:color w:val="646464"/>
          <w:sz w:val="19"/>
        </w:rPr>
        <w:t>【分析师声明】</w:t>
      </w:r>
    </w:p>
    <w:p>
      <w:pPr>
        <w:spacing w:after="80" w:line="280" w:lineRule="exact"/>
      </w:pPr>
      <w:r>
        <w:rPr>
          <w:rFonts w:ascii="微软雅黑" w:hAnsi="微软雅黑" w:eastAsia="微软雅黑"/>
          <w:color w:val="646464"/>
          <w:sz w:val="19"/>
        </w:rPr>
        <w:t>本报告由小调AI-WorkBuddy智能分析系统生成，底层使用公开AI模型进行数据处理和文本撰写。分析过程遵循独立、客观、公正原则，数据来源于westock行情/财务/股东接口、st-factor-fetch公共因子库、巨潮资讯网、公司公告等公开渠道。研究方法包括但不限于：财务报表分析、合规记录审查、司法诉讼检索、股权结构穿透、壳资源估值模型、ST保壳评分系统V2十二维保壳评分等标准化流程。分析师的薪酬不与本报告的具体评级或投资建议挂钩。</w:t>
      </w:r>
    </w:p>
    <w:sectPr w:rsidR="00FC693F" w:rsidRPr="0006063C" w:rsidSect="00034616">
      <w:footerReference w:type="default" r:id="rId9"/>
      <w:headerReference w:type="default" r:id="rId10"/>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999999"/>
      </w:pBdr>
    </w:pPr>
  </w:p>
  <w:tbl>
    <w:tblPr>
      <w:tblW w:type="auto" w:w="0"/>
      <w:tblLayout w:type="autofit"/>
      <w:tblLook w:firstColumn="1" w:firstRow="1" w:lastColumn="0" w:lastRow="0" w:noHBand="0" w:noVBand="1" w:val="04A0"/>
    </w:tblPr>
    <w:tblGrid>
      <w:gridCol w:w="4320"/>
      <w:gridCol w:w="4320"/>
    </w:tblGrid>
    <w:tr>
      <w:tc>
        <w:tcPr>
          <w:tcW w:type="dxa" w:w="4320"/>
          <w:tcBorders>
            <w:top w:val="none" w:sz="0"/>
            <w:left w:val="none" w:sz="0"/>
            <w:bottom w:val="none" w:sz="0"/>
            <w:right w:val="none" w:sz="0"/>
          </w:tcBorders>
        </w:tcPr>
        <w:p>
          <w:pPr>
            <w:spacing w:before="0" w:after="0"/>
            <w:jc w:val="left"/>
          </w:pPr>
          <w:r>
            <w:rPr>
              <w:rFonts w:ascii="微软雅黑" w:hAnsi="微软雅黑" w:eastAsia="微软雅黑"/>
              <w:color w:val="999999"/>
              <w:sz w:val="16"/>
            </w:rPr>
            <w:t>小调AI - workbuddy</w:t>
          </w:r>
        </w:p>
      </w:tc>
      <w:tc>
        <w:tcPr>
          <w:tcW w:type="dxa" w:w="4320"/>
          <w:tcBorders>
            <w:top w:val="none" w:sz="0"/>
            <w:left w:val="none" w:sz="0"/>
            <w:bottom w:val="none" w:sz="0"/>
            <w:right w:val="none" w:sz="0"/>
          </w:tcBorders>
        </w:tcPr>
        <w:p>
          <w:pPr>
            <w:spacing w:before="0" w:after="0"/>
            <w:jc w:val="right"/>
          </w:pPr>
          <w:r>
            <w:rPr>
              <w:color w:val="999999"/>
              <w:sz w:val="16"/>
            </w:rPr>
            <w:fldChar w:fldCharType="begin"/>
            <w:instrText xml:space="preserve"> PAGE </w:instrText>
            <w:fldChar w:fldCharType="end"/>
          </w:r>
          <w:r>
            <w:rPr>
              <w:color w:val="999999"/>
              <w:sz w:val="16"/>
            </w:rPr>
            <w:t xml:space="preserve"> / </w:t>
          </w:r>
          <w:r>
            <w:rPr>
              <w:color w:val="999999"/>
              <w:sz w:val="16"/>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color w:val="999999"/>
        <w:sz w:val="16"/>
      </w:rPr>
      <w:t>ST冀凯(002691) | ST摸鱼风云-V5个股分析报告 | 2026年9月2日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