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</w:pPr>
    </w:p>
    <w:p>
      <w:pPr>
        <w:jc w:val="center"/>
      </w:pPr>
      <w:r>
        <w:rPr>
          <w:b/>
          <w:bCs/>
          <w:color w:val="1D6EEE"/>
          <w:sz w:val="24"/>
          <w:szCs w:val="24"/>
        </w:rPr>
        <w:t xml:space="preserve">PAINEL ABO GOIÁS</w:t>
      </w:r>
    </w:p>
    <w:p>
      <w:pPr>
        <w:spacing w:before="300"/>
        <w:jc w:val="center"/>
      </w:pPr>
      <w:r>
        <w:rPr>
          <w:b/>
          <w:bCs/>
          <w:color w:val="0B2A57"/>
          <w:sz w:val="44"/>
          <w:szCs w:val="44"/>
        </w:rPr>
        <w:t xml:space="preserve">Ferramentas do Painel</w:t>
      </w:r>
    </w:p>
    <w:p>
      <w:pPr>
        <w:spacing w:after="300"/>
        <w:jc w:val="center"/>
      </w:pPr>
      <w:r>
        <w:rPr>
          <w:b/>
          <w:bCs/>
          <w:color w:val="0B2A57"/>
          <w:sz w:val="28"/>
          <w:szCs w:val="28"/>
        </w:rPr>
        <w:t xml:space="preserve">Explicação simples de cada sistema e contexto de uso</w:t>
      </w:r>
    </w:p>
    <w:p>
      <w:pPr>
        <w:spacing w:before="400"/>
        <w:jc w:val="center"/>
      </w:pPr>
      <w:r>
        <w:rPr>
          <w:i/>
          <w:iCs/>
          <w:color w:val="5B6B82"/>
          <w:sz w:val="22"/>
          <w:szCs w:val="22"/>
        </w:rPr>
        <w:t xml:space="preserve">Documento de referência</w:t>
      </w:r>
    </w:p>
    <w:p>
      <w:pPr>
        <w:jc w:val="center"/>
      </w:pPr>
      <w:r>
        <w:rPr>
          <w:color w:val="5B6B82"/>
          <w:sz w:val="21"/>
          <w:szCs w:val="21"/>
        </w:rPr>
        <w:t xml:space="preserve">Elaborado por: Equipe de Desenvolvimento</w:t>
      </w:r>
    </w:p>
    <w:p>
      <w:pPr>
        <w:jc w:val="center"/>
      </w:pPr>
      <w:r>
        <w:rPr>
          <w:color w:val="5B6B82"/>
          <w:sz w:val="21"/>
          <w:szCs w:val="21"/>
        </w:rPr>
        <w:t xml:space="preserve">Data: 22 de julho de 2026</w:t>
      </w:r>
    </w:p>
    <w:p>
      <w:r>
        <w:br w:type="page"/>
      </w:r>
    </w:p>
    <w:p>
      <w:pPr>
        <w:pStyle w:val="Heading1"/>
        <w:pBdr>
          <w:bottom w:val="single" w:color="1D6EEE" w:sz="6" w:space="4"/>
        </w:pBdr>
        <w:spacing w:after="160" w:before="360"/>
      </w:pPr>
      <w:r>
        <w:rPr>
          <w:b/>
          <w:bCs/>
          <w:color w:val="0B2A57"/>
          <w:sz w:val="30"/>
          <w:szCs w:val="30"/>
        </w:rPr>
        <w:t xml:space="preserve">Sumário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sz w:val="21"/>
          <w:szCs w:val="21"/>
        </w:rPr>
        <w:t xml:space="preserve">1. Visão geral do Painel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sz w:val="21"/>
          <w:szCs w:val="21"/>
        </w:rPr>
        <w:t xml:space="preserve">2. Ferramentas implementadas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sz w:val="21"/>
          <w:szCs w:val="21"/>
        </w:rPr>
        <w:t xml:space="preserve">     2.1. Portal e Acesso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sz w:val="21"/>
          <w:szCs w:val="21"/>
        </w:rPr>
        <w:t xml:space="preserve">     2.2. Gestão de CME (Central de Materiais e Esterilização)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sz w:val="21"/>
          <w:szCs w:val="21"/>
        </w:rPr>
        <w:t xml:space="preserve">     2.3. Gestão de Laboratório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sz w:val="21"/>
          <w:szCs w:val="21"/>
        </w:rPr>
        <w:t xml:space="preserve">     2.4. Gerador de Identificadores de Bancada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sz w:val="21"/>
          <w:szCs w:val="21"/>
        </w:rPr>
        <w:t xml:space="preserve">     2.5. Gerador de Contratos e Termos de Consentimento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sz w:val="21"/>
          <w:szCs w:val="21"/>
        </w:rPr>
        <w:t xml:space="preserve">3. Assinatura digital no Gerador de Contratos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sz w:val="21"/>
          <w:szCs w:val="21"/>
        </w:rPr>
        <w:t xml:space="preserve">     3.1. Diagnóstico da solução atual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sz w:val="21"/>
          <w:szCs w:val="21"/>
        </w:rPr>
        <w:t xml:space="preserve">     3.2. Como o sistema valida um documento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sz w:val="21"/>
          <w:szCs w:val="21"/>
        </w:rPr>
        <w:t xml:space="preserve">     3.3. Tipos de assinatura eletrônica no Brasil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sz w:val="21"/>
          <w:szCs w:val="21"/>
        </w:rPr>
        <w:t xml:space="preserve">     3.4. Comparação com plataformas do mercado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sz w:val="21"/>
          <w:szCs w:val="21"/>
        </w:rPr>
        <w:t xml:space="preserve">     3.5. Por que a solução atual não usa uma dessas plataformas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sz w:val="21"/>
          <w:szCs w:val="21"/>
        </w:rPr>
        <w:t xml:space="preserve">     3.6. Recomendação: qual plataforma adotar, se um dia for necessário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sz w:val="21"/>
          <w:szCs w:val="21"/>
        </w:rPr>
        <w:t xml:space="preserve">4. Custo geral de todas as ferramentas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sz w:val="21"/>
          <w:szCs w:val="21"/>
        </w:rPr>
        <w:t xml:space="preserve">Fontes</w:t>
      </w:r>
    </w:p>
    <w:p>
      <w:r>
        <w:br w:type="page"/>
      </w:r>
    </w:p>
    <w:p>
      <w:pPr>
        <w:pStyle w:val="Heading1"/>
        <w:pBdr>
          <w:bottom w:val="single" w:color="1D6EEE" w:sz="6" w:space="4"/>
        </w:pBdr>
        <w:spacing w:after="160" w:before="360"/>
      </w:pPr>
      <w:r>
        <w:rPr>
          <w:b/>
          <w:bCs/>
          <w:color w:val="0B2A57"/>
          <w:sz w:val="30"/>
          <w:szCs w:val="30"/>
        </w:rPr>
        <w:t xml:space="preserve">1. Visão geral do Painel</w:t>
      </w:r>
    </w:p>
    <w:p>
      <w:pPr>
        <w:spacing w:after="160" w:line="300"/>
      </w:pPr>
      <w:r>
        <w:rPr>
          <w:sz w:val="21"/>
          <w:szCs w:val="21"/>
        </w:rPr>
        <w:t xml:space="preserve">O Painel ABO Goiás é um sistema único, acessado com um só login, que reúne as ferramentas usadas no dia a dia da clínica-escola da Associação Brasileira de Odontologia — Regional Goiás. Cada ferramenta cuida de uma parte diferente da rotina — do controle de materiais esterilizados à geração e assinatura de contratos com os pacientes — mas todas compartilham a mesma identidade visual, o mesmo cadastro de usuários e a mesma tela inicial (Portal).</w:t>
      </w:r>
    </w:p>
    <w:p>
      <w:pPr>
        <w:spacing w:after="160" w:line="300"/>
      </w:pPr>
      <w:r>
        <w:rPr>
          <w:sz w:val="21"/>
          <w:szCs w:val="21"/>
        </w:rPr>
        <w:t xml:space="preserve">Todas as ferramentas descritas neste documento foram desenvolvidas internamente (sob medida para a rotina da clínica), o que significa que não há mensalidade de licença para o sistema em si — o Painel roda em um servidor próprio e só recorre a serviços externos pagos em pontos pontuais e claramente identificados (seção 4).</w:t>
      </w:r>
    </w:p>
    <w:p>
      <w:pPr>
        <w:pStyle w:val="Heading1"/>
        <w:pBdr>
          <w:bottom w:val="single" w:color="1D6EEE" w:sz="6" w:space="4"/>
        </w:pBdr>
        <w:spacing w:after="160" w:before="360"/>
      </w:pPr>
      <w:r>
        <w:rPr>
          <w:b/>
          <w:bCs/>
          <w:color w:val="0B2A57"/>
          <w:sz w:val="30"/>
          <w:szCs w:val="30"/>
        </w:rPr>
        <w:t xml:space="preserve">2. Ferramentas implementadas</w:t>
      </w:r>
    </w:p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2.1. Portal e Acesso</w:t>
      </w:r>
    </w:p>
    <w:p>
      <w:pPr>
        <w:spacing w:after="160" w:line="300"/>
      </w:pPr>
      <w:r>
        <w:rPr>
          <w:sz w:val="21"/>
          <w:szCs w:val="21"/>
        </w:rPr>
        <w:t xml:space="preserve">O que é: a porta de entrada do sistema. É onde qualquer colaborador faz login e vê, em uma única tela, um resumo em números e o acesso às demais ferramentas.</w:t>
      </w:r>
    </w:p>
    <w:p>
      <w:pPr>
        <w:spacing w:after="160" w:line="300"/>
      </w:pPr>
      <w:r>
        <w:rPr>
          <w:sz w:val="21"/>
          <w:szCs w:val="21"/>
        </w:rPr>
        <w:t xml:space="preserve">Contexto de uso: usado por todos os colaboradores, todos os dias, como primeira tela ao entrar no sistema. É também onde um novo colaborador solicita acesso — pedido que é aprovado ou recusado por um administrador antes de a conta ser liberada.</w:t>
      </w:r>
    </w:p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2.2. Gestão de CME (Central de Materiais e Esterilização)</w:t>
      </w:r>
    </w:p>
    <w:p>
      <w:pPr>
        <w:spacing w:after="160" w:line="300"/>
      </w:pPr>
      <w:r>
        <w:rPr>
          <w:sz w:val="21"/>
          <w:szCs w:val="21"/>
        </w:rPr>
        <w:t xml:space="preserve">O que é: controla o ciclo de vida dos pacotes de instrumentais odontológicos que os alunos de pós-graduação entregam para esterilização — da entrada até a devolução — além do empréstimo avulso de kits de materiais e do cadastro de turmas e alunos (sincronizado automaticamente do sistema acadêmico Eduq).</w:t>
      </w:r>
    </w:p>
    <w:p>
      <w:pPr>
        <w:spacing w:after="160" w:line="300"/>
      </w:pPr>
      <w:r>
        <w:rPr>
          <w:sz w:val="21"/>
          <w:szCs w:val="21"/>
        </w:rPr>
        <w:t xml:space="preserve">Contexto de uso: usado pela equipe da CME e pelos alunos de pós-graduação. O aluno entrega um pacote de instrumentais para esterilizar; a equipe registra a entrada, acompanha o processo e registra a retirada quando o aluno busca o material de volta. O mesmo aluno também pode retirar kits de material emprestado, que precisam ser devolvidos depois.</w:t>
      </w:r>
    </w:p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2.3. Gestão de Laboratório</w:t>
      </w:r>
    </w:p>
    <w:p>
      <w:pPr>
        <w:spacing w:after="160" w:line="300"/>
      </w:pPr>
      <w:r>
        <w:rPr>
          <w:sz w:val="21"/>
          <w:szCs w:val="21"/>
        </w:rPr>
        <w:t xml:space="preserve">O que é: controla os pedidos de material odontológico (próteses, aparelhos etc.) enviados a laboratórios parceiros externos — do registro do pedido até a entrega da peça pronta e o fechamento financeiro com o paciente e o laboratório.</w:t>
      </w:r>
    </w:p>
    <w:p>
      <w:pPr>
        <w:spacing w:after="160" w:line="300"/>
      </w:pPr>
      <w:r>
        <w:rPr>
          <w:sz w:val="21"/>
          <w:szCs w:val="21"/>
        </w:rPr>
        <w:t xml:space="preserve">Contexto de uso: usado pelos coordenadores dos laboratórios da clínica-escola. Um aluno faz a moldagem do paciente; o coordenador registra o pedido ao laboratório parceiro, acompanha o prazo de entrega e, quando a peça chega, controla o faturamento — quem já pagou, o paciente e/ou o laboratório.</w:t>
      </w:r>
    </w:p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2.4. Gerador de Identificadores de Bancada</w:t>
      </w:r>
    </w:p>
    <w:p>
      <w:pPr>
        <w:spacing w:after="160" w:line="300"/>
      </w:pPr>
      <w:r>
        <w:rPr>
          <w:sz w:val="21"/>
          <w:szCs w:val="21"/>
        </w:rPr>
        <w:t xml:space="preserve">O que é: gera, em poucos cliques, um arquivo de apresentação (PowerPoint) pronto para impressão com os identificadores (crachás) de bancada de uma turma inteira de alunos — nome, matrícula e demais dados, no modelo visual escolhido.</w:t>
      </w:r>
    </w:p>
    <w:p>
      <w:pPr>
        <w:spacing w:after="160" w:line="300"/>
      </w:pPr>
      <w:r>
        <w:rPr>
          <w:sz w:val="21"/>
          <w:szCs w:val="21"/>
        </w:rPr>
        <w:t xml:space="preserve">Contexto de uso: usado pela coordenação acadêmica no início de cada período letivo, ou quando entra um aluno novo. Basta escolher a turma — os dados dos alunos vêm automaticamente do sistema acadêmico Eduq — e o modelo de identificador entre os disponíveis, e o arquivo já sai pronto para impressão.</w:t>
      </w:r>
    </w:p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2.5. Gerador de Contratos e Termos de Consentimento</w:t>
      </w:r>
    </w:p>
    <w:p>
      <w:pPr>
        <w:spacing w:after="160" w:line="300"/>
      </w:pPr>
      <w:r>
        <w:rPr>
          <w:sz w:val="21"/>
          <w:szCs w:val="21"/>
        </w:rPr>
        <w:t xml:space="preserve">O que é: gera contratos e termos de consentimento odontológico personalizados para cada paciente e conduz a assinatura digital do documento, sem precisar de papel nem de outro programa.</w:t>
      </w:r>
    </w:p>
    <w:p>
      <w:pPr>
        <w:spacing w:after="160" w:line="300"/>
      </w:pPr>
      <w:r>
        <w:rPr>
          <w:sz w:val="21"/>
          <w:szCs w:val="21"/>
        </w:rPr>
        <w:t xml:space="preserve">Contexto de uso: usado pelos colaboradores da recepção/clínica no momento do atendimento. O sistema monta o documento com os dados do paciente e do procedimento, e o paciente assina na hora — pelo próprio celular, lendo um QR Code, ou num totem dedicado da clínica —, com o arquivo assinado sendo enviado automaticamente ao Dental Office e por WhatsApp. Por ser a ferramenta mais recente e a que envolve validade jurídica, ela é detalhada em profundidade na próxima seção.</w:t>
      </w:r>
    </w:p>
    <w:p>
      <w:r>
        <w:br w:type="page"/>
      </w:r>
    </w:p>
    <w:p>
      <w:pPr>
        <w:pStyle w:val="Heading1"/>
        <w:pBdr>
          <w:bottom w:val="single" w:color="1D6EEE" w:sz="6" w:space="4"/>
        </w:pBdr>
        <w:spacing w:after="160" w:before="360"/>
      </w:pPr>
      <w:r>
        <w:rPr>
          <w:b/>
          <w:bCs/>
          <w:color w:val="0B2A57"/>
          <w:sz w:val="30"/>
          <w:szCs w:val="30"/>
        </w:rPr>
        <w:t xml:space="preserve">3. Assinatura digital no Gerador de Contratos</w:t>
      </w:r>
    </w:p>
    <w:p>
      <w:pPr>
        <w:spacing w:after="160" w:line="300"/>
      </w:pPr>
      <w:r>
        <w:rPr>
          <w:sz w:val="21"/>
          <w:szCs w:val="21"/>
        </w:rPr>
        <w:t xml:space="preserve">Esta seção reúne os pontos mais relevantes do estudo interno “Assinatura Digital de Documentos — Diagnóstico e Estudo Comparativo” (13/07/2026), para quem precisa entender — ou decidir sobre o futuro — dessa parte do sistema, sem precisar ler o levantamento completo.</w:t>
      </w:r>
    </w:p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3.1. Diagnóstico da solução atual</w:t>
      </w:r>
    </w:p>
    <w:p>
      <w:pPr>
        <w:spacing w:after="160" w:line="300"/>
      </w:pPr>
      <w:r>
        <w:rPr>
          <w:sz w:val="21"/>
          <w:szCs w:val="21"/>
        </w:rPr>
        <w:t xml:space="preserve">A assinatura está implementada no próprio Gerador de Contratos, sem depender de nenhuma plataforma externa. O fluxo combina identificação do paciente, assinatura manuscrita digitalizada e uma trilha de evidências técnica, em cinco etapas: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Sessão remota com token seguro</w:t>
      </w:r>
      <w:r>
        <w:rPr>
          <w:sz w:val="21"/>
          <w:szCs w:val="21"/>
        </w:rPr>
        <w:t xml:space="preserve"> — o link de assinatura é gerado com uma chave assinada pelo servidor; nenhum segredo fica gravado no banco, a validade tem prazo e o link só pode ser usado uma vez.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Confirmação de identidade</w:t>
      </w:r>
      <w:r>
        <w:rPr>
          <w:sz w:val="21"/>
          <w:szCs w:val="21"/>
        </w:rPr>
        <w:t xml:space="preserve"> — antes de liberar a assinatura, o paciente (ou responsável, se for menor de idade) confirma um dado pessoal, com limite de tentativas, além de uma confirmação presencial opcional feita por um colaborador.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Assinatura manuscrita digitalizada</w:t>
      </w:r>
      <w:r>
        <w:rPr>
          <w:sz w:val="21"/>
          <w:szCs w:val="21"/>
        </w:rPr>
        <w:t xml:space="preserve"> — o paciente desenha a própria assinatura na tela; a imagem é validada e aplicada sobre a linha de assinatura do PDF.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Carimbo de auditoria e trilha de eventos</w:t>
      </w:r>
      <w:r>
        <w:rPr>
          <w:sz w:val="21"/>
          <w:szCs w:val="21"/>
        </w:rPr>
        <w:t xml:space="preserve"> — data, hora e IP ficam registrados no rodapé do PDF e num histórico completo (abertura do link, confirmação de identidade, horários).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Verificação de integridade e carimbo de tempo</w:t>
      </w:r>
      <w:r>
        <w:rPr>
          <w:sz w:val="21"/>
          <w:szCs w:val="21"/>
        </w:rPr>
        <w:t xml:space="preserve"> — o sistema calcula uma “impressão digital” do PDF assinado (explicada a seguir) e, quando configurado, também obtém de uma autoridade externa um comprovante independente de data e hora do documento.</w:t>
      </w:r>
    </w:p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3.2. Como o sistema valida um documento</w:t>
      </w:r>
    </w:p>
    <w:p>
      <w:pPr>
        <w:spacing w:after="160" w:line="300"/>
      </w:pPr>
      <w:r>
        <w:rPr>
          <w:sz w:val="21"/>
          <w:szCs w:val="21"/>
        </w:rPr>
        <w:t xml:space="preserve">Esta parte explica, sem termos técnicos, o mecanismo que permite ao sistema provar que um documento é autêntico e que não foi alterado depois de assinado — sem depender de nenhum software de terceiros. Esse mecanismo se chama hash.</w:t>
      </w:r>
    </w:p>
    <w:p>
      <w:pPr>
        <w:pStyle w:val="Heading3"/>
        <w:spacing w:after="100" w:before="200"/>
      </w:pPr>
      <w:r>
        <w:rPr>
          <w:b/>
          <w:bCs/>
          <w:color w:val="1D6EEE"/>
          <w:sz w:val="22"/>
          <w:szCs w:val="22"/>
        </w:rPr>
        <w:t xml:space="preserve">O que é um hash — a impressão digital do arquivo</w:t>
      </w:r>
    </w:p>
    <w:p>
      <w:pPr>
        <w:spacing w:after="160" w:line="300"/>
      </w:pPr>
      <w:r>
        <w:rPr>
          <w:sz w:val="21"/>
          <w:szCs w:val="21"/>
        </w:rPr>
        <w:t xml:space="preserve">Pense no hash como a impressão digital do arquivo: um código curto, calculado a partir de todo o conteúdo do documento. Ele tem uma propriedade essencial: mudar qualquer coisa no documento — uma vírgula, um valor, um pixel da assinatura — gera um código completamente diferente. Duas frases quase idênticas, mudando só um número, já produzem impressões digitais sem nenhuma semelhança entre si:</w:t>
      </w:r>
    </w:p>
    <w:tbl>
      <w:tblPr>
        <w:tblW w:type="dxa" w:w="9400"/>
        <w:tblBorders>
          <w:top w:val="single" w:color="D9E2EC" w:sz="4"/>
          <w:left w:val="single" w:color="D9E2EC" w:sz="4"/>
          <w:bottom w:val="single" w:color="D9E2EC" w:sz="4"/>
          <w:right w:val="single" w:color="D9E2EC" w:sz="4"/>
          <w:insideH w:val="single" w:color="D9E2EC" w:sz="4"/>
          <w:insideV w:val="single" w:color="D9E2EC" w:sz="4"/>
        </w:tblBorders>
      </w:tblPr>
      <w:tblGrid>
        <w:gridCol w:w="5400"/>
        <w:gridCol w:w="4000"/>
      </w:tblGrid>
      <w:tr>
        <w:trPr>
          <w:tblHeader/>
        </w:trPr>
        <w:tc>
          <w:tcPr>
            <w:tcW w:type="dxa" w:w="54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Conteúdo do documento</w:t>
            </w:r>
          </w:p>
        </w:tc>
        <w:tc>
          <w:tcPr>
            <w:tcW w:type="dxa" w:w="40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Impressão digital (início)</w:t>
            </w:r>
          </w:p>
        </w:tc>
      </w:tr>
      <w:tr>
        <w:tc>
          <w:tcPr>
            <w:tcW w:type="dxa" w:w="5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“…valor de R$ 500,00”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103a3c3eea07f288…</w:t>
            </w:r>
          </w:p>
        </w:tc>
      </w:tr>
      <w:tr>
        <w:tc>
          <w:tcPr>
            <w:tcW w:type="dxa" w:w="5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“…valor de R$ 900,00”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fadb3ba860f2694a…</w:t>
            </w:r>
          </w:p>
        </w:tc>
      </w:tr>
    </w:tbl>
    <w:p>
      <w:pPr>
        <w:spacing w:after="160"/>
      </w:pPr>
    </w:p>
    <w:p>
      <w:pPr>
        <w:spacing w:after="160" w:line="300"/>
      </w:pPr>
      <w:r>
        <w:rPr>
          <w:sz w:val="21"/>
          <w:szCs w:val="21"/>
        </w:rPr>
        <w:t xml:space="preserve">Apenas um caractere mudou (5 → 9), e o resultado não tem nenhuma semelhança com o anterior — por isso qualquer adulteração, por menor que seja, é detectada.</w:t>
      </w:r>
    </w:p>
    <w:p>
      <w:pPr>
        <w:pStyle w:val="Heading3"/>
        <w:spacing w:after="100" w:before="200"/>
      </w:pPr>
      <w:r>
        <w:rPr>
          <w:b/>
          <w:bCs/>
          <w:color w:val="1D6EEE"/>
          <w:sz w:val="22"/>
          <w:szCs w:val="22"/>
        </w:rPr>
        <w:t xml:space="preserve">Como a validação acontece na prática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sz w:val="21"/>
          <w:szCs w:val="21"/>
        </w:rPr>
        <w:t xml:space="preserve">No momento da assinatura, o sistema calcula a impressão digital do PDF assinado e a guarda em seu registro.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sz w:val="21"/>
          <w:szCs w:val="21"/>
        </w:rPr>
        <w:t xml:space="preserve">Na hora de validar, qualquer pessoa envia o PDF numa página pública de validação, e o sistema recalcula a impressão digital do arquivo recebido.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sz w:val="21"/>
          <w:szCs w:val="21"/>
        </w:rPr>
        <w:t xml:space="preserve">O sistema compara as duas impressões digitais: se forem iguais, o documento é autêntico e íntegro; se forem diferentes, o arquivo foi alterado ou não foi emitido por esta plataforma.</w:t>
      </w:r>
    </w:p>
    <w:p>
      <w:pPr>
        <w:spacing w:after="160" w:line="300"/>
      </w:pPr>
      <w:r>
        <w:rPr>
          <w:sz w:val="21"/>
          <w:szCs w:val="21"/>
        </w:rPr>
        <w:t xml:space="preserve">Como reforço adicional, o sistema pode anexar um carimbo de tempo (RFC 3161): um atestado de data e hora emitido por uma autoridade externa e independente, provando não só que o documento não mudou, mas também desde quando ele existe.</w:t>
      </w:r>
    </w:p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3.3. Tipos de assinatura eletrônica no Brasil</w:t>
      </w:r>
    </w:p>
    <w:p>
      <w:pPr>
        <w:spacing w:after="160" w:line="300"/>
      </w:pPr>
      <w:r>
        <w:rPr>
          <w:sz w:val="21"/>
          <w:szCs w:val="21"/>
        </w:rPr>
        <w:t xml:space="preserve">A legislação brasileira (Lei nº 14.063/2020) define três níveis de assinatura eletrônica, em ordem crescente de força de prova:</w:t>
      </w:r>
    </w:p>
    <w:tbl>
      <w:tblPr>
        <w:tblW w:type="dxa" w:w="9400"/>
        <w:tblBorders>
          <w:top w:val="single" w:color="D9E2EC" w:sz="4"/>
          <w:left w:val="single" w:color="D9E2EC" w:sz="4"/>
          <w:bottom w:val="single" w:color="D9E2EC" w:sz="4"/>
          <w:right w:val="single" w:color="D9E2EC" w:sz="4"/>
          <w:insideH w:val="single" w:color="D9E2EC" w:sz="4"/>
          <w:insideV w:val="single" w:color="D9E2EC" w:sz="4"/>
        </w:tblBorders>
      </w:tblPr>
      <w:tblGrid>
        <w:gridCol w:w="1700"/>
        <w:gridCol w:w="4000"/>
        <w:gridCol w:w="3700"/>
      </w:tblGrid>
      <w:tr>
        <w:trPr>
          <w:tblHeader/>
        </w:trPr>
        <w:tc>
          <w:tcPr>
            <w:tcW w:type="dxa" w:w="17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Nível</w:t>
            </w:r>
          </w:p>
        </w:tc>
        <w:tc>
          <w:tcPr>
            <w:tcW w:type="dxa" w:w="40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7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Validade jurídica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Simples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Identifica o signatário e associa dados a ele (ex.: aceite, assinatura desenhada, confirmação por e-mail/SMS).</w:t>
            </w:r>
          </w:p>
        </w:tc>
        <w:tc>
          <w:tcPr>
            <w:tcW w:type="dxa" w:w="3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Válida para atos de baixo/médio risco; a prova pode exigir evidências adicionais (logs, IP).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Avançada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Usa certificado próprio ou outros meios fortes de comprovar autoria, aceitos pelas partes.</w:t>
            </w:r>
          </w:p>
        </w:tc>
        <w:tc>
          <w:tcPr>
            <w:tcW w:type="dxa" w:w="3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Válida, com boa força de prova; aceita até perante o poder público (salvo exceções).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Qualificada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Usa certificado digital ICP-Brasil (o mesmo padrão do e-CPF/e-CNPJ).</w:t>
            </w:r>
          </w:p>
        </w:tc>
        <w:tc>
          <w:tcPr>
            <w:tcW w:type="dxa" w:w="3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Presunção legal de autenticidade; equivale à assinatura de próprio punho.</w:t>
            </w:r>
          </w:p>
        </w:tc>
      </w:tr>
    </w:tbl>
    <w:p>
      <w:pPr>
        <w:spacing w:after="160"/>
      </w:pPr>
    </w:p>
    <w:p>
      <w:pPr>
        <w:pStyle w:val="Heading3"/>
        <w:spacing w:after="100" w:before="200"/>
      </w:pPr>
      <w:r>
        <w:rPr>
          <w:b/>
          <w:bCs/>
          <w:color w:val="1D6EEE"/>
          <w:sz w:val="22"/>
          <w:szCs w:val="22"/>
        </w:rPr>
        <w:t xml:space="preserve">Em qual categoria o sistema se encontra hoje</w:t>
      </w:r>
    </w:p>
    <w:p>
      <w:pPr>
        <w:spacing w:after="160" w:line="300"/>
      </w:pPr>
      <w:r>
        <w:rPr>
          <w:sz w:val="21"/>
          <w:szCs w:val="21"/>
        </w:rPr>
        <w:t xml:space="preserve">O sistema atual é uma Assinatura Eletrônica Simples, com trilha de evidências reforçada. Ele cumpre o requisito da assinatura simples e vai além da média do mercado em integridade — impressão digital do documento, carimbo de tempo de terceiro e trilha de auditoria detalhada.</w:t>
      </w:r>
    </w:p>
    <w:p>
      <w:pPr>
        <w:spacing w:after="160" w:line="300"/>
      </w:pPr>
      <w:r>
        <w:rPr>
          <w:sz w:val="21"/>
          <w:szCs w:val="21"/>
        </w:rPr>
        <w:t xml:space="preserve">Para se tornar formalmente “avançada”, faltaria vincular a autoria a um fator sob controle exclusivo do paciente (certificado próprio, biometria facial com prova de vida ou identidade gov.br) — hoje a confirmação de identidade usa um dado pessoal, um controle relativamente mais simples.</w:t>
      </w:r>
    </w:p>
    <w:p>
      <w:pPr>
        <w:spacing w:after="160" w:line="300"/>
      </w:pPr>
      <w:r>
        <w:rPr>
          <w:sz w:val="21"/>
          <w:szCs w:val="21"/>
        </w:rPr>
        <w:t xml:space="preserve">Isso não é um problema para o uso atual: para termos de consentimento e contratos odontológicos entre a clínica e o paciente, a assinatura simples já tem validade jurídica — e a implementação em uso é, inclusive, mais robusta que muitas soluções “simples” disponíveis no mercado.</w:t>
      </w:r>
    </w:p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3.4. Comparação com plataformas do mercado</w:t>
      </w:r>
    </w:p>
    <w:p>
      <w:pPr>
        <w:spacing w:after="160" w:line="300"/>
      </w:pPr>
      <w:r>
        <w:rPr>
          <w:sz w:val="21"/>
          <w:szCs w:val="21"/>
        </w:rPr>
        <w:t xml:space="preserve">Existem diversas plataformas brasileiras especializadas em assinatura eletrônica. O quadro abaixo resume as sete avaliadas no estudo original (preços de referência coletados em julho de 2026):</w:t>
      </w:r>
    </w:p>
    <w:tbl>
      <w:tblPr>
        <w:tblW w:type="dxa" w:w="9400"/>
        <w:tblBorders>
          <w:top w:val="single" w:color="D9E2EC" w:sz="4"/>
          <w:left w:val="single" w:color="D9E2EC" w:sz="4"/>
          <w:bottom w:val="single" w:color="D9E2EC" w:sz="4"/>
          <w:right w:val="single" w:color="D9E2EC" w:sz="4"/>
          <w:insideH w:val="single" w:color="D9E2EC" w:sz="4"/>
          <w:insideV w:val="single" w:color="D9E2EC" w:sz="4"/>
        </w:tblBorders>
      </w:tblPr>
      <w:tblGrid>
        <w:gridCol w:w="2200"/>
        <w:gridCol w:w="2100"/>
        <w:gridCol w:w="2200"/>
        <w:gridCol w:w="2900"/>
      </w:tblGrid>
      <w:tr>
        <w:trPr>
          <w:tblHeader/>
        </w:trPr>
        <w:tc>
          <w:tcPr>
            <w:tcW w:type="dxa" w:w="22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Plataforma</w:t>
            </w:r>
          </w:p>
        </w:tc>
        <w:tc>
          <w:tcPr>
            <w:tcW w:type="dxa" w:w="21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Entrada (R$/mês)</w:t>
            </w:r>
          </w:p>
        </w:tc>
        <w:tc>
          <w:tcPr>
            <w:tcW w:type="dxa" w:w="22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Modelo</w:t>
            </w:r>
          </w:p>
        </w:tc>
        <w:tc>
          <w:tcPr>
            <w:tcW w:type="dxa" w:w="29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Destaque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Autentique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Grátis / 99 · API por doc.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Assinatura ou pague-por-uso</w:t>
            </w:r>
          </w:p>
        </w:tc>
        <w:tc>
          <w:tcPr>
            <w:tcW w:type="dxa" w:w="2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Melhor para embutir via API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ZapSign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Grátis / 29,90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Assinatura + créditos</w:t>
            </w:r>
          </w:p>
        </w:tc>
        <w:tc>
          <w:tcPr>
            <w:tcW w:type="dxa" w:w="2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Custo-benefício, WhatsApp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ClickSign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39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Assinatura</w:t>
            </w:r>
          </w:p>
        </w:tc>
        <w:tc>
          <w:tcPr>
            <w:tcW w:type="dxa" w:w="2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Certificações ISO, foco corporativo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Assinadoc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35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Ilimitado, preço fixo</w:t>
            </w:r>
          </w:p>
        </w:tc>
        <w:tc>
          <w:tcPr>
            <w:tcW w:type="dxa" w:w="2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API rica, 30+ endpoints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SuperSign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Grátis / 38,90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Assinatura ou pré-pago</w:t>
            </w:r>
          </w:p>
        </w:tc>
        <w:tc>
          <w:tcPr>
            <w:tcW w:type="dxa" w:w="2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Selfie + documento, flexível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ContraktorSign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Grátis / 19,90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Assinatura</w:t>
            </w:r>
          </w:p>
        </w:tc>
        <w:tc>
          <w:tcPr>
            <w:tcW w:type="dxa" w:w="2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Gestão do ciclo de vida do contrato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TOTVS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78,84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Por pacote de envelopes</w:t>
            </w:r>
          </w:p>
        </w:tc>
        <w:tc>
          <w:tcPr>
            <w:tcW w:type="dxa" w:w="2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ICP-Brasil qualificada + ERP TOTVS</w:t>
            </w:r>
          </w:p>
        </w:tc>
      </w:tr>
    </w:tbl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3.5. Por que a solução atual não usa uma dessas plataformas</w:t>
      </w:r>
    </w:p>
    <w:p>
      <w:pPr>
        <w:spacing w:after="160" w:line="300"/>
      </w:pPr>
      <w:r>
        <w:rPr>
          <w:sz w:val="21"/>
          <w:szCs w:val="21"/>
        </w:rPr>
        <w:t xml:space="preserve">Adotar uma dessas plataformas traria benefícios reais: a responsabilidade jurídica passaria a ser sustentada por um especialista testado em juízo, com relatórios de assinatura padronizados; a identidade forte (biometria facial, validação de CPF, gov.br) viria pronta, sem desenvolvimento próprio; existiria um caminho pronto para a assinatura qualificada ICP-Brasil, se algum dia for exigida; e a manutenção técnica (carimbo de tempo, criptografia, conformidade) passaria a ser responsabilidade do fornecedor.</w:t>
      </w:r>
    </w:p>
    <w:p>
      <w:pPr>
        <w:spacing w:after="160" w:line="300"/>
      </w:pPr>
      <w:r>
        <w:rPr>
          <w:sz w:val="21"/>
          <w:szCs w:val="21"/>
        </w:rPr>
        <w:t xml:space="preserve">Esses benefícios, porém, vêm com contrapartidas que hoje não se justificam: passaria a existir uma mensalidade ou um custo por documento onde hoje o custo marginal é praticamente zero; o fluxo de assinatura, os links e o armazenamento passariam a depender de um fornecedor externo (com custo de migração se um dia for preciso trocar); dados sensíveis de pacientes passariam a trafegar por um terceiro, exigindo um novo contrato de tratamento de dados sob a LGPD; seria necessário refazer a integração já existente (QR Code, totem, WhatsApp, envio ao Dental Office) para a API do fornecedor; e a clínica perderia o controle total que tem hoje sobre a experiência de assinatura (tela própria, confirmação presencial, tratamento de menores de idade).</w:t>
      </w:r>
    </w:p>
    <w:p>
      <w:pPr>
        <w:spacing w:after="160" w:line="300"/>
      </w:pPr>
      <w:r>
        <w:rPr>
          <w:sz w:val="21"/>
          <w:szCs w:val="21"/>
        </w:rPr>
        <w:t xml:space="preserve">Como a assinatura eletrônica simples já é juridicamente válida para termos de consentimento e contratos odontológicos, e a implementação atual já é mais robusta que a média do mercado (impressão digital do documento + carimbo de tempo + trilha de auditoria + confirmação de identidade e presencial), não há hoje uma necessidade real que justifique assumir o custo recorrente e a dependência de uma plataforma externa — por isso a solução própria foi mantida.</w:t>
      </w:r>
    </w:p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3.6. Recomendação: qual plataforma adotar, se um dia for necessário</w:t>
      </w:r>
    </w:p>
    <w:p>
      <w:pPr>
        <w:spacing w:after="160" w:line="300"/>
      </w:pPr>
      <w:r>
        <w:rPr>
          <w:sz w:val="21"/>
          <w:szCs w:val="21"/>
        </w:rPr>
        <w:t xml:space="preserve">Caso surja uma necessidade real — por exemplo, a exigência de assinatura qualificada ICP-Brasil para algum tipo de documento —, o modelo recomendado é o de integração via API (pague-por-uso), que se encaixa no fluxo já existente: o Painel continua orquestrando o atendimento, e a plataforma escolhida entra só para assinar/carimbar o documento. Dentro desse cenário: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Autentique</w:t>
      </w:r>
      <w:r>
        <w:rPr>
          <w:sz w:val="21"/>
          <w:szCs w:val="21"/>
        </w:rPr>
        <w:t xml:space="preserve"> — primeira opção a testar: melhor custo por documento via API, ambiente de testes gratuito, com biometria e certificado ICP-Brasil disponíveis quando necessário.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Assinadoc</w:t>
      </w:r>
      <w:r>
        <w:rPr>
          <w:sz w:val="21"/>
          <w:szCs w:val="21"/>
        </w:rPr>
        <w:t xml:space="preserve"> — alternativa se a preferência for preço fixo com documentos ilimitados e uma API mais rica.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ZapSign</w:t>
      </w:r>
      <w:r>
        <w:rPr>
          <w:sz w:val="21"/>
          <w:szCs w:val="21"/>
        </w:rPr>
        <w:t xml:space="preserve"> — alternativa se o foco for o menor custo possível e o envio prioritário pelo WhatsApp.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TOTVS</w:t>
      </w:r>
      <w:r>
        <w:rPr>
          <w:sz w:val="21"/>
          <w:szCs w:val="21"/>
        </w:rPr>
        <w:t xml:space="preserve"> — apenas se for necessária assinatura qualificada ICP-Brasil em escala corporativa, ou integração com um ERP TOTVS já em uso.</w:t>
      </w:r>
    </w:p>
    <w:p>
      <w:r>
        <w:br w:type="page"/>
      </w:r>
    </w:p>
    <w:p>
      <w:pPr>
        <w:pStyle w:val="Heading1"/>
        <w:pBdr>
          <w:bottom w:val="single" w:color="1D6EEE" w:sz="6" w:space="4"/>
        </w:pBdr>
        <w:spacing w:after="160" w:before="360"/>
      </w:pPr>
      <w:r>
        <w:rPr>
          <w:b/>
          <w:bCs/>
          <w:color w:val="0B2A57"/>
          <w:sz w:val="30"/>
          <w:szCs w:val="30"/>
        </w:rPr>
        <w:t xml:space="preserve">4. Custo geral de todas as ferramentas</w:t>
      </w:r>
    </w:p>
    <w:p>
      <w:pPr>
        <w:spacing w:after="160" w:line="300"/>
      </w:pPr>
      <w:r>
        <w:rPr>
          <w:sz w:val="21"/>
          <w:szCs w:val="21"/>
        </w:rPr>
        <w:t xml:space="preserve">Diferente da seção anterior — focada só na assinatura de contratos —, este levantamento cobre o custo de manter em funcionamento todas as ferramentas do Painel. Valores de referência pesquisados em julho de 2026, sujeitos a alteração pelos próprios fornecedores.</w:t>
      </w:r>
    </w:p>
    <w:tbl>
      <w:tblPr>
        <w:tblW w:type="dxa" w:w="9400"/>
        <w:tblBorders>
          <w:top w:val="single" w:color="D9E2EC" w:sz="4"/>
          <w:left w:val="single" w:color="D9E2EC" w:sz="4"/>
          <w:bottom w:val="single" w:color="D9E2EC" w:sz="4"/>
          <w:right w:val="single" w:color="D9E2EC" w:sz="4"/>
          <w:insideH w:val="single" w:color="D9E2EC" w:sz="4"/>
          <w:insideV w:val="single" w:color="D9E2EC" w:sz="4"/>
        </w:tblBorders>
      </w:tblPr>
      <w:tblGrid>
        <w:gridCol w:w="2600"/>
        <w:gridCol w:w="3800"/>
        <w:gridCol w:w="3000"/>
      </w:tblGrid>
      <w:tr>
        <w:trPr>
          <w:tblHeader/>
        </w:trPr>
        <w:tc>
          <w:tcPr>
            <w:tcW w:type="dxa" w:w="26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38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0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Custo aproximado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Hospedagem (Railway)</w:t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Servidor onde o Painel roda: processo web, mais os serviços de fila (worker e agendador) usados pela Gestão de Contratos e de Laboratório, banco de dados e Redis.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 partir de US$ 5/mês (plano Hobby) ou US$ 20/mês (plano Pro), mais consumo de processamento/memória — o total varia com o uso.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WhatsApp automático (Z-API)</w:t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Envio automático de mensagens pela Gestão de Laboratório (cobrança de laboratórios atrasados) e pelo Gerador de Contratos (envio do contrato assinado). Opcional — sem ele, o envio manual por link continua funcionando.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Aproximadamente R$ 55 a R$ 99 por mês (mensalidade fixa, sem cobrança por mensagem).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Carimbo de tempo da assinatura (RFC 3161)</w:t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Comprovante externo de data/hora do documento assinado, usado pelo Gerador de Contratos.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Gratuito hoje (autoridade pública FreeTSA). Uma troca futura por uma autoridade credenciada ICP-Brasil teria custo por carimbo, mas não está contratada.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Assinatura eletrônica dos contratos</w:t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Lógica de assinatura, validação por hash e trilha de auditoria do Gerador de Contratos.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Sem custo adicional — desenvolvida internamente; custo marginal por assinatura praticamente zero (ver seção 3.5).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Identificadores de bancada (PPTX)</w:t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Geração do arquivo de apresentação com os crachás de cada turma.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Sem custo adicional — gerado por bibliotecas de código aberto, no mesmo servidor do Painel.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Integração com o Dental Office</w:t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Usada pela Gestão de Laboratório (pacientes) e pelo Gerador de Contratos (envio do contrato assinado).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Sistema de gestão clínica já contratado pela ABO Goiás, independente do Painel — este apenas consome uma API já paga para outra finalidade; não é um custo adicional introduzido por esta aplicação.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Integração com o Eduq</w:t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Usada pela Gestão de CME e pelo Gerador de Identificadores (dados de turmas e alunos).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Sistema acadêmico já utilizado pela instituição — mesma observação do item anterior.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E-mail (SMTP)</w:t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Recuperação de senha e notificações de solicitação de acesso (Portal).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Depende do provedor contratado (ex.: SendGrid, Amazon SES) — varia por volume de envio; sem valor de referência fixado neste levantamento.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D6EEE" w:sz="6" w:space="4"/>
        </w:pBdr>
        <w:spacing w:after="160" w:before="360"/>
      </w:pPr>
      <w:r>
        <w:rPr>
          <w:b/>
          <w:bCs/>
          <w:color w:val="0B2A57"/>
          <w:sz w:val="30"/>
          <w:szCs w:val="30"/>
        </w:rPr>
        <w:t xml:space="preserve">Fontes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sz w:val="21"/>
          <w:szCs w:val="21"/>
        </w:rPr>
        <w:t xml:space="preserve">Assinatura Digital de Documentos — Diagnóstico e Estudo Comparativo. Equipe de Desenvolvimento, 13 de julho de 2026 (docs/Assinatura-Digital-Estudo-Comparativo.docx).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sz w:val="21"/>
          <w:szCs w:val="21"/>
        </w:rPr>
        <w:t xml:space="preserve">Lei nº 14.063/2020 — Planalto.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sz w:val="21"/>
          <w:szCs w:val="21"/>
        </w:rPr>
        <w:t xml:space="preserve">Z-API — planos e preços (pesquisa de mercado, julho de 2026).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sz w:val="21"/>
          <w:szCs w:val="21"/>
        </w:rPr>
        <w:t xml:space="preserve">Railway — Pricing Plans, docs.railway.com (pesquisa de mercado, julho de 2026).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sz w:val="21"/>
          <w:szCs w:val="21"/>
        </w:rPr>
        <w:t xml:space="preserve">Repositório do Painel ABO Goiás — código-fonte de gestao_cme, gestao_lab, identificadores, gestao_contratos, contas e mensageria (.env.example, requirements.txt).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4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2026-07-22T11:49:29.467Z</dcterms:created>
  <dcterms:modified xsi:type="dcterms:W3CDTF">2026-07-22T11:49:29.467Z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