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jc w:val="center"/>
      </w:pPr>
      <w:r>
        <w:rPr>
          <w:b/>
          <w:bCs/>
          <w:color w:val="1D6EEE"/>
          <w:sz w:val="24"/>
          <w:szCs w:val="24"/>
        </w:rPr>
        <w:t xml:space="preserve">PAINEL ABO GOIÁS</w:t>
      </w:r>
    </w:p>
    <w:p>
      <w:pPr>
        <w:spacing w:before="300"/>
        <w:jc w:val="center"/>
      </w:pPr>
      <w:r>
        <w:rPr>
          <w:b/>
          <w:bCs/>
          <w:color w:val="0B2A57"/>
          <w:sz w:val="44"/>
          <w:szCs w:val="44"/>
        </w:rPr>
        <w:t xml:space="preserve">Ferramentas do Painel</w:t>
      </w:r>
    </w:p>
    <w:p>
      <w:pPr>
        <w:spacing w:after="300"/>
        <w:jc w:val="center"/>
      </w:pPr>
      <w:r>
        <w:rPr>
          <w:b/>
          <w:bCs/>
          <w:color w:val="0B2A57"/>
          <w:sz w:val="28"/>
          <w:szCs w:val="28"/>
        </w:rPr>
        <w:t xml:space="preserve">Explicação simples de cada sistema e contexto de uso</w:t>
      </w:r>
    </w:p>
    <w:p>
      <w:pPr>
        <w:spacing w:before="400"/>
        <w:jc w:val="center"/>
      </w:pPr>
      <w:r>
        <w:rPr>
          <w:i/>
          <w:iCs/>
          <w:color w:val="5B6B82"/>
          <w:sz w:val="22"/>
          <w:szCs w:val="22"/>
        </w:rPr>
        <w:t xml:space="preserve">Documento de referência</w:t>
      </w:r>
    </w:p>
    <w:p>
      <w:pPr>
        <w:jc w:val="center"/>
      </w:pPr>
      <w:r>
        <w:rPr>
          <w:color w:val="5B6B82"/>
          <w:sz w:val="21"/>
          <w:szCs w:val="21"/>
        </w:rPr>
        <w:t xml:space="preserve">Elaborado por: Equipe de Desenvolvimento</w:t>
      </w:r>
    </w:p>
    <w:p>
      <w:pPr>
        <w:jc w:val="center"/>
      </w:pPr>
      <w:r>
        <w:rPr>
          <w:color w:val="5B6B82"/>
          <w:sz w:val="21"/>
          <w:szCs w:val="21"/>
        </w:rPr>
        <w:t xml:space="preserve">Data: 24 de julho de 2026</w:t>
      </w:r>
    </w:p>
    <w:p>
      <w:r>
        <w:br w:type="page"/>
      </w:r>
    </w:p>
    <w:p>
      <w:pPr>
        <w:pStyle w:val="Heading1"/>
        <w:pBdr>
          <w:bottom w:val="single" w:color="1D6EEE" w:sz="6" w:space="4"/>
        </w:pBdr>
        <w:spacing w:after="160" w:before="360"/>
      </w:pPr>
      <w:r>
        <w:rPr>
          <w:b/>
          <w:bCs/>
          <w:color w:val="0B2A57"/>
          <w:sz w:val="30"/>
          <w:szCs w:val="30"/>
        </w:rPr>
        <w:t xml:space="preserve">1. Visão geral do Painel</w:t>
      </w:r>
    </w:p>
    <w:p>
      <w:pPr>
        <w:spacing w:after="160" w:line="300"/>
      </w:pPr>
      <w:r>
        <w:rPr>
          <w:sz w:val="21"/>
          <w:szCs w:val="21"/>
        </w:rPr>
        <w:t xml:space="preserve">O Painel ABO Goiás é um sistema único, acessado com um só login, que reúne as ferramentas usadas no dia a dia da clínica-escola da Associação Brasileira de Odontologia — Regional Goiás. Cada ferramenta cuida de uma parte diferente da rotina — do controle de materiais esterilizados à geração e assinatura de contratos com os pacientes — mas todas compartilham a mesma identidade visual, o mesmo cadastro de usuários e a mesma tela inicial (Portal).</w:t>
      </w:r>
    </w:p>
    <w:p>
      <w:pPr>
        <w:spacing w:after="160" w:line="300"/>
      </w:pPr>
      <w:r>
        <w:rPr>
          <w:sz w:val="21"/>
          <w:szCs w:val="21"/>
        </w:rPr>
        <w:t xml:space="preserve">Todas as ferramentas descritas neste documento foram desenvolvidas internamente (sob medida para a rotina da clínica), o que significa que não há mensalidade de licença para o sistema em si — o Painel roda em um servidor próprio e só recorre a serviços externos pagos em pontos pontuais e claramente identificados (seção 4).</w:t>
      </w:r>
    </w:p>
    <w:p>
      <w:pPr>
        <w:spacing w:after="160" w:line="300"/>
      </w:pPr>
      <w:r>
        <w:rPr>
          <w:sz w:val="21"/>
          <w:szCs w:val="21"/>
        </w:rPr>
        <w:t xml:space="preserve">Nem toda ferramenta listada abaixo tem o código-fonte neste repositório: Portal, Gestão de CME, Gestão de Laboratório, Gerador de Identificadores de Bancada e Gerador de Contratos são mantidos aqui; Gestão de Usuários, Fechamento do CAP e Cálculo da Coordenação foram desenvolvidos à parte, fora deste repositório. Estão descritos neste documento para consolidar, num só lugar, o panorama completo de funcionalidade e custo de todas as automações já em uso na ABO Goiás.</w:t>
      </w:r>
    </w:p>
    <w:p>
      <w:pPr>
        <w:pStyle w:val="Heading1"/>
        <w:pBdr>
          <w:bottom w:val="single" w:color="1D6EEE" w:sz="6" w:space="4"/>
        </w:pBdr>
        <w:spacing w:after="160" w:before="360"/>
      </w:pPr>
      <w:r>
        <w:rPr>
          <w:b/>
          <w:bCs/>
          <w:color w:val="0B2A57"/>
          <w:sz w:val="30"/>
          <w:szCs w:val="30"/>
        </w:rPr>
        <w:t xml:space="preserve">2. Ferramentas implementadas</w:t>
      </w:r>
    </w:p>
    <w:p>
      <w:pPr>
        <w:spacing w:after="160" w:line="300"/>
      </w:pPr>
      <w:r>
        <w:rPr>
          <w:sz w:val="21"/>
          <w:szCs w:val="21"/>
        </w:rPr>
        <w:t xml:space="preserve">Além da funcionalidade, cada ferramenta abaixo traz o custo mensal para manter todas as suas funções em pleno funcionamento. A hospedagem (Railway) é uma única assinatura, compartilhada por todo o Painel — por isso ela aparece no custo de todas as ferramentas, mas é paga uma única vez; o valor final real, sem repetição, está na seção 4.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2.1. Portal e Acesso</w:t>
      </w:r>
    </w:p>
    <w:p>
      <w:pPr>
        <w:spacing w:after="160" w:line="300"/>
      </w:pPr>
      <w:r>
        <w:rPr>
          <w:sz w:val="21"/>
          <w:szCs w:val="21"/>
        </w:rPr>
        <w:t xml:space="preserve">O que é: a porta de entrada do sistema. É onde qualquer colaborador faz login e vê, em uma única tela, um resumo em números e o acesso às demais ferramentas.</w:t>
      </w:r>
    </w:p>
    <w:p>
      <w:pPr>
        <w:spacing w:after="160" w:line="300"/>
      </w:pPr>
      <w:r>
        <w:rPr>
          <w:sz w:val="21"/>
          <w:szCs w:val="21"/>
        </w:rPr>
        <w:t xml:space="preserve">Contexto de uso: usado por todos os colaboradores, todos os dias, como primeira tela ao entrar no sistema. É também onde um novo colaborador solicita acesso — pedido que é aprovado ou recusado por um administrador antes de a conta ser liberada.</w:t>
      </w: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Custo mensal para funcionar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Hospedagem (Railway)</w:t>
      </w:r>
      <w:r>
        <w:rPr>
          <w:sz w:val="21"/>
          <w:szCs w:val="21"/>
        </w:rPr>
        <w:t xml:space="preserve"> — R$ 100/mês. Servidor onde o Painel roda, compartilhado por todas as ferramentas.</w:t>
      </w:r>
    </w:p>
    <w:p>
      <w:pPr>
        <w:spacing w:after="160" w:line="300"/>
      </w:pPr>
      <w:r>
        <w:rPr>
          <w:b/>
          <w:bCs/>
          <w:color w:val="0B2A57"/>
          <w:sz w:val="21"/>
          <w:szCs w:val="21"/>
        </w:rPr>
        <w:t xml:space="preserve">Total: R$ 100/mês.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2.2. Gestão de CME (Controle de Material em Esterilização)</w:t>
      </w:r>
    </w:p>
    <w:p>
      <w:pPr>
        <w:spacing w:after="160" w:line="300"/>
      </w:pPr>
      <w:r>
        <w:rPr>
          <w:sz w:val="21"/>
          <w:szCs w:val="21"/>
        </w:rPr>
        <w:t xml:space="preserve">O que é: controla o ciclo de vida dos pacotes de instrumentais odontológicos que os alunos de pós-graduação entregam para esterilização — da entrada até a devolução — além do empréstimo avulso de kits de materiais e do cadastro de turmas e alunos (sincronizado automaticamente do sistema acadêmico Eduq).</w:t>
      </w:r>
    </w:p>
    <w:p>
      <w:pPr>
        <w:spacing w:after="160" w:line="300"/>
      </w:pPr>
      <w:r>
        <w:rPr>
          <w:sz w:val="21"/>
          <w:szCs w:val="21"/>
        </w:rPr>
        <w:t xml:space="preserve">Contexto de uso: usado pela equipe da CME e pelos alunos de pós-graduação. O aluno entrega um pacote de instrumentais para esterilizar; a equipe registra a entrada, acompanha o processo e registra a retirada quando o aluno busca o material de volta. O mesmo aluno também pode retirar kits de material emprestado, que precisam ser devolvidos depois.</w:t>
      </w: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Custo mensal para funcionar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Hospedagem (Railway)</w:t>
      </w:r>
      <w:r>
        <w:rPr>
          <w:sz w:val="21"/>
          <w:szCs w:val="21"/>
        </w:rPr>
        <w:t xml:space="preserve"> — R$ 100/mês. Mesma assinatura citada no Portal — não é um custo adicional, é a mesma hospedagem compartilhada por todo o Painel.</w:t>
      </w:r>
    </w:p>
    <w:p>
      <w:pPr>
        <w:spacing w:after="160" w:line="300"/>
      </w:pPr>
      <w:r>
        <w:rPr>
          <w:b/>
          <w:bCs/>
          <w:color w:val="0B2A57"/>
          <w:sz w:val="21"/>
          <w:szCs w:val="21"/>
        </w:rPr>
        <w:t xml:space="preserve">Total: R$ 100/mês. Nenhuma outra função da Gestão de CME gera custo — não há envio de WhatsApp nem outro serviço externo pago.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2.3. Gestão de Laboratório (Controle de Material em Laboratório)</w:t>
      </w:r>
    </w:p>
    <w:p>
      <w:pPr>
        <w:spacing w:after="160" w:line="300"/>
      </w:pPr>
      <w:r>
        <w:rPr>
          <w:sz w:val="21"/>
          <w:szCs w:val="21"/>
        </w:rPr>
        <w:t xml:space="preserve">O que é: controla os pedidos de material odontológico (próteses, aparelhos etc.) enviados a laboratórios parceiros externos — do registro do pedido até a entrega da peça pronta e o fechamento financeiro com o paciente e o laboratório.</w:t>
      </w:r>
    </w:p>
    <w:p>
      <w:pPr>
        <w:spacing w:after="160" w:line="300"/>
      </w:pPr>
      <w:r>
        <w:rPr>
          <w:sz w:val="21"/>
          <w:szCs w:val="21"/>
        </w:rPr>
        <w:t xml:space="preserve">Contexto de uso: usado pelos coordenadores dos laboratórios da clínica-escola. Um aluno faz a moldagem do paciente; o coordenador registra o pedido ao laboratório parceiro, acompanha o prazo de entrega e, quando a peça chega, controla o faturamento — quem já pagou, o paciente e/ou o laboratório.</w:t>
      </w: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Custo mensal para funcionar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Hospedagem (Railway)</w:t>
      </w:r>
      <w:r>
        <w:rPr>
          <w:sz w:val="21"/>
          <w:szCs w:val="21"/>
        </w:rPr>
        <w:t xml:space="preserve"> — R$ 100/mês (mesma assinatura compartilhada por todo o Painel).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WhatsApp automático (Z-API)</w:t>
      </w:r>
      <w:r>
        <w:rPr>
          <w:sz w:val="21"/>
          <w:szCs w:val="21"/>
        </w:rPr>
        <w:t xml:space="preserve"> — R$ 100/mês. Usado para cobrar automaticamente, uma vez por dia, os laboratórios parceiros com pedidos atrasados. Hoje usa o mesmo número (e a mesma assinatura) do Gerador de Contratos e do Fechamento do CAP — a cobrança é por número conectado, não por aplicação (ver seção 4.3).</w:t>
      </w:r>
    </w:p>
    <w:p>
      <w:pPr>
        <w:spacing w:after="160" w:line="300"/>
      </w:pPr>
      <w:r>
        <w:rPr>
          <w:b/>
          <w:bCs/>
          <w:color w:val="0B2A57"/>
          <w:sz w:val="21"/>
          <w:szCs w:val="21"/>
        </w:rPr>
        <w:t xml:space="preserve">Total: R$ 200/mês.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2.4. Gerador de Identificadores de Bancada</w:t>
      </w:r>
    </w:p>
    <w:p>
      <w:pPr>
        <w:spacing w:after="160" w:line="300"/>
      </w:pPr>
      <w:r>
        <w:rPr>
          <w:sz w:val="21"/>
          <w:szCs w:val="21"/>
        </w:rPr>
        <w:t xml:space="preserve">O que é: gera, em poucos cliques, um arquivo de apresentação (PowerPoint) pronto para impressão com os identificadores (crachás) de bancada de uma turma inteira de alunos — nome, matrícula e demais dados, no modelo visual escolhido.</w:t>
      </w:r>
    </w:p>
    <w:p>
      <w:pPr>
        <w:spacing w:after="160" w:line="300"/>
      </w:pPr>
      <w:r>
        <w:rPr>
          <w:sz w:val="21"/>
          <w:szCs w:val="21"/>
        </w:rPr>
        <w:t xml:space="preserve">Contexto de uso: usado pela coordenação acadêmica no início de cada período letivo, ou quando entra um aluno novo. Basta escolher a turma — os dados dos alunos vêm automaticamente do sistema acadêmico Eduq — e o modelo de identificador entre os disponíveis, e o arquivo já sai pronto para impressão.</w:t>
      </w: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Custo mensal para funcionar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Hospedagem (Railway)</w:t>
      </w:r>
      <w:r>
        <w:rPr>
          <w:sz w:val="21"/>
          <w:szCs w:val="21"/>
        </w:rPr>
        <w:t xml:space="preserve"> — R$ 100/mês (mesma assinatura compartilhada por todo o Painel).</w:t>
      </w:r>
    </w:p>
    <w:p>
      <w:pPr>
        <w:spacing w:after="160" w:line="300"/>
      </w:pPr>
      <w:r>
        <w:rPr>
          <w:b/>
          <w:bCs/>
          <w:color w:val="0B2A57"/>
          <w:sz w:val="21"/>
          <w:szCs w:val="21"/>
        </w:rPr>
        <w:t xml:space="preserve">Total: R$ 100/mês. A geração do arquivo em si não usa nenhum serviço externo pago.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2.5. Gestão de Usuários</w:t>
      </w:r>
    </w:p>
    <w:p>
      <w:pPr>
        <w:spacing w:after="160" w:line="300"/>
      </w:pPr>
      <w:r>
        <w:rPr>
          <w:sz w:val="21"/>
          <w:szCs w:val="21"/>
        </w:rPr>
        <w:t xml:space="preserve">O que é: automação auxiliar para descadastrar ou recadastrar o acesso de um aluno no Dental Office (sistema de acesso de alunos), com base em critérios vindos do Eduq — férias, cancelamento de matrícula, finalização de turma ou inadimplência. Substitui o processo manual de checar o Eduq e o Dental Office em abas separadas.</w:t>
      </w:r>
    </w:p>
    <w:p>
      <w:pPr>
        <w:spacing w:after="160" w:line="300"/>
      </w:pPr>
      <w:r>
        <w:rPr>
          <w:sz w:val="21"/>
          <w:szCs w:val="21"/>
        </w:rPr>
        <w:t xml:space="preserve">Contexto de uso: um colaborador da ABO usa a ferramenta para cadastrar ou descadastrar em lote o acesso de alunos no Dental Office, a partir dos mesmos critérios (férias, cancelamento de matrícula, finalização de turma ou inadimplência no Eduq), sem precisar checar os dois sistemas manualmente.</w:t>
      </w: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Custo mensal para funcionar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Hospedagem (Railway)</w:t>
      </w:r>
      <w:r>
        <w:rPr>
          <w:sz w:val="21"/>
          <w:szCs w:val="21"/>
        </w:rPr>
        <w:t xml:space="preserve"> — R$ 100/mês (mesma assinatura compartilhada por todo o Painel).</w:t>
      </w:r>
    </w:p>
    <w:p>
      <w:pPr>
        <w:spacing w:after="160" w:line="300"/>
      </w:pPr>
      <w:r>
        <w:rPr>
          <w:b/>
          <w:bCs/>
          <w:color w:val="0B2A57"/>
          <w:sz w:val="21"/>
          <w:szCs w:val="21"/>
        </w:rPr>
        <w:t xml:space="preserve">Total: R$ 100/mês.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2.6. Fechamento do CAP</w:t>
      </w:r>
    </w:p>
    <w:p>
      <w:pPr>
        <w:spacing w:after="160" w:line="300"/>
      </w:pPr>
      <w:r>
        <w:rPr>
          <w:sz w:val="21"/>
          <w:szCs w:val="21"/>
        </w:rPr>
        <w:t xml:space="preserve">O que é: processo de fechamento do caixa do Dental Office.</w:t>
      </w:r>
    </w:p>
    <w:p>
      <w:pPr>
        <w:spacing w:after="160" w:line="300"/>
      </w:pPr>
      <w:r>
        <w:rPr>
          <w:sz w:val="21"/>
          <w:szCs w:val="21"/>
        </w:rPr>
        <w:t xml:space="preserve">Contexto de uso: o colaborador recebe, por WhatsApp, um relatório com o fechamento do caixa feito no Dental Office.</w:t>
      </w: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Custo mensal para funcionar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WhatsApp automático (Z-API)</w:t>
      </w:r>
      <w:r>
        <w:rPr>
          <w:sz w:val="21"/>
          <w:szCs w:val="21"/>
        </w:rPr>
        <w:t xml:space="preserve"> — R$ 100/mês. Usado para encaminhar o relatório de fechamento ao WhatsApp do colaborador. Hoje usa o mesmo número (e a mesma assinatura) do Gerador de Contratos e da Gestão de Laboratório — a cobrança é por número conectado, não por aplicação (ver seção 4.3).</w:t>
      </w:r>
    </w:p>
    <w:p>
      <w:pPr>
        <w:spacing w:after="160" w:line="300"/>
      </w:pPr>
      <w:r>
        <w:rPr>
          <w:b/>
          <w:bCs/>
          <w:color w:val="0B2A57"/>
          <w:sz w:val="21"/>
          <w:szCs w:val="21"/>
        </w:rPr>
        <w:t xml:space="preserve">Total: R$ 100/mês.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2.7. Cálculo da Coordenação</w:t>
      </w:r>
    </w:p>
    <w:p>
      <w:pPr>
        <w:spacing w:after="160" w:line="300"/>
      </w:pPr>
      <w:r>
        <w:rPr>
          <w:sz w:val="21"/>
          <w:szCs w:val="21"/>
        </w:rPr>
        <w:t xml:space="preserve">O que é: cálculo do relatório de fechamento e do valor a receber por cada coordenador.</w:t>
      </w:r>
    </w:p>
    <w:p>
      <w:pPr>
        <w:spacing w:after="160" w:line="300"/>
      </w:pPr>
      <w:r>
        <w:rPr>
          <w:sz w:val="21"/>
          <w:szCs w:val="21"/>
        </w:rPr>
        <w:t xml:space="preserve">Contexto de uso: usado pela coordenação para consultar o fechamento e o valor a receber apurado para cada coordenador.</w:t>
      </w: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Custo mensal para funcionar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Hospedagem (Railway)</w:t>
      </w:r>
      <w:r>
        <w:rPr>
          <w:sz w:val="21"/>
          <w:szCs w:val="21"/>
        </w:rPr>
        <w:t xml:space="preserve"> — R$ 100/mês (mesma assinatura compartilhada por todo o Painel).</w:t>
      </w:r>
    </w:p>
    <w:p>
      <w:pPr>
        <w:spacing w:after="160" w:line="300"/>
      </w:pPr>
      <w:r>
        <w:rPr>
          <w:b/>
          <w:bCs/>
          <w:color w:val="0B2A57"/>
          <w:sz w:val="21"/>
          <w:szCs w:val="21"/>
        </w:rPr>
        <w:t xml:space="preserve">Total: R$ 100/mês.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2.8. Gerador de Contratos e Termos de Consentimento</w:t>
      </w:r>
    </w:p>
    <w:p>
      <w:pPr>
        <w:spacing w:after="160" w:line="300"/>
      </w:pPr>
      <w:r>
        <w:rPr>
          <w:sz w:val="21"/>
          <w:szCs w:val="21"/>
        </w:rPr>
        <w:t xml:space="preserve">O que é: gera contratos e termos de consentimento odontológico personalizados para cada paciente e conduz a assinatura digital do documento, sem precisar de papel nem de outro programa.</w:t>
      </w:r>
    </w:p>
    <w:p>
      <w:pPr>
        <w:spacing w:after="160" w:line="300"/>
      </w:pPr>
      <w:r>
        <w:rPr>
          <w:sz w:val="21"/>
          <w:szCs w:val="21"/>
        </w:rPr>
        <w:t xml:space="preserve">Contexto de uso: usado pelos colaboradores da recepção/clínica no momento do atendimento. O sistema monta o documento com os dados do paciente e do procedimento, e o paciente assina na hora — pelo próprio celular, lendo um QR Code, ou num totem dedicado da clínica —, com o arquivo assinado sendo enviado automaticamente ao Dental Office e por WhatsApp. Por ser a ferramenta mais recente e a que envolve validade jurídica, ela é detalhada em profundidade na próxima seção.</w:t>
      </w: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Custo mensal para funcionar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Hospedagem (Railway)</w:t>
      </w:r>
      <w:r>
        <w:rPr>
          <w:sz w:val="21"/>
          <w:szCs w:val="21"/>
        </w:rPr>
        <w:t xml:space="preserve"> — R$ 100/mês (mesma assinatura compartilhada por todo o Painel).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WhatsApp automático (Z-API)</w:t>
      </w:r>
      <w:r>
        <w:rPr>
          <w:sz w:val="21"/>
          <w:szCs w:val="21"/>
        </w:rPr>
        <w:t xml:space="preserve"> — R$ 100/mês. Usado para enviar automaticamente o contrato assinado ao paciente. Hoje usa o mesmo número (e a mesma assinatura) da Gestão de Laboratório e do Fechamento do CAP — a cobrança é por número conectado, não por aplicação (ver seção 4.3).</w:t>
      </w:r>
    </w:p>
    <w:p>
      <w:pPr>
        <w:spacing w:after="160" w:line="300"/>
      </w:pPr>
      <w:r>
        <w:rPr>
          <w:b/>
          <w:bCs/>
          <w:color w:val="0B2A57"/>
          <w:sz w:val="21"/>
          <w:szCs w:val="21"/>
        </w:rPr>
        <w:t xml:space="preserve">Total: R$ 200/mês. O envio por e-mail (alternativa ao WhatsApp) e a assinatura digital e o carimbo de tempo não têm custo adicional hoje.</w:t>
      </w:r>
    </w:p>
    <w:p>
      <w:pPr>
        <w:spacing w:after="160" w:line="300"/>
      </w:pPr>
      <w:r>
        <w:rPr>
          <w:sz w:val="21"/>
          <w:szCs w:val="21"/>
        </w:rPr>
        <w:t xml:space="preserve">Esse custo é fixo, não por documento: gerar e assinar mais contratos no mês — um só ou várias centenas — não aumenta a fatura da hospedagem nem a do WhatsApp. Diferente da maioria das plataformas de assinatura do mercado (seção 3.4), que cobram por envelope ou por documento, aqui a assinatura digital em si (geração do PDF, hash, carimbo de tempo) não tem nenhum custo associado ao volume de contratos gerados.</w:t>
      </w:r>
    </w:p>
    <w:p>
      <w:r>
        <w:br w:type="page"/>
      </w:r>
    </w:p>
    <w:p>
      <w:pPr>
        <w:pStyle w:val="Heading1"/>
        <w:pBdr>
          <w:bottom w:val="single" w:color="1D6EEE" w:sz="6" w:space="4"/>
        </w:pBdr>
        <w:spacing w:after="160" w:before="360"/>
      </w:pPr>
      <w:r>
        <w:rPr>
          <w:b/>
          <w:bCs/>
          <w:color w:val="0B2A57"/>
          <w:sz w:val="30"/>
          <w:szCs w:val="30"/>
        </w:rPr>
        <w:t xml:space="preserve">3. Assinatura digital no Gerador de Contratos</w:t>
      </w:r>
    </w:p>
    <w:p>
      <w:pPr>
        <w:spacing w:after="160" w:line="300"/>
      </w:pPr>
      <w:r>
        <w:rPr>
          <w:sz w:val="21"/>
          <w:szCs w:val="21"/>
        </w:rPr>
        <w:t xml:space="preserve">Esta seção detalha o funcionamento e a base jurídica da assinatura digital usada no Gerador de Contratos — para quem precisa entender, ou decidir sobre o futuro, dessa parte do sistema.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3.1. Diagnóstico da solução atual</w:t>
      </w:r>
    </w:p>
    <w:p>
      <w:pPr>
        <w:spacing w:after="160" w:line="300"/>
      </w:pPr>
      <w:r>
        <w:rPr>
          <w:sz w:val="21"/>
          <w:szCs w:val="21"/>
        </w:rPr>
        <w:t xml:space="preserve">A assinatura está implementada no próprio Gerador de Contratos, sem depender de nenhuma plataforma externa. O fluxo combina identificação do paciente, assinatura manuscrita digitalizada e uma trilha de evidências técnica, em cinco etapas: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Sessão remota com token seguro</w:t>
      </w:r>
      <w:r>
        <w:rPr>
          <w:sz w:val="21"/>
          <w:szCs w:val="21"/>
        </w:rPr>
        <w:t xml:space="preserve"> — o link de assinatura é gerado com uma chave assinada pelo servidor; nenhum segredo fica gravado no banco, a validade tem prazo e o link só pode ser usado uma vez.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Confirmação de identidade</w:t>
      </w:r>
      <w:r>
        <w:rPr>
          <w:sz w:val="21"/>
          <w:szCs w:val="21"/>
        </w:rPr>
        <w:t xml:space="preserve"> — antes de liberar a assinatura, o paciente (ou responsável, se for menor de idade) confirma um dado pessoal, com limite de tentativas, além de uma confirmação presencial opcional feita por um colaborador.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Assinatura manuscrita digitalizada</w:t>
      </w:r>
      <w:r>
        <w:rPr>
          <w:sz w:val="21"/>
          <w:szCs w:val="21"/>
        </w:rPr>
        <w:t xml:space="preserve"> — o paciente desenha a própria assinatura na tela; a imagem é validada e aplicada sobre a linha de assinatura do PDF.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Carimbo de auditoria e trilha de eventos</w:t>
      </w:r>
      <w:r>
        <w:rPr>
          <w:sz w:val="21"/>
          <w:szCs w:val="21"/>
        </w:rPr>
        <w:t xml:space="preserve"> — data, hora e IP ficam registrados no rodapé do PDF e num histórico completo (abertura do link, confirmação de identidade, horários).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Verificação de integridade e carimbo de tempo</w:t>
      </w:r>
      <w:r>
        <w:rPr>
          <w:sz w:val="21"/>
          <w:szCs w:val="21"/>
        </w:rPr>
        <w:t xml:space="preserve"> — o sistema calcula uma “impressão digital” do PDF assinado (explicada a seguir) e, quando configurado, também obtém de uma autoridade externa um comprovante independente de data e hora do documento.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3.2. Como o sistema valida um documento</w:t>
      </w:r>
    </w:p>
    <w:p>
      <w:pPr>
        <w:spacing w:after="160" w:line="300"/>
      </w:pPr>
      <w:r>
        <w:rPr>
          <w:sz w:val="21"/>
          <w:szCs w:val="21"/>
        </w:rPr>
        <w:t xml:space="preserve">Esta parte explica, sem termos técnicos, o mecanismo que permite ao sistema provar que um documento é autêntico e que não foi alterado depois de assinado — sem depender de nenhum software de terceiros. Esse mecanismo se chama hash.</w:t>
      </w: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O que é um hash — a impressão digital do arquivo</w:t>
      </w:r>
    </w:p>
    <w:p>
      <w:pPr>
        <w:spacing w:after="160" w:line="300"/>
      </w:pPr>
      <w:r>
        <w:rPr>
          <w:sz w:val="21"/>
          <w:szCs w:val="21"/>
        </w:rPr>
        <w:t xml:space="preserve">Pense no hash como a impressão digital do arquivo: um código curto, calculado a partir de todo o conteúdo do documento. Ele tem uma propriedade essencial: mudar qualquer coisa no documento — uma vírgula, um valor, um pixel da assinatura — gera um código completamente diferente. Duas frases quase idênticas, mudando só um número, já produzem impressões digitais sem nenhuma semelhança entre si:</w:t>
      </w:r>
    </w:p>
    <w:tbl>
      <w:tblPr>
        <w:tblW w:type="dxa" w:w="9400"/>
        <w:tblBorders>
          <w:top w:val="single" w:color="D9E2EC" w:sz="4"/>
          <w:left w:val="single" w:color="D9E2EC" w:sz="4"/>
          <w:bottom w:val="single" w:color="D9E2EC" w:sz="4"/>
          <w:right w:val="single" w:color="D9E2EC" w:sz="4"/>
          <w:insideH w:val="single" w:color="D9E2EC" w:sz="4"/>
          <w:insideV w:val="single" w:color="D9E2EC" w:sz="4"/>
        </w:tblBorders>
      </w:tblPr>
      <w:tblGrid>
        <w:gridCol w:w="5400"/>
        <w:gridCol w:w="4000"/>
      </w:tblGrid>
      <w:tr>
        <w:trPr>
          <w:tblHeader/>
        </w:trPr>
        <w:tc>
          <w:tcPr>
            <w:tcW w:type="dxa" w:w="54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Conteúdo do documento</w:t>
            </w:r>
          </w:p>
        </w:tc>
        <w:tc>
          <w:tcPr>
            <w:tcW w:type="dxa" w:w="40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Impressão digital (início)</w:t>
            </w:r>
          </w:p>
        </w:tc>
      </w:tr>
      <w:tr>
        <w:tc>
          <w:tcPr>
            <w:tcW w:type="dxa" w:w="5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“…valor de R$ 500,00”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103a3c3eea07f288…</w:t>
            </w:r>
          </w:p>
        </w:tc>
      </w:tr>
      <w:tr>
        <w:tc>
          <w:tcPr>
            <w:tcW w:type="dxa" w:w="5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“…valor de R$ 900,00”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fadb3ba860f2694a…</w:t>
            </w:r>
          </w:p>
        </w:tc>
      </w:tr>
    </w:tbl>
    <w:p>
      <w:pPr>
        <w:spacing w:after="160"/>
      </w:pPr>
    </w:p>
    <w:p>
      <w:pPr>
        <w:spacing w:after="160" w:line="300"/>
      </w:pPr>
      <w:r>
        <w:rPr>
          <w:sz w:val="21"/>
          <w:szCs w:val="21"/>
        </w:rPr>
        <w:t xml:space="preserve">Apenas um caractere mudou (5 → 9), e o resultado não tem nenhuma semelhança com o anterior — por isso qualquer adulteração, por menor que seja, é detectada.</w:t>
      </w: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Como a validação acontece na prática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No momento da assinatura, o sistema calcula a impressão digital do PDF assinado e a guarda em seu registro.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Na hora de validar, qualquer pessoa envia o PDF numa página pública de validação, e o sistema recalcula a impressão digital do arquivo recebido.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O sistema compara as duas impressões digitais: se forem iguais, o documento é autêntico e íntegro; se forem diferentes, o arquivo foi alterado ou não foi emitido por esta plataforma.</w:t>
      </w:r>
    </w:p>
    <w:p>
      <w:pPr>
        <w:spacing w:after="160" w:line="300"/>
      </w:pPr>
      <w:r>
        <w:rPr>
          <w:sz w:val="21"/>
          <w:szCs w:val="21"/>
        </w:rPr>
        <w:t xml:space="preserve">Como reforço adicional, o sistema pode anexar um carimbo de tempo (RFC 3161): um atestado de data e hora emitido por uma autoridade externa e independente, provando não só que o documento não mudou, mas também desde quando ele existe.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3.3. Tipos de assinatura eletrônica no Brasil</w:t>
      </w:r>
    </w:p>
    <w:p>
      <w:pPr>
        <w:spacing w:after="160" w:line="300"/>
      </w:pPr>
      <w:r>
        <w:rPr>
          <w:sz w:val="21"/>
          <w:szCs w:val="21"/>
        </w:rPr>
        <w:t xml:space="preserve">A legislação brasileira (Lei nº 14.063/2020) define três níveis de assinatura eletrônica, em ordem crescente de força de prova:</w:t>
      </w:r>
    </w:p>
    <w:tbl>
      <w:tblPr>
        <w:tblW w:type="dxa" w:w="9400"/>
        <w:tblBorders>
          <w:top w:val="single" w:color="D9E2EC" w:sz="4"/>
          <w:left w:val="single" w:color="D9E2EC" w:sz="4"/>
          <w:bottom w:val="single" w:color="D9E2EC" w:sz="4"/>
          <w:right w:val="single" w:color="D9E2EC" w:sz="4"/>
          <w:insideH w:val="single" w:color="D9E2EC" w:sz="4"/>
          <w:insideV w:val="single" w:color="D9E2EC" w:sz="4"/>
        </w:tblBorders>
      </w:tblPr>
      <w:tblGrid>
        <w:gridCol w:w="1700"/>
        <w:gridCol w:w="4000"/>
        <w:gridCol w:w="3700"/>
      </w:tblGrid>
      <w:tr>
        <w:trPr>
          <w:tblHeader/>
        </w:trPr>
        <w:tc>
          <w:tcPr>
            <w:tcW w:type="dxa" w:w="17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Nível</w:t>
            </w:r>
          </w:p>
        </w:tc>
        <w:tc>
          <w:tcPr>
            <w:tcW w:type="dxa" w:w="40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7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Validade jurídica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Simples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Identifica o signatário e associa dados a ele (ex.: aceite, assinatura desenhada, confirmação por e-mail/SMS).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Válida para atos de baixo/médio risco; a prova pode exigir evidências adicionais (logs, IP).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Avançada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Usa certificado próprio ou outros meios fortes de comprovar autoria, aceitos pelas partes.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Válida, com boa força de prova; aceita até perante o poder público (salvo exceções).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Qualificada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Usa certificado digital ICP-Brasil (o mesmo padrão do e-CPF/e-CNPJ).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Presunção legal de autenticidade; equivale à assinatura de próprio punho.</w:t>
            </w:r>
          </w:p>
        </w:tc>
      </w:tr>
    </w:tbl>
    <w:p>
      <w:pPr>
        <w:spacing w:after="160"/>
      </w:pP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Em qual categoria o sistema se encontra hoje</w:t>
      </w:r>
    </w:p>
    <w:p>
      <w:pPr>
        <w:spacing w:after="160" w:line="300"/>
      </w:pPr>
      <w:r>
        <w:rPr>
          <w:sz w:val="21"/>
          <w:szCs w:val="21"/>
        </w:rPr>
        <w:t xml:space="preserve">O sistema atual é uma Assinatura Eletrônica Simples, com trilha de evidências reforçada. Ele cumpre o requisito da assinatura simples e vai além da média do mercado em integridade — impressão digital do documento, carimbo de tempo de terceiro e trilha de auditoria detalhada.</w:t>
      </w:r>
    </w:p>
    <w:p>
      <w:pPr>
        <w:spacing w:after="160" w:line="300"/>
      </w:pPr>
      <w:r>
        <w:rPr>
          <w:sz w:val="21"/>
          <w:szCs w:val="21"/>
        </w:rPr>
        <w:t xml:space="preserve">Para se tornar formalmente “avançada”, faltaria vincular a autoria a um fator sob controle exclusivo do paciente (certificado próprio, biometria facial com prova de vida ou identidade gov.br) — hoje a confirmação de identidade usa um dado pessoal, um controle relativamente mais simples.</w:t>
      </w:r>
    </w:p>
    <w:p>
      <w:pPr>
        <w:spacing w:after="160" w:line="300"/>
      </w:pPr>
      <w:r>
        <w:rPr>
          <w:sz w:val="21"/>
          <w:szCs w:val="21"/>
        </w:rPr>
        <w:t xml:space="preserve">Isso não é um problema para o uso atual: para termos de consentimento e contratos odontológicos entre a clínica e o paciente, a assinatura simples já tem validade jurídica — e a implementação em uso é, inclusive, mais robusta que muitas soluções “simples” disponíveis no mercado.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3.4. Comparação com plataformas do mercado</w:t>
      </w:r>
    </w:p>
    <w:p>
      <w:pPr>
        <w:spacing w:after="160" w:line="300"/>
      </w:pPr>
      <w:r>
        <w:rPr>
          <w:sz w:val="21"/>
          <w:szCs w:val="21"/>
        </w:rPr>
        <w:t xml:space="preserve">Existem diversas plataformas brasileiras especializadas em assinatura eletrônica. O quadro abaixo resume sete das principais do mercado (preços de referência coletados em julho de 2026):</w:t>
      </w:r>
    </w:p>
    <w:tbl>
      <w:tblPr>
        <w:tblW w:type="dxa" w:w="9400"/>
        <w:tblBorders>
          <w:top w:val="single" w:color="D9E2EC" w:sz="4"/>
          <w:left w:val="single" w:color="D9E2EC" w:sz="4"/>
          <w:bottom w:val="single" w:color="D9E2EC" w:sz="4"/>
          <w:right w:val="single" w:color="D9E2EC" w:sz="4"/>
          <w:insideH w:val="single" w:color="D9E2EC" w:sz="4"/>
          <w:insideV w:val="single" w:color="D9E2EC" w:sz="4"/>
        </w:tblBorders>
      </w:tblPr>
      <w:tblGrid>
        <w:gridCol w:w="2200"/>
        <w:gridCol w:w="2100"/>
        <w:gridCol w:w="2200"/>
        <w:gridCol w:w="2900"/>
      </w:tblGrid>
      <w:tr>
        <w:trPr>
          <w:tblHeader/>
        </w:trPr>
        <w:tc>
          <w:tcPr>
            <w:tcW w:type="dxa" w:w="22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Plataforma</w:t>
            </w:r>
          </w:p>
        </w:tc>
        <w:tc>
          <w:tcPr>
            <w:tcW w:type="dxa" w:w="21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Entrada (R$/mês)</w:t>
            </w:r>
          </w:p>
        </w:tc>
        <w:tc>
          <w:tcPr>
            <w:tcW w:type="dxa" w:w="22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Modelo</w:t>
            </w:r>
          </w:p>
        </w:tc>
        <w:tc>
          <w:tcPr>
            <w:tcW w:type="dxa" w:w="29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Destaque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Autentique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Grátis / 99 · API por doc.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Assinatura ou pague-por-uso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Melhor para embutir via API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ZapSign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Grátis / 29,90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Assinatura + créditos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Custo-benefício, WhatsApp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ClickSign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39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Assinatura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Certificações ISO, foco corporativo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Assinadoc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Ilimitado, preço fixo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API rica, 30+ endpoints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SuperSign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Grátis / 38,90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Assinatura ou pré-pago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Selfie + documento, flexível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ContraktorSign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Grátis / 19,90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Assinatura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Gestão do ciclo de vida do contrato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TOTVS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78,84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Por pacote de envelopes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ICP-Brasil qualificada + ERP TOTVS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3.5. Por que a solução atual não usa uma dessas plataformas</w:t>
      </w:r>
    </w:p>
    <w:p>
      <w:pPr>
        <w:spacing w:after="160" w:line="300"/>
      </w:pPr>
      <w:r>
        <w:rPr>
          <w:sz w:val="21"/>
          <w:szCs w:val="21"/>
        </w:rPr>
        <w:t xml:space="preserve">Adotar uma dessas plataformas traria benefícios reais: a responsabilidade jurídica passaria a ser sustentada por um especialista testado em juízo, com relatórios de assinatura padronizados; a identidade forte (biometria facial, validação de CPF, gov.br) viria pronta, sem desenvolvimento próprio; existiria um caminho pronto para a assinatura qualificada ICP-Brasil, se algum dia for exigida; e a manutenção técnica (carimbo de tempo, criptografia, conformidade) passaria a ser responsabilidade do fornecedor.</w:t>
      </w:r>
    </w:p>
    <w:p>
      <w:pPr>
        <w:spacing w:after="160" w:line="300"/>
      </w:pPr>
      <w:r>
        <w:rPr>
          <w:sz w:val="21"/>
          <w:szCs w:val="21"/>
        </w:rPr>
        <w:t xml:space="preserve">Esses benefícios, porém, vêm com contrapartidas que hoje não se justificam: passaria a existir uma mensalidade ou um custo por documento onde hoje o custo marginal é praticamente zero; o fluxo de assinatura, os links e o armazenamento passariam a depender de um fornecedor externo (com custo de migração se um dia for preciso trocar); dados sensíveis de pacientes passariam a trafegar por um terceiro, exigindo um novo contrato de tratamento de dados sob a LGPD; seria necessário refazer a integração já existente (QR Code, totem, WhatsApp, envio ao Dental Office) para a API do fornecedor; e a clínica perderia o controle total que tem hoje sobre a experiência de assinatura (tela própria, confirmação presencial, tratamento de menores de idade).</w:t>
      </w:r>
    </w:p>
    <w:p>
      <w:pPr>
        <w:spacing w:after="160" w:line="300"/>
      </w:pPr>
      <w:r>
        <w:rPr>
          <w:sz w:val="21"/>
          <w:szCs w:val="21"/>
        </w:rPr>
        <w:t xml:space="preserve">Como a assinatura eletrônica simples já é juridicamente válida para termos de consentimento e contratos odontológicos, e a implementação atual já é mais robusta que a média do mercado (impressão digital do documento + carimbo de tempo + trilha de auditoria + confirmação de identidade e presencial), não há hoje uma necessidade real que justifique assumir o custo recorrente e a dependência de uma plataforma externa — por isso a solução própria foi mantida.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3.6. Recomendação: qual plataforma adotar, se um dia for necessário</w:t>
      </w:r>
    </w:p>
    <w:p>
      <w:pPr>
        <w:spacing w:after="160" w:line="300"/>
      </w:pPr>
      <w:r>
        <w:rPr>
          <w:sz w:val="21"/>
          <w:szCs w:val="21"/>
        </w:rPr>
        <w:t xml:space="preserve">Caso surja uma necessidade real — por exemplo, a exigência de assinatura qualificada ICP-Brasil para algum tipo de documento —, o modelo recomendado é o de integração via API (pague-por-uso), que se encaixa no fluxo já existente: o Painel continua orquestrando o atendimento, e a plataforma escolhida entra só para assinar/carimbar o documento. Dentro desse cenário: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Autentique</w:t>
      </w:r>
      <w:r>
        <w:rPr>
          <w:sz w:val="21"/>
          <w:szCs w:val="21"/>
        </w:rPr>
        <w:t xml:space="preserve"> — primeira opção a testar: melhor custo por documento via API, ambiente de testes gratuito, com biometria e certificado ICP-Brasil disponíveis quando necessário.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Assinadoc</w:t>
      </w:r>
      <w:r>
        <w:rPr>
          <w:sz w:val="21"/>
          <w:szCs w:val="21"/>
        </w:rPr>
        <w:t xml:space="preserve"> — alternativa se a preferência for preço fixo com documentos ilimitados e uma API mais rica.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ZapSign</w:t>
      </w:r>
      <w:r>
        <w:rPr>
          <w:sz w:val="21"/>
          <w:szCs w:val="21"/>
        </w:rPr>
        <w:t xml:space="preserve"> — alternativa se o foco for o menor custo possível e o envio prioritário pelo WhatsApp.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TOTVS</w:t>
      </w:r>
      <w:r>
        <w:rPr>
          <w:sz w:val="21"/>
          <w:szCs w:val="21"/>
        </w:rPr>
        <w:t xml:space="preserve"> — apenas se for necessária assinatura qualificada ICP-Brasil em escala corporativa, ou integração com um ERP TOTVS já em uso.</w:t>
      </w:r>
    </w:p>
    <w:p>
      <w:r>
        <w:br w:type="page"/>
      </w:r>
    </w:p>
    <w:p>
      <w:pPr>
        <w:pStyle w:val="Heading1"/>
        <w:pBdr>
          <w:bottom w:val="single" w:color="1D6EEE" w:sz="6" w:space="4"/>
        </w:pBdr>
        <w:spacing w:after="160" w:before="360"/>
      </w:pPr>
      <w:r>
        <w:rPr>
          <w:b/>
          <w:bCs/>
          <w:color w:val="0B2A57"/>
          <w:sz w:val="30"/>
          <w:szCs w:val="30"/>
        </w:rPr>
        <w:t xml:space="preserve">4. Custo geral de todas as ferramentas</w:t>
      </w:r>
    </w:p>
    <w:p>
      <w:pPr>
        <w:spacing w:after="160" w:line="300"/>
      </w:pPr>
      <w:r>
        <w:rPr>
          <w:sz w:val="21"/>
          <w:szCs w:val="21"/>
        </w:rPr>
        <w:t xml:space="preserve">A maior parte das ferramentas foi desenvolvida internamente e não gera mensalidade própria (assinatura eletrônica dos contratos, geração de identificadores de bancada, carimbo de tempo — hoje gratuito via autoridade pública FreeTSA — e as integrações com o Dental Office e o Eduq, sistemas já contratados pela ABO Goiás independentemente deste Painel). Apenas dois itens geram custo recorrente hoje — a hospedagem do servidor e o envio automático de WhatsApp —, detalhados junto de cada ferramenta na seção 2. Valores de referência pesquisados em julho de 2026, sujeitos a alteração pelos próprios fornecedores.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4.1. Relação de custo por aplicação</w:t>
      </w:r>
    </w:p>
    <w:p>
      <w:pPr>
        <w:spacing w:after="160" w:line="300"/>
      </w:pPr>
      <w:r>
        <w:rPr>
          <w:sz w:val="21"/>
          <w:szCs w:val="21"/>
        </w:rPr>
        <w:t xml:space="preserve">Cada linha soma o custo de todas as funções pagas daquela aplicação, no cenário de hoje — o detalhamento de cada item está na seção 2, junto da ferramenta correspondente:</w:t>
      </w:r>
    </w:p>
    <w:tbl>
      <w:tblPr>
        <w:tblW w:type="dxa" w:w="9400"/>
        <w:tblBorders>
          <w:top w:val="single" w:color="D9E2EC" w:sz="4"/>
          <w:left w:val="single" w:color="D9E2EC" w:sz="4"/>
          <w:bottom w:val="single" w:color="D9E2EC" w:sz="4"/>
          <w:right w:val="single" w:color="D9E2EC" w:sz="4"/>
          <w:insideH w:val="single" w:color="D9E2EC" w:sz="4"/>
          <w:insideV w:val="single" w:color="D9E2EC" w:sz="4"/>
        </w:tblBorders>
      </w:tblPr>
      <w:tblGrid>
        <w:gridCol w:w="4400"/>
        <w:gridCol w:w="2600"/>
        <w:gridCol w:w="2400"/>
      </w:tblGrid>
      <w:tr>
        <w:trPr>
          <w:tblHeader/>
        </w:trPr>
        <w:tc>
          <w:tcPr>
            <w:tcW w:type="dxa" w:w="44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Aplicação</w:t>
            </w:r>
          </w:p>
        </w:tc>
        <w:tc>
          <w:tcPr>
            <w:tcW w:type="dxa" w:w="26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Itens pagos</w:t>
            </w:r>
          </w:p>
        </w:tc>
        <w:tc>
          <w:tcPr>
            <w:tcW w:type="dxa" w:w="24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Custo mensal</w:t>
            </w:r>
          </w:p>
        </w:tc>
      </w:tr>
      <w:tr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Portal e Acesso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Hospedagem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R$ 100</w:t>
            </w:r>
          </w:p>
        </w:tc>
      </w:tr>
      <w:tr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Gestão de CME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Hospedagem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R$ 100</w:t>
            </w:r>
          </w:p>
        </w:tc>
      </w:tr>
      <w:tr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Gestão de Laboratório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Hospedagem + WhatsApp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R$ 200</w:t>
            </w:r>
          </w:p>
        </w:tc>
      </w:tr>
      <w:tr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Gerador de Identificadores de Bancada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Hospedagem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R$ 100</w:t>
            </w:r>
          </w:p>
        </w:tc>
      </w:tr>
      <w:tr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Gestão de Usuários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Hospedagem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R$ 100</w:t>
            </w:r>
          </w:p>
        </w:tc>
      </w:tr>
      <w:tr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Fechamento do CAP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WhatsApp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R$ 100</w:t>
            </w:r>
          </w:p>
        </w:tc>
      </w:tr>
      <w:tr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Cálculo da Coordenação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Hospedagem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R$ 100</w:t>
            </w:r>
          </w:p>
        </w:tc>
      </w:tr>
      <w:tr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Gerador de Contratos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Hospedagem + WhatsApp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R$ 200</w:t>
            </w:r>
          </w:p>
        </w:tc>
      </w:tr>
    </w:tbl>
    <w:p>
      <w:pPr>
        <w:spacing w:after="160"/>
      </w:pPr>
    </w:p>
    <w:p>
      <w:pPr>
        <w:spacing w:after="160" w:line="300"/>
      </w:pPr>
      <w:r>
        <w:rPr>
          <w:sz w:val="21"/>
          <w:szCs w:val="21"/>
        </w:rPr>
        <w:t xml:space="preserve">Importante: a hospedagem é uma única assinatura, compartilhada por todas as ferramentas — por isso ela se repete em várias linhas acima, mas é paga uma única vez, não uma vez por linha. Já o WhatsApp automático (Z-API) hoje também é uma única assinatura (um único número), usada pela Gestão de Laboratório, pelo Gerador de Contratos e pelo Fechamento do CAP — mas, diferente da hospedagem, esse compartilhamento é uma opção, não uma característica do serviço: a seção 4.3 explica como a cobrança muda se cada aplicação passar a usar seu próprio número. Por isso, somar a coluna "Custo mensal" diretamente resultaria em um valor bem maior do que o gasto real da plataforma, calculado a seguir.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4.2. Custo final da plataforma</w:t>
      </w:r>
    </w:p>
    <w:p>
      <w:pPr>
        <w:spacing w:after="160" w:line="300"/>
      </w:pPr>
      <w:r>
        <w:rPr>
          <w:sz w:val="21"/>
          <w:szCs w:val="21"/>
        </w:rPr>
        <w:t xml:space="preserve">Comparação direta para decisão: manter o servidor próprio de hoje, ou migrar a hospedagem para a Intranet já existente da ABO Goiás. O valor final também depende de quantos números de WhatsApp (Z-API) a plataforma usa — ver 4.3.</w:t>
      </w:r>
    </w:p>
    <w:tbl>
      <w:tblPr>
        <w:tblW w:type="dxa" w:w="9400"/>
        <w:tblBorders>
          <w:top w:val="single" w:color="D9E2EC" w:sz="4"/>
          <w:left w:val="single" w:color="D9E2EC" w:sz="4"/>
          <w:bottom w:val="single" w:color="D9E2EC" w:sz="4"/>
          <w:right w:val="single" w:color="D9E2EC" w:sz="4"/>
          <w:insideH w:val="single" w:color="D9E2EC" w:sz="4"/>
          <w:insideV w:val="single" w:color="D9E2EC" w:sz="4"/>
        </w:tblBorders>
      </w:tblPr>
      <w:tblGrid>
        <w:gridCol w:w="6200"/>
        <w:gridCol w:w="3200"/>
      </w:tblGrid>
      <w:tr>
        <w:trPr>
          <w:tblHeader/>
        </w:trPr>
        <w:tc>
          <w:tcPr>
            <w:tcW w:type="dxa" w:w="62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Cenário</w:t>
            </w:r>
          </w:p>
        </w:tc>
        <w:tc>
          <w:tcPr>
            <w:tcW w:type="dxa" w:w="32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Custo mensal</w:t>
            </w:r>
          </w:p>
        </w:tc>
      </w:tr>
      <w:tr>
        <w:tc>
          <w:tcPr>
            <w:tcW w:type="dxa" w:w="6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Hoje — servidor próprio (Railway) + WhatsApp, número único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R$ 200</w:t>
            </w:r>
          </w:p>
        </w:tc>
      </w:tr>
      <w:tr>
        <w:tc>
          <w:tcPr>
            <w:tcW w:type="dxa" w:w="6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Intranet existente + WhatsApp, número único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R$ 100</w:t>
            </w:r>
          </w:p>
        </w:tc>
      </w:tr>
      <w:tr>
        <w:tc>
          <w:tcPr>
            <w:tcW w:type="dxa" w:w="6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Intranet existente + WhatsApp, um número por aplicação (3 números)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R$ 300</w:t>
            </w:r>
          </w:p>
        </w:tc>
      </w:tr>
    </w:tbl>
    <w:p>
      <w:pPr>
        <w:spacing w:after="200"/>
      </w:pPr>
    </w:p>
    <w:tbl>
      <w:tblPr>
        <w:tblW w:type="dxa" w:w="9400"/>
        <w:tblBorders>
          <w:top w:val="single" w:color="1D6EEE" w:sz="8"/>
          <w:left w:val="single" w:color="1D6EEE" w:sz="8"/>
          <w:bottom w:val="single" w:color="1D6EEE" w:sz="8"/>
          <w:right w:val="single" w:color="1D6EEE" w:sz="8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shd w:fill="EAF1F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0B2A57"/>
                <w:sz w:val="24"/>
                <w:szCs w:val="24"/>
              </w:rPr>
              <w:t xml:space="preserve">Custo hoje: </w:t>
            </w:r>
            <w:r>
              <w:rPr>
                <w:b/>
                <w:bCs/>
                <w:color w:val="1D6EEE"/>
                <w:sz w:val="24"/>
                <w:szCs w:val="24"/>
              </w:rPr>
              <w:t xml:space="preserve">R$ 200/mês</w:t>
            </w:r>
            <w:r>
              <w:rPr>
                <w:b/>
                <w:bCs/>
                <w:color w:val="0B2A57"/>
                <w:sz w:val="24"/>
                <w:szCs w:val="24"/>
              </w:rPr>
              <w:t xml:space="preserve">   ·   Na Intranet existente: </w:t>
            </w:r>
            <w:r>
              <w:rPr>
                <w:b/>
                <w:bCs/>
                <w:color w:val="1D6EEE"/>
                <w:sz w:val="24"/>
                <w:szCs w:val="24"/>
              </w:rPr>
              <w:t xml:space="preserve">R$ 100/mês</w:t>
            </w:r>
            <w:r>
              <w:rPr>
                <w:color w:val="0B2A57"/>
                <w:sz w:val="21"/>
                <w:szCs w:val="21"/>
              </w:rPr>
              <w:t xml:space="preserve"> (número único) ou </w:t>
            </w:r>
            <w:r>
              <w:rPr>
                <w:b/>
                <w:bCs/>
                <w:color w:val="1D6EEE"/>
                <w:sz w:val="24"/>
                <w:szCs w:val="24"/>
              </w:rPr>
              <w:t xml:space="preserve">R$ 300/mês</w:t>
            </w:r>
            <w:r>
              <w:rPr>
                <w:color w:val="0B2A57"/>
                <w:sz w:val="21"/>
                <w:szCs w:val="21"/>
              </w:rPr>
              <w:t xml:space="preserve"> (um número por aplicação)</w:t>
            </w:r>
          </w:p>
          <w:p>
            <w:pPr>
              <w:spacing w:before="100"/>
            </w:pPr>
            <w:r>
              <w:rPr>
                <w:color w:val="0B2A57"/>
                <w:sz w:val="21"/>
                <w:szCs w:val="21"/>
              </w:rPr>
              <w:t xml:space="preserve">Migrar para a Intranet existente elimina o custo de hospedagem (R$ 100/mês); o WhatsApp automático continua necessário de qualquer forma. Valores de referência: hospedagem a partir do plano Pro da Railway (~US$ 20/mês, cotação de US$ 1 = R$ 5,08); WhatsApp dentro da faixa de R$ 55 a R$ 99/mês pesquisada — ambos arredondados para R$ 100 para simplificar a leitura. Pesquisa de julho de 2026, sujeita a reajuste dos fornecedores.</w:t>
            </w:r>
          </w:p>
        </w:tc>
      </w:tr>
    </w:tbl>
    <w:p>
      <w:pPr>
        <w:spacing w:after="260"/>
      </w:pP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4.3. Por que o WhatsApp é cobrado por número</w:t>
      </w:r>
    </w:p>
    <w:p>
      <w:pPr>
        <w:spacing w:after="160" w:line="300"/>
      </w:pPr>
      <w:r>
        <w:rPr>
          <w:sz w:val="21"/>
          <w:szCs w:val="21"/>
        </w:rPr>
        <w:t xml:space="preserve">O Z-API cobra por número de WhatsApp conectado à assinatura — não por mensagem enviada, nem por quantidade de aplicações que utilizam esse número. Hoje a Gestão de Laboratório, o Gerador de Contratos e o Fechamento do CAP dividem o mesmo número e a mesma assinatura (R$ 100/mês, contado uma única vez na tabela da seção 4.2). Se um dia for necessário um número próprio por aplicação, cada número adicional soma mais R$ 100/mês ao custo da plataforma, sem alterar o custo de hospedagem — é essa a diferença entre as linhas "número único" e "número por aplicação" da tabela em 4.2.</w:t>
      </w:r>
    </w:p>
    <w:p>
      <w:r>
        <w:br w:type="page"/>
      </w:r>
    </w:p>
    <w:p>
      <w:pPr>
        <w:pStyle w:val="Heading1"/>
        <w:pBdr>
          <w:bottom w:val="single" w:color="1D6EEE" w:sz="6" w:space="4"/>
        </w:pBdr>
        <w:spacing w:after="160" w:before="360"/>
      </w:pPr>
      <w:r>
        <w:rPr>
          <w:b/>
          <w:bCs/>
          <w:color w:val="0B2A57"/>
          <w:sz w:val="30"/>
          <w:szCs w:val="30"/>
        </w:rPr>
        <w:t xml:space="preserve">Fontes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Lei nº 14.063/2020 — Planalto.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Z-API — planos e preços (pesquisa de mercado, julho de 2026).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Railway — Pricing Plans, docs.railway.com (pesquisa de mercado, julho de 2026).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Repositório do Painel ABO Goiás — código-fonte de gestao_cme, gestao_lab, identificadores, gestao_contratos, contas e mensageria (.env.example, requirements.txt).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2026-07-24T13:49:53.437Z</dcterms:created>
  <dcterms:modified xsi:type="dcterms:W3CDTF">2026-07-24T13:49:53.446Z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