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b/>
          <w:bCs/>
          <w:color w:val="595959"/>
          <w:sz w:val="26"/>
          <w:szCs w:val="26"/>
        </w:rPr>
        <w:t xml:space="preserve">PAINEL ABO GOIÁS</w:t>
      </w:r>
    </w:p>
    <w:p>
      <w:pPr>
        <w:pBdr>
          <w:bottom w:val="single" w:color="1F3864" w:sz="12" w:space="8"/>
        </w:pBdr>
        <w:jc w:val="center"/>
      </w:pPr>
    </w:p>
    <w:p>
      <w:pPr>
        <w:spacing w:after="120" w:before="360"/>
        <w:jc w:val="center"/>
      </w:pPr>
      <w:r>
        <w:rPr>
          <w:b/>
          <w:bCs/>
          <w:color w:val="1F3864"/>
          <w:sz w:val="52"/>
          <w:szCs w:val="52"/>
        </w:rPr>
        <w:t xml:space="preserve">Assinatura Digital de Documentos</w:t>
      </w:r>
    </w:p>
    <w:p>
      <w:pPr>
        <w:spacing w:after="480"/>
        <w:jc w:val="center"/>
      </w:pPr>
      <w:r>
        <w:rPr>
          <w:color w:val="2E5496"/>
          <w:sz w:val="28"/>
          <w:szCs w:val="28"/>
        </w:rPr>
        <w:t xml:space="preserve">Diagnóstico da solução atual e estudo comparativo de plataformas de mercado</w:t>
      </w:r>
    </w:p>
    <w:p>
      <w:pPr>
        <w:jc w:val="center"/>
      </w:pPr>
      <w:r>
        <w:rPr>
          <w:i/>
          <w:iCs/>
          <w:color w:val="595959"/>
          <w:sz w:val="22"/>
          <w:szCs w:val="22"/>
        </w:rPr>
        <w:t xml:space="preserve">Documento de apoio à decisão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Elaborado por: Equipe de Desenvolvimento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Data: 13 de julho de 2026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Sumário executivo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Painel ABO Goiás realiza hoje a assinatura e a validação de documentos (termos de consentimento e contratos odontológicos) com uma implementação própria, sem depender de software de terceiros. Este documento avalia as condições atuais dessa solução, classifica-a juridicamente e a compara com as principais plataformas de assinatura eletrônica do mercado brasileiro, para subsidiar a decisão sobre adotar (ou não) uma solução externa em definitivo.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Conclusões principais: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A solução atual é classificada como </w:t>
      </w:r>
      <w:r>
        <w:rPr>
          <w:b/>
          <w:bCs/>
          <w:sz w:val="21"/>
          <w:szCs w:val="21"/>
        </w:rPr>
        <w:t xml:space="preserve">Assinatura Eletrônica Simples com trilha de evidências reforçada</w:t>
      </w:r>
      <w:r>
        <w:rPr>
          <w:sz w:val="21"/>
          <w:szCs w:val="21"/>
        </w:rPr>
        <w:t xml:space="preserve"> (Lei 14.063/2020) — juridicamente válida para os documentos que a clínica utiliza.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A adoção de uma plataforma de terceiros </w:t>
      </w:r>
      <w:r>
        <w:rPr>
          <w:b/>
          <w:bCs/>
          <w:sz w:val="21"/>
          <w:szCs w:val="21"/>
        </w:rPr>
        <w:t xml:space="preserve">não é obrigatória</w:t>
      </w:r>
      <w:r>
        <w:rPr>
          <w:sz w:val="21"/>
          <w:szCs w:val="21"/>
        </w:rPr>
        <w:t xml:space="preserve"> no cenário atual, mas agrega identidade forte, transferência de responsabilidade jurídica e o caminho pronto para assinatura qualificada ICP-Brasil.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Caso se opte por uma plataforma, recomenda-se o modelo de </w:t>
      </w:r>
      <w:r>
        <w:rPr>
          <w:b/>
          <w:bCs/>
          <w:sz w:val="21"/>
          <w:szCs w:val="21"/>
        </w:rPr>
        <w:t xml:space="preserve">integração via API (pay-per-use)</w:t>
      </w:r>
      <w:r>
        <w:rPr>
          <w:sz w:val="21"/>
          <w:szCs w:val="21"/>
        </w:rPr>
        <w:t xml:space="preserve">, preservando o fluxo já existente. A </w:t>
      </w:r>
      <w:r>
        <w:rPr>
          <w:b/>
          <w:bCs/>
          <w:sz w:val="21"/>
          <w:szCs w:val="21"/>
        </w:rPr>
        <w:t xml:space="preserve">Autentique</w:t>
      </w:r>
      <w:r>
        <w:rPr>
          <w:sz w:val="21"/>
          <w:szCs w:val="21"/>
        </w:rPr>
        <w:t xml:space="preserve"> é a primeira candidata a ser testada pelo custo por documento.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Diagnóstico da solução atual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assinatura está implementada no módulo de gestão de contratos. O fluxo combina identificação do signatário, assinatura manuscrita digitalizada e uma trilha de evidências técnica. As etapas são: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Sessão remota com token assinado — </w:t>
      </w:r>
      <w:r>
        <w:rPr>
          <w:sz w:val="21"/>
          <w:szCs w:val="21"/>
        </w:rPr>
        <w:t xml:space="preserve">o link público é gerado por HMAC sobre a chave secreta do servidor; nenhum segredo é gravado no banco, a validade é limitada por tempo e o uso é único (transição de status atômica).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Confirmação de identidade — </w:t>
      </w:r>
      <w:r>
        <w:rPr>
          <w:sz w:val="21"/>
          <w:szCs w:val="21"/>
        </w:rPr>
        <w:t xml:space="preserve">antes de liberar a assinatura, o signatário confirma a data de nascimento (paciente maior) ou o CPF do responsável (menor de idade), com limite de tentativas contra tentativa de adivinhação, além de confirmação presencial opcional por um colaborador.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Assinatura manuscrita digitalizada — </w:t>
      </w:r>
      <w:r>
        <w:rPr>
          <w:sz w:val="21"/>
          <w:szCs w:val="21"/>
        </w:rPr>
        <w:t xml:space="preserve">o paciente desenha a assinatura em tela; a imagem é validada e mesclada sobre a linha de assinatura do PDF.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Carimbo de auditoria e trilha de eventos — </w:t>
      </w:r>
      <w:r>
        <w:rPr>
          <w:sz w:val="21"/>
          <w:szCs w:val="21"/>
        </w:rPr>
        <w:t xml:space="preserve">data/hora e IP no rodapé do PDF e registro completo de eventos (abertura, identidade, IP, user-agent, horários).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Integridade por hash — </w:t>
      </w:r>
      <w:r>
        <w:rPr>
          <w:sz w:val="21"/>
          <w:szCs w:val="21"/>
        </w:rPr>
        <w:t xml:space="preserve">cálculo e armazenamento do hash SHA-256 do PDF assinado, que detecta qualquer alteração posterior.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Carimbo de tempo RFC 3161 (opcional) — </w:t>
      </w:r>
      <w:r>
        <w:rPr>
          <w:sz w:val="21"/>
          <w:szCs w:val="21"/>
        </w:rPr>
        <w:t xml:space="preserve">quando configurado, obtém de uma autoridade de carimbo do tempo (terceiro) uma prova criptográfica de data/hora do documento, embutida no próprio PDF.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Como o sistema valida um documento — o papel do hash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Esta seção explica, sem termos técnicos, o mecanismo que permite ao sistema provar que um documento é autêntico e que não foi alterado depois de assinado — tudo sem depender de nenhum software de terceiros. Esse mecanismo se chama </w:t>
      </w:r>
      <w:r>
        <w:rPr>
          <w:b/>
          <w:bCs/>
          <w:sz w:val="21"/>
          <w:szCs w:val="21"/>
        </w:rPr>
        <w:t xml:space="preserve">hash</w:t>
      </w:r>
      <w:r>
        <w:rPr>
          <w:sz w:val="21"/>
          <w:szCs w:val="21"/>
        </w:rPr>
        <w:t xml:space="preserve"> (o sistema usa o padrão internacional SHA-256).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3.1. O que é um hash — a impressão digital do arquivo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Pense no hash como a </w:t>
      </w:r>
      <w:r>
        <w:rPr>
          <w:b/>
          <w:bCs/>
          <w:sz w:val="21"/>
          <w:szCs w:val="21"/>
        </w:rPr>
        <w:t xml:space="preserve">impressão digital do arquivo</w:t>
      </w:r>
      <w:r>
        <w:rPr>
          <w:sz w:val="21"/>
          <w:szCs w:val="21"/>
        </w:rPr>
        <w:t xml:space="preserve">: um código curto (uma sequência de 64 caracteres) calculado a partir de todo o conteúdo do documento. Ele tem três propriedades que o tornam útil como prova: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Sempre o mesmo: </w:t>
      </w:r>
      <w:r>
        <w:rPr>
          <w:sz w:val="21"/>
          <w:szCs w:val="21"/>
        </w:rPr>
        <w:t xml:space="preserve">o mesmo arquivo, conferido mil vezes, gera sempre exatamente o mesmo código.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Extremamente sensível: </w:t>
      </w:r>
      <w:r>
        <w:rPr>
          <w:sz w:val="21"/>
          <w:szCs w:val="21"/>
        </w:rPr>
        <w:t xml:space="preserve">mudar qualquer coisa no documento — uma vírgula, um valor, um pixel da assinatura — gera um código totalmente diferente.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De mão única: </w:t>
      </w:r>
      <w:r>
        <w:rPr>
          <w:sz w:val="21"/>
          <w:szCs w:val="21"/>
        </w:rPr>
        <w:t xml:space="preserve">a partir do código não é possível reconstruir o documento, e é inviável dois documentos diferentes terem o mesmo código.</w:t>
      </w:r>
    </w:p>
    <w:p>
      <w:pPr>
        <w:spacing w:after="60"/>
      </w:pP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Exemplo real: </w:t>
      </w:r>
      <w:r>
        <w:rPr>
          <w:i/>
          <w:iCs/>
          <w:sz w:val="21"/>
          <w:szCs w:val="21"/>
        </w:rPr>
        <w:t xml:space="preserve">duas frases quase idênticas — muda apenas um dígito no valor — produzem impressões digitais completamente diferentes.</w:t>
      </w:r>
    </w:p>
    <w:p>
      <w:pPr>
        <w:spacing w:after="40"/>
      </w:pP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700"/>
        <w:gridCol w:w="4900"/>
      </w:tblGrid>
      <w:tr>
        <w:trPr>
          <w:tblHeader/>
        </w:trPr>
        <w:tc>
          <w:tcPr>
            <w:tcW w:type="dxa" w:w="4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documento</w:t>
            </w:r>
          </w:p>
        </w:tc>
        <w:tc>
          <w:tcPr>
            <w:tcW w:type="dxa" w:w="4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Impressão digital (SHA-256, início)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“…valor de R$ 500,00”</w:t>
            </w:r>
          </w:p>
        </w:tc>
        <w:tc>
          <w:tcPr>
            <w:tcW w:type="dxa" w:w="4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103a3c3eea07f288…</w:t>
            </w:r>
          </w:p>
        </w:tc>
      </w:tr>
      <w:tr>
        <w:trPr>
          <w:tblHeader w:val="false"/>
        </w:trPr>
        <w:tc>
          <w:tcPr>
            <w:tcW w:type="dxa" w:w="47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“…valor de R$ 900,00”</w:t>
            </w:r>
          </w:p>
        </w:tc>
        <w:tc>
          <w:tcPr>
            <w:tcW w:type="dxa" w:w="49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fadb3ba860f2694a…</w:t>
            </w:r>
          </w:p>
        </w:tc>
      </w:tr>
    </w:tbl>
    <w:p>
      <w:pPr>
        <w:spacing w:after="40"/>
      </w:pPr>
    </w:p>
    <w:p>
      <w:pPr>
        <w:spacing w:after="120" w:line="276"/>
        <w:jc w:val="both"/>
      </w:pPr>
      <w:r>
        <w:rPr>
          <w:i/>
          <w:iCs/>
          <w:color w:val="595959"/>
          <w:sz w:val="20"/>
          <w:szCs w:val="20"/>
        </w:rPr>
        <w:t xml:space="preserve">Apenas um caractere mudou (5 → 9), e a impressão digital não tem nenhuma semelhança com a anterior. É por isso que qualquer adulteração, por menor que seja, é detectada.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3.2. Como a validação acontece na prática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validação segue três passos simples: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No momento da assinatura: </w:t>
      </w:r>
      <w:r>
        <w:rPr>
          <w:sz w:val="21"/>
          <w:szCs w:val="21"/>
        </w:rPr>
        <w:t xml:space="preserve">o sistema calcula a impressão digital (hash) do PDF assinado e a guarda em seu registro seguro.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Na hora de validar: </w:t>
      </w:r>
      <w:r>
        <w:rPr>
          <w:sz w:val="21"/>
          <w:szCs w:val="21"/>
        </w:rPr>
        <w:t xml:space="preserve">qualquer pessoa envia o PDF na página pública de validação, e o sistema recalcula a impressão digital do arquivo recebido.</w:t>
      </w:r>
    </w:p>
    <w:p>
      <w:pPr>
        <w:pStyle w:val="ListParagraph"/>
        <w:numPr>
          <w:ilvl w:val="0"/>
          <w:numId w:val="2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Comparação automática: </w:t>
      </w:r>
      <w:r>
        <w:rPr>
          <w:sz w:val="21"/>
          <w:szCs w:val="21"/>
        </w:rPr>
        <w:t xml:space="preserve">o sistema compara as duas impressões digitais e mostra o resultado na hora: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color w:val="375623"/>
          <w:sz w:val="21"/>
          <w:szCs w:val="21"/>
        </w:rPr>
        <w:t xml:space="preserve">Iguais → </w:t>
      </w:r>
      <w:r>
        <w:rPr>
          <w:sz w:val="21"/>
          <w:szCs w:val="21"/>
        </w:rPr>
        <w:t xml:space="preserve">documento autêntico e íntegro (selo verde): é, byte a byte, o mesmo que foi assinado.</w:t>
      </w:r>
    </w:p>
    <w:p>
      <w:pPr>
        <w:pStyle w:val="ListParagraph"/>
        <w:numPr>
          <w:ilvl w:val="1"/>
          <w:numId w:val="1"/>
        </w:numPr>
        <w:spacing w:after="120"/>
      </w:pPr>
      <w:r>
        <w:rPr>
          <w:b/>
          <w:bCs/>
          <w:color w:val="A32020"/>
          <w:sz w:val="21"/>
          <w:szCs w:val="21"/>
        </w:rPr>
        <w:t xml:space="preserve">Diferentes → </w:t>
      </w:r>
      <w:r>
        <w:rPr>
          <w:sz w:val="21"/>
          <w:szCs w:val="21"/>
        </w:rPr>
        <w:t xml:space="preserve">o arquivo foi alterado ou não foi emitido por esta plataforma (selo vermelho).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3.3. Por que isso é confiável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validação não pede para “confiar na palavra” do sistema: ela é uma </w:t>
      </w:r>
      <w:r>
        <w:rPr>
          <w:b/>
          <w:bCs/>
          <w:sz w:val="21"/>
          <w:szCs w:val="21"/>
        </w:rPr>
        <w:t xml:space="preserve">verificação matemática</w:t>
      </w:r>
      <w:r>
        <w:rPr>
          <w:sz w:val="21"/>
          <w:szCs w:val="21"/>
        </w:rPr>
        <w:t xml:space="preserve">. Como o SHA-256 é um padrão aberto e mundial, a mesma conferência pode ser refeita por qualquer ferramenta independente — ou seja, a prova continua válida mesmo que o sistema da ABO deixe de existir. Na prática, é impossível adulterar o documento sem que a validação perceba.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Como reforço adicional, o sistema pode anexar um </w:t>
      </w:r>
      <w:r>
        <w:rPr>
          <w:b/>
          <w:bCs/>
          <w:sz w:val="21"/>
          <w:szCs w:val="21"/>
        </w:rPr>
        <w:t xml:space="preserve">carimbo de tempo</w:t>
      </w:r>
      <w:r>
        <w:rPr>
          <w:sz w:val="21"/>
          <w:szCs w:val="21"/>
        </w:rPr>
        <w:t xml:space="preserve"> (RFC 3161): um atestado de data e hora emitido por uma autoridade externa e independente, provando não só que o documento não mudou, mas também desde quando ele existe.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Tipos de assinatura eletrônica no Brasil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</w:t>
      </w:r>
      <w:r>
        <w:rPr>
          <w:b/>
          <w:bCs/>
          <w:sz w:val="21"/>
          <w:szCs w:val="21"/>
        </w:rPr>
        <w:t xml:space="preserve">Lei nº 14.063/2020</w:t>
      </w:r>
      <w:r>
        <w:rPr>
          <w:sz w:val="21"/>
          <w:szCs w:val="21"/>
        </w:rPr>
        <w:t xml:space="preserve">, apoiada na MP 2.200-2/2001 (que instituiu a ICP-Brasil), define três níveis de assinatura eletrônica, em ordem crescente de força probatória:</w:t>
      </w:r>
    </w:p>
    <w:p>
      <w:pPr>
        <w:spacing w:after="60"/>
      </w:pP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3600"/>
        <w:gridCol w:w="2100"/>
        <w:gridCol w:w="21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Vínculo de identidade</w:t>
            </w:r>
          </w:p>
        </w:tc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Validade jurídica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Identifica o signatário e associa dados a ele (ex.: aceite, assinatura desenhada, confirmação por e-mail/SMS).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Fraco a médio (e-mail, SMS, dado pessoal).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Válida para atos de baixo/médio risco; a prova pode exigir evidências adicionais (logs, IP).</w:t>
            </w:r>
          </w:p>
        </w:tc>
      </w:tr>
      <w:tr>
        <w:trPr>
          <w:tblHeader w:val="false"/>
        </w:trPr>
        <w:tc>
          <w:tcPr>
            <w:tcW w:type="dxa" w:w="14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Avançada</w:t>
            </w:r>
          </w:p>
        </w:tc>
        <w:tc>
          <w:tcPr>
            <w:tcW w:type="dxa" w:w="36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certificado não-ICP-Brasil ou outros meios que comprovem autoria e integridade, aceitos pelas partes.</w:t>
            </w:r>
          </w:p>
        </w:tc>
        <w:tc>
          <w:tcPr>
            <w:tcW w:type="dxa" w:w="21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Médio a forte (certificado próprio, biometria, gov.br).</w:t>
            </w:r>
          </w:p>
        </w:tc>
        <w:tc>
          <w:tcPr>
            <w:tcW w:type="dxa" w:w="21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Válida, com boa força probatória; aceita inclusive perante o poder público (salvo exceções).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Qualificada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 certificado digital ICP-Brasil (e-CPF/e-CNPJ, A1/A3/nuvem).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Forte (chave privada + certificado de AC credenciada).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Presunção legal de autenticidade; equivale à assinatura de próprio punho e substitui o papel.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i/>
          <w:iCs/>
          <w:sz w:val="21"/>
          <w:szCs w:val="21"/>
        </w:rPr>
        <w:t xml:space="preserve">Paralelo internacional (eIDAS – União Europeia): </w:t>
      </w:r>
      <w:r>
        <w:rPr>
          <w:i/>
          <w:iCs/>
          <w:sz w:val="20"/>
          <w:szCs w:val="20"/>
        </w:rPr>
        <w:t xml:space="preserve">SES ≈ simples, AES ≈ avançada, QES ≈ qualificada. </w:t>
      </w:r>
      <w:r>
        <w:rPr>
          <w:i/>
          <w:iCs/>
          <w:sz w:val="20"/>
          <w:szCs w:val="20"/>
        </w:rPr>
        <w:t xml:space="preserve">A qualificada só é obrigatória em casos específicos — por exemplo, prescrição/receita eletrônica. Para termos de consentimento (TCLE) e contratos entre a clínica e o paciente, a simples e a avançada já são suficientes.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4.1. Em qual categoria o sistema se encontra atualmente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sistema atual é uma </w:t>
      </w:r>
      <w:r>
        <w:rPr>
          <w:b/>
          <w:bCs/>
          <w:color w:val="375623"/>
          <w:sz w:val="21"/>
          <w:szCs w:val="21"/>
        </w:rPr>
        <w:t xml:space="preserve">Assinatura Eletrônica Simples, com trilha de evidências reforçada.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Ele já cumpre o requisito da assinatura simples (identifica o signatário e associa dados a ele) e vai além da média do mercado em integridade: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Hash SHA-256 do documento assinado (detecta alteração).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Carimbo de tempo RFC 3161 de terceiro (prova de data/hora independente do servidor).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Trilha de auditoria detalhada (IP, user-agent, eventos, tentativas de identidade).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O que faltaria para ser formalmente classificado como </w:t>
      </w:r>
      <w:r>
        <w:rPr>
          <w:b/>
          <w:bCs/>
          <w:sz w:val="21"/>
          <w:szCs w:val="21"/>
        </w:rPr>
        <w:t xml:space="preserve">avançada</w:t>
      </w:r>
      <w:r>
        <w:rPr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Vincular a autoria a um fator sob controle exclusivo do signatário — certificado próprio, biometria facial com prova de vida (liveness) ou identidade gov.br.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A verificação de identidade atual (data de nascimento / CPF) é um segredo compartilhado, um controle relativamente fraco.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Importante: para </w:t>
      </w:r>
      <w:r>
        <w:rPr>
          <w:b/>
          <w:bCs/>
          <w:sz w:val="21"/>
          <w:szCs w:val="21"/>
        </w:rPr>
        <w:t xml:space="preserve">TCLE e contratos odontológicos</w:t>
      </w:r>
      <w:r>
        <w:rPr>
          <w:sz w:val="21"/>
          <w:szCs w:val="21"/>
        </w:rPr>
        <w:t xml:space="preserve"> entre a clínica e o paciente, a assinatura simples </w:t>
      </w:r>
      <w:r>
        <w:rPr>
          <w:b/>
          <w:bCs/>
          <w:sz w:val="21"/>
          <w:szCs w:val="21"/>
        </w:rPr>
        <w:t xml:space="preserve">já tem validade jurídica</w:t>
      </w:r>
      <w:r>
        <w:rPr>
          <w:sz w:val="21"/>
          <w:szCs w:val="21"/>
        </w:rPr>
        <w:t xml:space="preserve"> (Lei 14.063/2020; Código Civil, art. 219; MP 2.200-2, art. 10, §2º). A implementação atual é, inclusive, mais robusta que muitas soluções de “simples” disponíveis no mercado.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Comparação das plataformas de mercado</w:t>
      </w:r>
    </w:p>
    <w:p>
      <w:pPr>
        <w:spacing w:after="120" w:line="276"/>
        <w:jc w:val="both"/>
      </w:pPr>
      <w:r>
        <w:rPr>
          <w:i/>
          <w:iCs/>
          <w:color w:val="595959"/>
          <w:sz w:val="20"/>
          <w:szCs w:val="20"/>
        </w:rPr>
        <w:t xml:space="preserve">Preços coletados em julho de 2026, sujeitos a alteração. Onde indicado “anual”, trata-se do valor por mês na cobrança anual.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ClickSign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Start R$ 39/mês (20–200 docs, 5 usuários, certificado digital, API); Plus R$ 59 (WhatsApp, biometria, IA, marca própria); Automação R$ 85 (geração por template, envio em lote); Avançado sob consulta (White Label API, logs, SLA). Trial de 14 dias.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empresa brasileira mais consolidada do segmento; única certificada ISO 27001 e ISO 27701; forte no corporativo; APIs maduras.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quem prioriza compliance/segurança e integração corporativa.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ZapSign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Gratuito (5 docs/mês, 1 usuário); Profissional R$ 29,90/mês (240 docs/ano, 6 usuários); Completo R$ 79,90 (ilimitado, 11 usuários); Customizado.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melhor custo-benefício para PME; certificado A1 ICP-Brasil no documento; recursos por créditos (WhatsApp, biometria facial, validação de CPF na Receita); 2.000+ integrações via Zapier/Make/Pluga.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pequenas e médias operações, entrada barata, forte em WhatsApp.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Assinadoc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Básico R$ 35/mês (R$ 26,25 anual); Automação R$ 75; Profissional R$ 95 (mais popular); IA Premium R$ 135. Documentos e assinaturas ilimitados em todos os planos.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API RESTful com 30+ endpoints, webhooks, exemplos no GitHub; planos superiores com automação de WhatsApp, renovação de contrato e IA.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quem quer volume ilimitado por preço fixo e boa API.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TOTVS Assinatura Eletrônica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por pacotes de envelopes (um envelope agrupa vários documentos de um mesmo processo). A partir de R$ 78,84/mês; pacotes maiores a partir de R$ 624/mês e R$ 1.190/mês. Usuários e signatários ilimitados.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suporta assinatura avançada e qualificada ICP-Brasil (A1/A3/A3 em nuvem) + carimbo do tempo; API RESTful; integração nativa com o ecossistema TOTVS (Protheus, RM).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empresas que já usam ERP TOTVS ou precisam de assinatura qualificada corporativa. Mais caro e enterprise.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Autentique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Free (10 docs/mês); Profissional R$ 99/mês (ilimitado); Corporativo a partir de R$ 2.000/mês (white-label, SLA).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API pay-per-use:</w:t>
      </w:r>
      <w:r>
        <w:rPr>
          <w:sz w:val="21"/>
          <w:szCs w:val="21"/>
        </w:rPr>
        <w:t xml:space="preserve"> criar documento R$ 0,06; assinatura por e-mail R$ 0,013; WhatsApp R$ 0,12; SMS R$ 0,16; consulta R$ 0,001. Sandbox gratuito.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autenticação por certificado A1/A3/nuvem, biometria facial, validação de CPF, e-mail/SMS/WhatsApp; base de 60 mil empresas e 4 mil órgãos públicos.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melhor modelo de custo por API para volume variável — paga-se por documento, não mensalidade fixa.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ContraktorSign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Free (5 docs/mês); Light R$ 19,90/mês (15 docs, 6 usuários); Essential R$ 47,40 (50 docs, 5 envios WhatsApp); Unlimited R$ 142,40 (ilimitado, 15 envios WhatsApp).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foco em gestão do ciclo de vida de contratos (não apenas assinatura); signatários ilimitados. Disponibilidade de API a confirmar.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quem quer gestão contratual + assinatura no mesmo lugar.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SuperSign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Planos:</w:t>
      </w:r>
      <w:r>
        <w:rPr>
          <w:sz w:val="21"/>
          <w:szCs w:val="21"/>
        </w:rPr>
        <w:t xml:space="preserve"> Free (3 docs/mês); Essencial R$ 38,90 (20 docs); Profissional R$ 58,90 (60 docs); Elite R$ 83,90 (100 docs, selfie + documento); Avançado ~R$ 109 (250 docs); Enterprise sob consulta. Também modelo pré-pago por créditos.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Diferenciais:</w:t>
      </w:r>
      <w:r>
        <w:rPr>
          <w:sz w:val="21"/>
          <w:szCs w:val="21"/>
        </w:rPr>
        <w:t xml:space="preserve"> autenticação por e-mail/WhatsApp/SMS/selfie+documento; armazenamento ilimitado; API a partir de 100 envios; infraestrutura Google Cloud.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Perfil:</w:t>
      </w:r>
      <w:r>
        <w:rPr>
          <w:sz w:val="21"/>
          <w:szCs w:val="21"/>
        </w:rPr>
        <w:t xml:space="preserve"> flexível (mensal ou pré-pago), bom para volume irregular.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5"/>
          <w:szCs w:val="25"/>
        </w:rPr>
        <w:t xml:space="preserve">Quadro-resumo</w:t>
      </w:r>
    </w:p>
    <w:p>
      <w:pPr>
        <w:spacing w:after="40"/>
      </w:pP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1900"/>
        <w:gridCol w:w="2200"/>
        <w:gridCol w:w="3200"/>
      </w:tblGrid>
      <w:tr>
        <w:trPr>
          <w:tblHeader/>
        </w:trPr>
        <w:tc>
          <w:tcPr>
            <w:tcW w:type="dxa" w:w="21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 (R$/mês)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Destaque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Autentique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/ 99 · API por doc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 ou pay-per-use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Melhor para embutir via API</w:t>
            </w:r>
          </w:p>
        </w:tc>
      </w:tr>
      <w:tr>
        <w:trPr>
          <w:tblHeader w:val="false"/>
        </w:trPr>
        <w:tc>
          <w:tcPr>
            <w:tcW w:type="dxa" w:w="21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ZapSign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/ 29,90</w:t>
            </w:r>
          </w:p>
        </w:tc>
        <w:tc>
          <w:tcPr>
            <w:tcW w:type="dxa" w:w="2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 + créditos</w:t>
            </w:r>
          </w:p>
        </w:tc>
        <w:tc>
          <w:tcPr>
            <w:tcW w:type="dxa" w:w="3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Custo-benefício, WhatsApp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ClickSign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 27001/27701, corporativo</w:t>
            </w:r>
          </w:p>
        </w:tc>
      </w:tr>
      <w:tr>
        <w:trPr>
          <w:tblHeader w:val="false"/>
        </w:trPr>
        <w:tc>
          <w:tcPr>
            <w:tcW w:type="dxa" w:w="21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Assinadoc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2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Ilimitado fixo</w:t>
            </w:r>
          </w:p>
        </w:tc>
        <w:tc>
          <w:tcPr>
            <w:tcW w:type="dxa" w:w="3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com 30+ endpoints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SuperSign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/ 38,90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 ou pré-pago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Selfie + documento, flexível</w:t>
            </w:r>
          </w:p>
        </w:tc>
      </w:tr>
      <w:tr>
        <w:trPr>
          <w:tblHeader w:val="false"/>
        </w:trPr>
        <w:tc>
          <w:tcPr>
            <w:tcW w:type="dxa" w:w="21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ContraktorSign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/ 19,90</w:t>
            </w:r>
          </w:p>
        </w:tc>
        <w:tc>
          <w:tcPr>
            <w:tcW w:type="dxa" w:w="2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Assinatura</w:t>
            </w:r>
          </w:p>
        </w:tc>
        <w:tc>
          <w:tcPr>
            <w:tcW w:type="dxa" w:w="3200"/>
            <w:shd w:fill="F2F5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Ciclo de vida de contrato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TOTVS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78,84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Envelopes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ICP-Brasil A1/A3 + ERP TOTVS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Benefícios de adotar uma plataforma de terceiros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Transferência de responsabilidade jurídica</w:t>
      </w:r>
      <w:r>
        <w:rPr>
          <w:sz w:val="21"/>
          <w:szCs w:val="21"/>
        </w:rPr>
        <w:t xml:space="preserve"> — a força probatória passa a ser sustentada por um terceiro especializado e testado em juízo, não pela implementação interna.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Trilha e relatórios padronizados</w:t>
      </w:r>
      <w:r>
        <w:rPr>
          <w:sz w:val="21"/>
          <w:szCs w:val="21"/>
        </w:rPr>
        <w:t xml:space="preserve"> — relatórios de assinatura reconhecidos (PAdES), log de eventos e página de validação pública.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Identidade forte pronta de fábrica</w:t>
      </w:r>
      <w:r>
        <w:rPr>
          <w:sz w:val="21"/>
          <w:szCs w:val="21"/>
        </w:rPr>
        <w:t xml:space="preserve"> — biometria facial com prova de vida, validação de CPF na Receita, SMS e gov.br, sem desenvolvimento próprio.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Assinatura qualificada (ICP-Brasil)</w:t>
      </w:r>
      <w:r>
        <w:rPr>
          <w:sz w:val="21"/>
          <w:szCs w:val="21"/>
        </w:rPr>
        <w:t xml:space="preserve"> — caminho pronto caso algum documento passe a exigir presunção legal plena.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Menos manutenção e risco técnico</w:t>
      </w:r>
      <w:r>
        <w:rPr>
          <w:sz w:val="21"/>
          <w:szCs w:val="21"/>
        </w:rPr>
        <w:t xml:space="preserve"> — carimbo de tempo, criptografia, armazenamento e conformidade passam a ser responsabilidade do fornecedor (muitos com ISO 27001 e LGPD).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Confiança percebida pelo paciente</w:t>
      </w:r>
      <w:r>
        <w:rPr>
          <w:sz w:val="21"/>
          <w:szCs w:val="21"/>
        </w:rPr>
        <w:t xml:space="preserve"> — selo de uma marca reconhecida no e-mail/WhatsApp de assinatura.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7. Contras e custos de adotar uma plataforma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Custo recorrente</w:t>
      </w:r>
      <w:r>
        <w:rPr>
          <w:sz w:val="21"/>
          <w:szCs w:val="21"/>
        </w:rPr>
        <w:t xml:space="preserve"> — hoje o custo marginal por assinatura é praticamente zero; passa a haver mensalidade ou preço por documento.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Dependência de fornecedor (vendor lock-in)</w:t>
      </w:r>
      <w:r>
        <w:rPr>
          <w:sz w:val="21"/>
          <w:szCs w:val="21"/>
        </w:rPr>
        <w:t xml:space="preserve"> — fluxo, links, webhooks e armazenamento passam a depender de um terceiro; migrar depois tem custo.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Dados sensíveis saem do ambiente (LGPD)</w:t>
      </w:r>
      <w:r>
        <w:rPr>
          <w:sz w:val="21"/>
          <w:szCs w:val="21"/>
        </w:rPr>
        <w:t xml:space="preserve"> — PDFs de saúde e dados do paciente trafegam/ficam em terceiro, exigindo contrato de tratamento de dados e avaliação de risco.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Retrabalho de integração</w:t>
      </w:r>
      <w:r>
        <w:rPr>
          <w:sz w:val="21"/>
          <w:szCs w:val="21"/>
        </w:rPr>
        <w:t xml:space="preserve"> — refazer o fluxo atual (QR Code, terminal, WhatsApp, envio ao Dental Office) para a API do fornecedor.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Menos controle sobre a experiência</w:t>
      </w:r>
      <w:r>
        <w:rPr>
          <w:sz w:val="21"/>
          <w:szCs w:val="21"/>
        </w:rPr>
        <w:t xml:space="preserve"> — hoje há controle total da tela de assinatura (canvas, identidade presencial, menor de idade); plataformas impõem seu próprio fluxo.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b/>
          <w:bCs/>
          <w:sz w:val="21"/>
          <w:szCs w:val="21"/>
        </w:rPr>
        <w:t xml:space="preserve">Dependência de disponibilidade externa</w:t>
      </w:r>
      <w:r>
        <w:rPr>
          <w:sz w:val="21"/>
          <w:szCs w:val="21"/>
        </w:rPr>
        <w:t xml:space="preserve"> — uma indisponibilidade do fornecedor pode travar novas assinaturas.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8. Qual é a real necessidade?</w:t>
      </w:r>
    </w:p>
    <w:p>
      <w:pPr>
        <w:spacing w:after="120" w:line="276"/>
        <w:jc w:val="both"/>
      </w:pPr>
      <w:r>
        <w:rPr>
          <w:b/>
          <w:bCs/>
          <w:sz w:val="21"/>
          <w:szCs w:val="21"/>
        </w:rPr>
        <w:t xml:space="preserve">Curto e médio prazo: não é obrigatória. </w:t>
      </w:r>
      <w:r>
        <w:rPr>
          <w:sz w:val="21"/>
          <w:szCs w:val="21"/>
        </w:rPr>
        <w:t xml:space="preserve">Para termos de consentimento e contratos odontológicos entre a clínica e o paciente, a assinatura eletrônica simples já tem validade jurídica, e a implementação atual é mais robusta que a média do mercado (hash + carimbo de tempo RFC 3161 + trilha de auditoria + confirmação de identidade e presencial). Não há dependência de uma plataforma para se ter documentos válidos.</w:t>
      </w:r>
    </w:p>
    <w:p>
      <w:pPr>
        <w:spacing w:after="120" w:line="276"/>
        <w:jc w:val="both"/>
      </w:pPr>
      <w:r>
        <w:rPr>
          <w:sz w:val="21"/>
          <w:szCs w:val="21"/>
        </w:rPr>
        <w:t xml:space="preserve">A adoção passa a valer a pena — ou a ser necessária — quando: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Surgir a exigência de assinatura qualificada ICP-Brasil (ex.: receita/prescrição eletrônica).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Houver necessidade de reduzir o risco probatório, com um terceiro reconhecido em juízo e relatório PAdES padronizado.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For desejável identidade forte (biometria facial / validação de CPF) sem desenvolvimento próprio.</w:t>
      </w:r>
    </w:p>
    <w:p>
      <w:pPr>
        <w:pStyle w:val="ListParagraph"/>
        <w:numPr>
          <w:ilvl w:val="0"/>
          <w:numId w:val="1"/>
        </w:numPr>
        <w:spacing w:after="70" w:line="270"/>
        <w:jc w:val="both"/>
      </w:pPr>
      <w:r>
        <w:rPr>
          <w:sz w:val="21"/>
          <w:szCs w:val="21"/>
        </w:rPr>
        <w:t xml:space="preserve">O volume crescer a ponto de a manutenção e a conformidade internas custarem mais que a assinatura contratada.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9. Recomendação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Manter a solução própria como base. </w:t>
      </w:r>
      <w:r>
        <w:rPr>
          <w:sz w:val="21"/>
          <w:szCs w:val="21"/>
        </w:rPr>
        <w:t xml:space="preserve">Ela é válida e bem construída. Reforço barato e de alto impacto: manter o carimbo de tempo RFC 3161 sempre ativo (já implementado) e documentar a política de evidências.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Se optar por plataforma, avaliar no modelo de API pay-per-use, </w:t>
      </w:r>
      <w:r>
        <w:rPr>
          <w:sz w:val="21"/>
          <w:szCs w:val="21"/>
        </w:rPr>
        <w:t xml:space="preserve">que combina com o fluxo já existente (o sistema orquestra; a plataforma apenas assina/carimba):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Autentique</w:t>
      </w:r>
      <w:r>
        <w:rPr>
          <w:sz w:val="21"/>
          <w:szCs w:val="21"/>
        </w:rPr>
        <w:t xml:space="preserve"> — melhor custo por documento via API, sandbox gratuito, biometria e ICP-Brasil disponíveis. Primeira opção a testar.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Assinadoc</w:t>
      </w:r>
      <w:r>
        <w:rPr>
          <w:sz w:val="21"/>
          <w:szCs w:val="21"/>
        </w:rPr>
        <w:t xml:space="preserve"> — se preferir preço fixo com documentos ilimitados e API rica.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1"/>
          <w:szCs w:val="21"/>
        </w:rPr>
        <w:t xml:space="preserve">ZapSign</w:t>
      </w:r>
      <w:r>
        <w:rPr>
          <w:sz w:val="21"/>
          <w:szCs w:val="21"/>
        </w:rPr>
        <w:t xml:space="preserve"> — se o foco for custo baixo e WhatsApp para PME.</w:t>
      </w:r>
    </w:p>
    <w:p>
      <w:pPr>
        <w:pStyle w:val="ListParagraph"/>
        <w:numPr>
          <w:ilvl w:val="1"/>
          <w:numId w:val="1"/>
        </w:numPr>
        <w:spacing w:after="120"/>
      </w:pPr>
      <w:r>
        <w:rPr>
          <w:b/>
          <w:bCs/>
          <w:sz w:val="21"/>
          <w:szCs w:val="21"/>
        </w:rPr>
        <w:t xml:space="preserve">TOTVS</w:t>
      </w:r>
      <w:r>
        <w:rPr>
          <w:sz w:val="21"/>
          <w:szCs w:val="21"/>
        </w:rPr>
        <w:t xml:space="preserve"> — apenas se for necessária assinatura qualificada ICP-Brasil corporativa ou integração com ERP TOTVS.</w:t>
      </w:r>
    </w:p>
    <w:p>
      <w:pPr>
        <w:pStyle w:val="ListParagraph"/>
        <w:numPr>
          <w:ilvl w:val="0"/>
          <w:numId w:val="3"/>
        </w:numPr>
        <w:spacing w:after="90" w:line="270"/>
        <w:jc w:val="both"/>
      </w:pPr>
      <w:r>
        <w:rPr>
          <w:b/>
          <w:bCs/>
          <w:sz w:val="21"/>
          <w:szCs w:val="21"/>
        </w:rPr>
        <w:t xml:space="preserve">Caminho híbrido ideal: </w:t>
      </w:r>
      <w:r>
        <w:rPr>
          <w:sz w:val="21"/>
          <w:szCs w:val="21"/>
        </w:rPr>
        <w:t xml:space="preserve">manter o fluxo próprio (QR Code, terminal, identidade presencial, envio ao Dental Office) e plugar a assinatura qualificada/biometria de uma plataforma via API apenas nos casos que exigirem, sem descartar o que já funciona.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Fontes</w:t>
      </w:r>
    </w:p>
    <w:p>
      <w:pPr>
        <w:spacing w:after="70"/>
      </w:pPr>
      <w:hyperlink w:history="1" r:id="rIderv3imxgmp2zfmcubjowe">
        <w:r>
          <w:rPr>
            <w:rStyle w:val="Hyperlink"/>
            <w:sz w:val="21"/>
            <w:szCs w:val="21"/>
          </w:rPr>
          <w:t xml:space="preserve">Lei nº 14.063/2020 — Planalto</w:t>
        </w:r>
      </w:hyperlink>
    </w:p>
    <w:p>
      <w:pPr>
        <w:spacing w:after="70"/>
      </w:pPr>
      <w:hyperlink w:history="1" r:id="rIdqzdmholsgnc4fl4kzp6nq">
        <w:r>
          <w:rPr>
            <w:rStyle w:val="Hyperlink"/>
            <w:sz w:val="21"/>
            <w:szCs w:val="21"/>
          </w:rPr>
          <w:t xml:space="preserve">Gov.br — Saiba mais sobre a assinatura eletrônica</w:t>
        </w:r>
      </w:hyperlink>
    </w:p>
    <w:p>
      <w:pPr>
        <w:spacing w:after="70"/>
      </w:pPr>
      <w:hyperlink w:history="1" r:id="rIdn81md4ts0zzajvvymxkds">
        <w:r>
          <w:rPr>
            <w:rStyle w:val="Hyperlink"/>
            <w:sz w:val="21"/>
            <w:szCs w:val="21"/>
          </w:rPr>
          <w:t xml:space="preserve">DocuSign — Validade da assinatura eletrônica no Brasil</w:t>
        </w:r>
      </w:hyperlink>
    </w:p>
    <w:p>
      <w:pPr>
        <w:spacing w:after="70"/>
      </w:pPr>
      <w:hyperlink w:history="1" r:id="rIdbg1oasuqq9vuaa51pwocb">
        <w:r>
          <w:rPr>
            <w:rStyle w:val="Hyperlink"/>
            <w:sz w:val="21"/>
            <w:szCs w:val="21"/>
          </w:rPr>
          <w:t xml:space="preserve">ClickSign — Preços</w:t>
        </w:r>
      </w:hyperlink>
    </w:p>
    <w:p>
      <w:pPr>
        <w:spacing w:after="70"/>
      </w:pPr>
      <w:hyperlink w:history="1" r:id="rId6psfondaxoypjscjps1ax">
        <w:r>
          <w:rPr>
            <w:rStyle w:val="Hyperlink"/>
            <w:sz w:val="21"/>
            <w:szCs w:val="21"/>
          </w:rPr>
          <w:t xml:space="preserve">ZapSign — Planos</w:t>
        </w:r>
      </w:hyperlink>
    </w:p>
    <w:p>
      <w:pPr>
        <w:spacing w:after="70"/>
      </w:pPr>
      <w:hyperlink w:history="1" r:id="rIduaibel7ykxvtgzxjxibc7">
        <w:r>
          <w:rPr>
            <w:rStyle w:val="Hyperlink"/>
            <w:sz w:val="21"/>
            <w:szCs w:val="21"/>
          </w:rPr>
          <w:t xml:space="preserve">Assinadoc — Planos e Desenvolvedores</w:t>
        </w:r>
      </w:hyperlink>
    </w:p>
    <w:p>
      <w:pPr>
        <w:spacing w:after="70"/>
      </w:pPr>
      <w:hyperlink w:history="1" r:id="rIdm8o0xyhoqkv-picavgsq8">
        <w:r>
          <w:rPr>
            <w:rStyle w:val="Hyperlink"/>
            <w:sz w:val="21"/>
            <w:szCs w:val="21"/>
          </w:rPr>
          <w:t xml:space="preserve">TOTVS — Assinatura Eletrônica (ficha técnica)</w:t>
        </w:r>
      </w:hyperlink>
    </w:p>
    <w:p>
      <w:pPr>
        <w:spacing w:after="70"/>
      </w:pPr>
      <w:hyperlink w:history="1" r:id="rIdb_r2sbdqz0p26pvzj5wwz">
        <w:r>
          <w:rPr>
            <w:rStyle w:val="Hyperlink"/>
            <w:sz w:val="21"/>
            <w:szCs w:val="21"/>
          </w:rPr>
          <w:t xml:space="preserve">Autentique — Planos e Preços via API</w:t>
        </w:r>
      </w:hyperlink>
    </w:p>
    <w:p>
      <w:pPr>
        <w:spacing w:after="70"/>
      </w:pPr>
      <w:hyperlink w:history="1" r:id="rIdl18ubxrijgllo0r5jij6r">
        <w:r>
          <w:rPr>
            <w:rStyle w:val="Hyperlink"/>
            <w:sz w:val="21"/>
            <w:szCs w:val="21"/>
          </w:rPr>
          <w:t xml:space="preserve">ContraktorSign — Planos e preços</w:t>
        </w:r>
      </w:hyperlink>
    </w:p>
    <w:p>
      <w:pPr>
        <w:spacing w:after="70"/>
      </w:pPr>
      <w:hyperlink w:history="1" r:id="rIda8o00e0v3zjs9mnijoxx0">
        <w:r>
          <w:rPr>
            <w:rStyle w:val="Hyperlink"/>
            <w:sz w:val="21"/>
            <w:szCs w:val="21"/>
          </w:rPr>
          <w:t xml:space="preserve">SuperSign — Preços e planos</w:t>
        </w:r>
      </w:hyperlink>
    </w:p>
    <w:p>
      <w:pPr>
        <w:spacing w:after="70"/>
      </w:pPr>
      <w:hyperlink w:history="1" r:id="rIdmhml33rufwfdt9rmfihtb">
        <w:r>
          <w:rPr>
            <w:rStyle w:val="Hyperlink"/>
            <w:sz w:val="21"/>
            <w:szCs w:val="21"/>
          </w:rPr>
          <w:t xml:space="preserve">CFO — Manual do Prontuário do Paciente em Odontologia</w:t>
        </w:r>
      </w:hyperlink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595959"/>
        <w:sz w:val="16"/>
        <w:szCs w:val="16"/>
      </w:rPr>
      <w:t xml:space="preserve">Painel ABO Goiás · Assinatura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DefaultParagraphFont"/>
    <w:rPr>
      <w:color w:val="2E549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rv3imxgmp2zfmcubjowe" Type="http://schemas.openxmlformats.org/officeDocument/2006/relationships/hyperlink" Target="https://www.planalto.gov.br/ccivil_03/_ato2019-2022/2020/lei/l14063.htm" TargetMode="External"/><Relationship Id="rIdqzdmholsgnc4fl4kzp6nq" Type="http://schemas.openxmlformats.org/officeDocument/2006/relationships/hyperlink" Target="https://www.gov.br/governodigital/pt-br/identidade/assinatura-eletronica/saiba-mais-sobre-a-assinatura-eletronica" TargetMode="External"/><Relationship Id="rIdn81md4ts0zzajvvymxkds" Type="http://schemas.openxmlformats.org/officeDocument/2006/relationships/hyperlink" Target="https://www.docusign.com/pt-br/blog/assinatura-eletronica-lei" TargetMode="External"/><Relationship Id="rIdbg1oasuqq9vuaa51pwocb" Type="http://schemas.openxmlformats.org/officeDocument/2006/relationships/hyperlink" Target="https://www.clicksign.com/preco" TargetMode="External"/><Relationship Id="rId6psfondaxoypjscjps1ax" Type="http://schemas.openxmlformats.org/officeDocument/2006/relationships/hyperlink" Target="https://blog.zapsign.com.br/zapsign-planos/" TargetMode="External"/><Relationship Id="rIduaibel7ykxvtgzxjxibc7" Type="http://schemas.openxmlformats.org/officeDocument/2006/relationships/hyperlink" Target="https://assinadoc.com/planos" TargetMode="External"/><Relationship Id="rIdm8o0xyhoqkv-picavgsq8" Type="http://schemas.openxmlformats.org/officeDocument/2006/relationships/hyperlink" Target="https://produtos.totvs.com/ficha-tecnica/tudo-sobre-o-totvs-assinatura-eletronica/" TargetMode="External"/><Relationship Id="rIdb_r2sbdqz0p26pvzj5wwz" Type="http://schemas.openxmlformats.org/officeDocument/2006/relationships/hyperlink" Target="https://docs.autentique.com.br/api/2/precos-para-uso-via-api" TargetMode="External"/><Relationship Id="rIdl18ubxrijgllo0r5jij6r" Type="http://schemas.openxmlformats.org/officeDocument/2006/relationships/hyperlink" Target="https://contraktorsign.com.br/planos-e-precos/" TargetMode="External"/><Relationship Id="rIda8o00e0v3zjs9mnijoxx0" Type="http://schemas.openxmlformats.org/officeDocument/2006/relationships/hyperlink" Target="https://supersign.com.br/precos-e-planos/" TargetMode="External"/><Relationship Id="rIdmhml33rufwfdt9rmfihtb" Type="http://schemas.openxmlformats.org/officeDocument/2006/relationships/hyperlink" Target="https://website.cfo.org.br/wp-content/uploads/2026/03/CFO_Manual_do_Prontuario_Ebook.pdf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Assinatura Digital — Diagnóstico e Estudo Comparativo</dc:title>
  <dc:creator>Painel ABO Goiás</dc:creator>
  <dc:description>Documento de apoio à decisão</dc:description>
  <cp:lastModifiedBy>Un-named</cp:lastModifiedBy>
  <cp:revision>1</cp:revision>
  <dcterms:created xsi:type="dcterms:W3CDTF">2026-07-13T13:35:43.477Z</dcterms:created>
  <dcterms:modified xsi:type="dcterms:W3CDTF">2026-07-13T13:35:43.478Z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