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b/>
          <w:bCs/>
          <w:color w:val="1D6EEE"/>
          <w:sz w:val="24"/>
          <w:szCs w:val="24"/>
        </w:rPr>
        <w:t xml:space="preserve">PAINEL ABO GOIÁS</w:t>
      </w:r>
    </w:p>
    <w:p>
      <w:pPr>
        <w:spacing w:before="300"/>
        <w:jc w:val="center"/>
      </w:pPr>
      <w:r>
        <w:rPr>
          <w:b/>
          <w:bCs/>
          <w:color w:val="0B2A57"/>
          <w:sz w:val="44"/>
          <w:szCs w:val="44"/>
        </w:rPr>
        <w:t xml:space="preserve">Ferramentas do Painel</w:t>
      </w:r>
    </w:p>
    <w:p>
      <w:pPr>
        <w:spacing w:after="300"/>
        <w:jc w:val="center"/>
      </w:pPr>
      <w:r>
        <w:rPr>
          <w:b/>
          <w:bCs/>
          <w:color w:val="0B2A57"/>
          <w:sz w:val="28"/>
          <w:szCs w:val="28"/>
        </w:rPr>
        <w:t xml:space="preserve">Explicação simples de cada sistema e contexto de uso</w:t>
      </w:r>
    </w:p>
    <w:p>
      <w:pPr>
        <w:spacing w:before="400"/>
        <w:jc w:val="center"/>
      </w:pPr>
      <w:r>
        <w:rPr>
          <w:i/>
          <w:iCs/>
          <w:color w:val="5B6B82"/>
          <w:sz w:val="22"/>
          <w:szCs w:val="22"/>
        </w:rPr>
        <w:t xml:space="preserve">Documento de referência</w:t>
      </w:r>
    </w:p>
    <w:p>
      <w:pPr>
        <w:jc w:val="center"/>
      </w:pPr>
      <w:r>
        <w:rPr>
          <w:color w:val="5B6B82"/>
          <w:sz w:val="21"/>
          <w:szCs w:val="21"/>
        </w:rPr>
        <w:t xml:space="preserve">Elaborado por: Equipe de Desenvolvimento</w:t>
      </w:r>
    </w:p>
    <w:p>
      <w:pPr>
        <w:jc w:val="center"/>
      </w:pPr>
      <w:r>
        <w:rPr>
          <w:color w:val="5B6B82"/>
          <w:sz w:val="21"/>
          <w:szCs w:val="21"/>
        </w:rPr>
        <w:t xml:space="preserve">Data: 22 de julho de 2026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1. Visão geral do Painel</w:t>
      </w:r>
    </w:p>
    <w:p>
      <w:pPr>
        <w:spacing w:after="160" w:line="300"/>
      </w:pPr>
      <w:r>
        <w:rPr>
          <w:sz w:val="21"/>
          <w:szCs w:val="21"/>
        </w:rPr>
        <w:t xml:space="preserve">O Painel ABO Goiás é um sistema único, acessado com um só login, que reúne as ferramentas usadas no dia a dia da clínica-escola da Associação Brasileira de Odontologia — Regional Goiás. Cada ferramenta cuida de uma parte diferente da rotina — do controle de materiais esterilizados à geração e assinatura de contratos com os pacientes — mas todas compartilham a mesma identidade visual, o mesmo cadastro de usuários e a mesma tela inicial (Portal).</w:t>
      </w:r>
    </w:p>
    <w:p>
      <w:pPr>
        <w:spacing w:after="160" w:line="300"/>
      </w:pPr>
      <w:r>
        <w:rPr>
          <w:sz w:val="21"/>
          <w:szCs w:val="21"/>
        </w:rPr>
        <w:t xml:space="preserve">Todas as ferramentas descritas neste documento foram desenvolvidas internamente (sob medida para a rotina da clínica), o que significa que não há mensalidade de licença para o sistema em si — o Painel roda em um servidor próprio e só recorre a serviços externos pagos em pontos pontuais e claramente identificados (seção 4).</w:t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2. Ferramentas implementadas</w:t>
      </w:r>
    </w:p>
    <w:p>
      <w:pPr>
        <w:spacing w:after="160" w:line="300"/>
      </w:pPr>
      <w:r>
        <w:rPr>
          <w:sz w:val="21"/>
          <w:szCs w:val="21"/>
        </w:rPr>
        <w:t xml:space="preserve">Além da funcionalidade, cada ferramenta abaixo traz o custo mensal para manter todas as suas funções em pleno funcionamento. A hospedagem (Railway) é uma única assinatura, compartilhada por todo o Painel — por isso ela aparece no custo de todas as ferramentas, mas é paga uma única vez; o valor final real, sem repetição, está na seção 4.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2.1. Portal e Acesso</w:t>
      </w:r>
    </w:p>
    <w:p>
      <w:pPr>
        <w:spacing w:after="160" w:line="300"/>
      </w:pPr>
      <w:r>
        <w:rPr>
          <w:sz w:val="21"/>
          <w:szCs w:val="21"/>
        </w:rPr>
        <w:t xml:space="preserve">O que é: a porta de entrada do sistema. É onde qualquer colaborador faz login e vê, em uma única tela, um resumo em números e o acesso às demais ferramentas.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por todos os colaboradores, todos os dias, como primeira tela ao entrar no sistema. É também onde um novo colaborador solicita acesso — pedido que é aprovado ou recusado por um administrador antes de a conta ser liberada.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R$ 100/mês. Servidor onde o Painel roda, compartilhado por todas as ferramentas.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2.2. Gestão de CME (Central de Materiais e Esterilização)</w:t>
      </w:r>
    </w:p>
    <w:p>
      <w:pPr>
        <w:spacing w:after="160" w:line="300"/>
      </w:pPr>
      <w:r>
        <w:rPr>
          <w:sz w:val="21"/>
          <w:szCs w:val="21"/>
        </w:rPr>
        <w:t xml:space="preserve">O que é: controla o ciclo de vida dos pacotes de instrumentais odontológicos que os alunos de pós-graduação entregam para esterilização — da entrada até a devolução — além do empréstimo avulso de kits de materiais e do cadastro de turmas e alunos (sincronizado automaticamente do sistema acadêmico Eduq).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pela equipe da CME e pelos alunos de pós-graduação. O aluno entrega um pacote de instrumentais para esterilizar; a equipe registra a entrada, acompanha o processo e registra a retirada quando o aluno busca o material de volta. O mesmo aluno também pode retirar kits de material emprestado, que precisam ser devolvidos depois.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R$ 100/mês. Mesma assinatura citada no Portal — não é um custo adicional, é a mesma hospedagem compartilhada por todo o Painel.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 Nenhuma outra função da Gestão de CME gera custo — não há envio de WhatsApp nem outro serviço externo pago.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2.3. Gestão de Laboratório</w:t>
      </w:r>
    </w:p>
    <w:p>
      <w:pPr>
        <w:spacing w:after="160" w:line="300"/>
      </w:pPr>
      <w:r>
        <w:rPr>
          <w:sz w:val="21"/>
          <w:szCs w:val="21"/>
        </w:rPr>
        <w:t xml:space="preserve">O que é: controla os pedidos de material odontológico (próteses, aparelhos etc.) enviados a laboratórios parceiros externos — do registro do pedido até a entrega da peça pronta e o fechamento financeiro com o paciente e o laboratório.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pelos coordenadores dos laboratórios da clínica-escola. Um aluno faz a moldagem do paciente; o coordenador registra o pedido ao laboratório parceiro, acompanha o prazo de entrega e, quando a peça chega, controla o faturamento — quem já pagou, o paciente e/ou o laboratório.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WhatsApp automático (Z-API)</w:t>
      </w:r>
      <w:r>
        <w:rPr>
          <w:sz w:val="21"/>
          <w:szCs w:val="21"/>
        </w:rPr>
        <w:t xml:space="preserve"> — R$ 100/mês. Usado para cobrar automaticamente, uma vez por dia, os laboratórios parceiros com pedidos atrasados. Hoje usa o mesmo número (e a mesma assinatura) do Gerador de Contratos — a cobrança é por número conectado, não por aplicação (ver seção 4.3).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R$ 200/mês.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2.4. Gerador de Identificadores de Bancada</w:t>
      </w:r>
    </w:p>
    <w:p>
      <w:pPr>
        <w:spacing w:after="160" w:line="300"/>
      </w:pPr>
      <w:r>
        <w:rPr>
          <w:sz w:val="21"/>
          <w:szCs w:val="21"/>
        </w:rPr>
        <w:t xml:space="preserve">O que é: gera, em poucos cliques, um arquivo de apresentação (PowerPoint) pronto para impressão com os identificadores (crachás) de bancada de uma turma inteira de alunos — nome, matrícula e demais dados, no modelo visual escolhido.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pela coordenação acadêmica no início de cada período letivo, ou quando entra um aluno novo. Basta escolher a turma — os dados dos alunos vêm automaticamente do sistema acadêmico Eduq — e o modelo de identificador entre os disponíveis, e o arquivo já sai pronto para impressão.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 A geração do arquivo em si não usa nenhum serviço externo pago.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2.5. Gerador de Contratos e Termos de Consentimento</w:t>
      </w:r>
    </w:p>
    <w:p>
      <w:pPr>
        <w:spacing w:after="160" w:line="300"/>
      </w:pPr>
      <w:r>
        <w:rPr>
          <w:sz w:val="21"/>
          <w:szCs w:val="21"/>
        </w:rPr>
        <w:t xml:space="preserve">O que é: gera contratos e termos de consentimento odontológico personalizados para cada paciente e conduz a assinatura digital do documento, sem precisar de papel nem de outro programa.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pelos colaboradores da recepção/clínica no momento do atendimento. O sistema monta o documento com os dados do paciente e do procedimento, e o paciente assina na hora — pelo próprio celular, lendo um QR Code, ou num totem dedicado da clínica —, com o arquivo assinado sendo enviado automaticamente ao Dental Office e por WhatsApp. Por ser a ferramenta mais recente e a que envolve validade jurídica, ela é detalhada em profundidade na próxima seção.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WhatsApp automático (Z-API)</w:t>
      </w:r>
      <w:r>
        <w:rPr>
          <w:sz w:val="21"/>
          <w:szCs w:val="21"/>
        </w:rPr>
        <w:t xml:space="preserve"> — R$ 100/mês. Usado para enviar automaticamente o contrato assinado ao paciente. Hoje usa o mesmo número (e a mesma assinatura) da Gestão de Laboratório — a cobrança é por número conectado, não por aplicação (ver seção 4.3).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R$ 200/mês. O envio por e-mail (alternativa ao WhatsApp) e a assinatura digital e o carimbo de tempo não têm custo adicional hoje.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3. Assinatura digital no Gerador de Contratos</w:t>
      </w:r>
    </w:p>
    <w:p>
      <w:pPr>
        <w:spacing w:after="160" w:line="300"/>
      </w:pPr>
      <w:r>
        <w:rPr>
          <w:sz w:val="21"/>
          <w:szCs w:val="21"/>
        </w:rPr>
        <w:t xml:space="preserve">Esta seção detalha o funcionamento e a base jurídica da assinatura digital usada no Gerador de Contratos — para quem precisa entender, ou decidir sobre o futuro, dessa parte do sistema.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3.1. Diagnóstico da solução atual</w:t>
      </w:r>
    </w:p>
    <w:p>
      <w:pPr>
        <w:spacing w:after="160" w:line="300"/>
      </w:pPr>
      <w:r>
        <w:rPr>
          <w:sz w:val="21"/>
          <w:szCs w:val="21"/>
        </w:rPr>
        <w:t xml:space="preserve">A assinatura está implementada no próprio Gerador de Contratos, sem depender de nenhuma plataforma externa. O fluxo combina identificação do paciente, assinatura manuscrita digitalizada e uma trilha de evidências técnica, em cinco etapas: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Sessão remota com token seguro</w:t>
      </w:r>
      <w:r>
        <w:rPr>
          <w:sz w:val="21"/>
          <w:szCs w:val="21"/>
        </w:rPr>
        <w:t xml:space="preserve"> — o link de assinatura é gerado com uma chave assinada pelo servidor; nenhum segredo fica gravado no banco, a validade tem prazo e o link só pode ser usado uma vez.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Confirmação de identidade</w:t>
      </w:r>
      <w:r>
        <w:rPr>
          <w:sz w:val="21"/>
          <w:szCs w:val="21"/>
        </w:rPr>
        <w:t xml:space="preserve"> — antes de liberar a assinatura, o paciente (ou responsável, se for menor de idade) confirma um dado pessoal, com limite de tentativas, além de uma confirmação presencial opcional feita por um colaborador.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Assinatura manuscrita digitalizada</w:t>
      </w:r>
      <w:r>
        <w:rPr>
          <w:sz w:val="21"/>
          <w:szCs w:val="21"/>
        </w:rPr>
        <w:t xml:space="preserve"> — o paciente desenha a própria assinatura na tela; a imagem é validada e aplicada sobre a linha de assinatura do PDF.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Carimbo de auditoria e trilha de eventos</w:t>
      </w:r>
      <w:r>
        <w:rPr>
          <w:sz w:val="21"/>
          <w:szCs w:val="21"/>
        </w:rPr>
        <w:t xml:space="preserve"> — data, hora e IP ficam registrados no rodapé do PDF e num histórico completo (abertura do link, confirmação de identidade, horários).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Verificação de integridade e carimbo de tempo</w:t>
      </w:r>
      <w:r>
        <w:rPr>
          <w:sz w:val="21"/>
          <w:szCs w:val="21"/>
        </w:rPr>
        <w:t xml:space="preserve"> — o sistema calcula uma “impressão digital” do PDF assinado (explicada a seguir) e, quando configurado, também obtém de uma autoridade externa um comprovante independente de data e hora do documento.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3.2. Como o sistema valida um documento</w:t>
      </w:r>
    </w:p>
    <w:p>
      <w:pPr>
        <w:spacing w:after="160" w:line="300"/>
      </w:pPr>
      <w:r>
        <w:rPr>
          <w:sz w:val="21"/>
          <w:szCs w:val="21"/>
        </w:rPr>
        <w:t xml:space="preserve">Esta parte explica, sem termos técnicos, o mecanismo que permite ao sistema provar que um documento é autêntico e que não foi alterado depois de assinado — sem depender de nenhum software de terceiros. Esse mecanismo se chama hash.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O que é um hash — a impressão digital do arquivo</w:t>
      </w:r>
    </w:p>
    <w:p>
      <w:pPr>
        <w:spacing w:after="160" w:line="300"/>
      </w:pPr>
      <w:r>
        <w:rPr>
          <w:sz w:val="21"/>
          <w:szCs w:val="21"/>
        </w:rPr>
        <w:t xml:space="preserve">Pense no hash como a impressão digital do arquivo: um código curto, calculado a partir de todo o conteúdo do documento. Ele tem uma propriedade essencial: mudar qualquer coisa no documento — uma vírgula, um valor, um pixel da assinatura — gera um código completamente diferente. Duas frases quase idênticas, mudando só um número, já produzem impressões digitais sem nenhuma semelhança entre si: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5400"/>
        <w:gridCol w:w="4000"/>
      </w:tblGrid>
      <w:tr>
        <w:trPr>
          <w:tblHeader/>
        </w:trPr>
        <w:tc>
          <w:tcPr>
            <w:tcW w:type="dxa" w:w="54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 do documento</w:t>
            </w:r>
          </w:p>
        </w:tc>
        <w:tc>
          <w:tcPr>
            <w:tcW w:type="dxa" w:w="40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Impressão digital (início)</w:t>
            </w:r>
          </w:p>
        </w:tc>
      </w:tr>
      <w:tr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“…valor de R$ 500,00”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103a3c3eea07f288…</w:t>
            </w:r>
          </w:p>
        </w:tc>
      </w:tr>
      <w:tr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“…valor de R$ 900,00”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fadb3ba860f2694a…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sz w:val="21"/>
          <w:szCs w:val="21"/>
        </w:rPr>
        <w:t xml:space="preserve">Apenas um caractere mudou (5 → 9), e o resultado não tem nenhuma semelhança com o anterior — por isso qualquer adulteração, por menor que seja, é detectada.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Como a validação acontece na prática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No momento da assinatura, o sistema calcula a impressão digital do PDF assinado e a guarda em seu registro.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Na hora de validar, qualquer pessoa envia o PDF numa página pública de validação, e o sistema recalcula a impressão digital do arquivo recebido.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O sistema compara as duas impressões digitais: se forem iguais, o documento é autêntico e íntegro; se forem diferentes, o arquivo foi alterado ou não foi emitido por esta plataforma.</w:t>
      </w:r>
    </w:p>
    <w:p>
      <w:pPr>
        <w:spacing w:after="160" w:line="300"/>
      </w:pPr>
      <w:r>
        <w:rPr>
          <w:sz w:val="21"/>
          <w:szCs w:val="21"/>
        </w:rPr>
        <w:t xml:space="preserve">Como reforço adicional, o sistema pode anexar um carimbo de tempo (RFC 3161): um atestado de data e hora emitido por uma autoridade externa e independente, provando não só que o documento não mudou, mas também desde quando ele existe.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3.3. Tipos de assinatura eletrônica no Brasil</w:t>
      </w:r>
    </w:p>
    <w:p>
      <w:pPr>
        <w:spacing w:after="160" w:line="300"/>
      </w:pPr>
      <w:r>
        <w:rPr>
          <w:sz w:val="21"/>
          <w:szCs w:val="21"/>
        </w:rPr>
        <w:t xml:space="preserve">A legislação brasileira (Lei nº 14.063/2020) define três níveis de assinatura eletrônica, em ordem crescente de força de prova: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1700"/>
        <w:gridCol w:w="4000"/>
        <w:gridCol w:w="3700"/>
      </w:tblGrid>
      <w:tr>
        <w:trPr>
          <w:tblHeader/>
        </w:trPr>
        <w:tc>
          <w:tcPr>
            <w:tcW w:type="dxa" w:w="1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40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Validade jurídica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Simples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Identifica o signatário e associa dados a ele (ex.: aceite, assinatura desenhada, confirmação por e-mail/SMS).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Válida para atos de baixo/médio risco; a prova pode exigir evidências adicionais (logs, IP).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Avançada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 certificado próprio ou outros meios fortes de comprovar autoria, aceitos pelas partes.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Válida, com boa força de prova; aceita até perante o poder público (salvo exceções).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Qualificada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 certificado digital ICP-Brasil (o mesmo padrão do e-CPF/e-CNPJ).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Presunção legal de autenticidade; equivale à assinatura de próprio punho.</w:t>
            </w:r>
          </w:p>
        </w:tc>
      </w:tr>
    </w:tbl>
    <w:p>
      <w:pPr>
        <w:spacing w:after="160"/>
      </w:pP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Em qual categoria o sistema se encontra hoje</w:t>
      </w:r>
    </w:p>
    <w:p>
      <w:pPr>
        <w:spacing w:after="160" w:line="300"/>
      </w:pPr>
      <w:r>
        <w:rPr>
          <w:sz w:val="21"/>
          <w:szCs w:val="21"/>
        </w:rPr>
        <w:t xml:space="preserve">O sistema atual é uma Assinatura Eletrônica Simples, com trilha de evidências reforçada. Ele cumpre o requisito da assinatura simples e vai além da média do mercado em integridade — impressão digital do documento, carimbo de tempo de terceiro e trilha de auditoria detalhada.</w:t>
      </w:r>
    </w:p>
    <w:p>
      <w:pPr>
        <w:spacing w:after="160" w:line="300"/>
      </w:pPr>
      <w:r>
        <w:rPr>
          <w:sz w:val="21"/>
          <w:szCs w:val="21"/>
        </w:rPr>
        <w:t xml:space="preserve">Para se tornar formalmente “avançada”, faltaria vincular a autoria a um fator sob controle exclusivo do paciente (certificado próprio, biometria facial com prova de vida ou identidade gov.br) — hoje a confirmação de identidade usa um dado pessoal, um controle relativamente mais simples.</w:t>
      </w:r>
    </w:p>
    <w:p>
      <w:pPr>
        <w:spacing w:after="160" w:line="300"/>
      </w:pPr>
      <w:r>
        <w:rPr>
          <w:sz w:val="21"/>
          <w:szCs w:val="21"/>
        </w:rPr>
        <w:t xml:space="preserve">Isso não é um problema para o uso atual: para termos de consentimento e contratos odontológicos entre a clínica e o paciente, a assinatura simples já tem validade jurídica — e a implementação em uso é, inclusive, mais robusta que muitas soluções “simples” disponíveis no mercado.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3.4. Comparação com plataformas do mercado</w:t>
      </w:r>
    </w:p>
    <w:p>
      <w:pPr>
        <w:spacing w:after="160" w:line="300"/>
      </w:pPr>
      <w:r>
        <w:rPr>
          <w:sz w:val="21"/>
          <w:szCs w:val="21"/>
        </w:rPr>
        <w:t xml:space="preserve">Existem diversas plataformas brasileiras especializadas em assinatura eletrônica. O quadro abaixo resume sete das principais do mercado (preços de referência coletados em julho de 2026):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2200"/>
        <w:gridCol w:w="2100"/>
        <w:gridCol w:w="2200"/>
        <w:gridCol w:w="2900"/>
      </w:tblGrid>
      <w:tr>
        <w:trPr>
          <w:tblHeader/>
        </w:trPr>
        <w:tc>
          <w:tcPr>
            <w:tcW w:type="dxa" w:w="2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Plataforma</w:t>
            </w:r>
          </w:p>
        </w:tc>
        <w:tc>
          <w:tcPr>
            <w:tcW w:type="dxa" w:w="21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Entrada (R$/mês)</w:t>
            </w:r>
          </w:p>
        </w:tc>
        <w:tc>
          <w:tcPr>
            <w:tcW w:type="dxa" w:w="2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29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Destaque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Autentique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99 · API por doc.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ou pague-por-uso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Melhor para embutir via API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ZapSign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29,90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+ créditos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Custo-benefício, WhatsApp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ClickSign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Certificações ISO, foco corporativo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Assinadoc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Ilimitado, preço fixo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rica, 30+ endpoints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38,90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ou pré-pago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Selfie + documento, flexível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ContraktorSign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19,90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do ciclo de vida do contrato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TOTVS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78,84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pacote de envelopes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ICP-Brasil qualificada + ERP TOTVS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3.5. Por que a solução atual não usa uma dessas plataformas</w:t>
      </w:r>
    </w:p>
    <w:p>
      <w:pPr>
        <w:spacing w:after="160" w:line="300"/>
      </w:pPr>
      <w:r>
        <w:rPr>
          <w:sz w:val="21"/>
          <w:szCs w:val="21"/>
        </w:rPr>
        <w:t xml:space="preserve">Adotar uma dessas plataformas traria benefícios reais: a responsabilidade jurídica passaria a ser sustentada por um especialista testado em juízo, com relatórios de assinatura padronizados; a identidade forte (biometria facial, validação de CPF, gov.br) viria pronta, sem desenvolvimento próprio; existiria um caminho pronto para a assinatura qualificada ICP-Brasil, se algum dia for exigida; e a manutenção técnica (carimbo de tempo, criptografia, conformidade) passaria a ser responsabilidade do fornecedor.</w:t>
      </w:r>
    </w:p>
    <w:p>
      <w:pPr>
        <w:spacing w:after="160" w:line="300"/>
      </w:pPr>
      <w:r>
        <w:rPr>
          <w:sz w:val="21"/>
          <w:szCs w:val="21"/>
        </w:rPr>
        <w:t xml:space="preserve">Esses benefícios, porém, vêm com contrapartidas que hoje não se justificam: passaria a existir uma mensalidade ou um custo por documento onde hoje o custo marginal é praticamente zero; o fluxo de assinatura, os links e o armazenamento passariam a depender de um fornecedor externo (com custo de migração se um dia for preciso trocar); dados sensíveis de pacientes passariam a trafegar por um terceiro, exigindo um novo contrato de tratamento de dados sob a LGPD; seria necessário refazer a integração já existente (QR Code, totem, WhatsApp, envio ao Dental Office) para a API do fornecedor; e a clínica perderia o controle total que tem hoje sobre a experiência de assinatura (tela própria, confirmação presencial, tratamento de menores de idade).</w:t>
      </w:r>
    </w:p>
    <w:p>
      <w:pPr>
        <w:spacing w:after="160" w:line="300"/>
      </w:pPr>
      <w:r>
        <w:rPr>
          <w:sz w:val="21"/>
          <w:szCs w:val="21"/>
        </w:rPr>
        <w:t xml:space="preserve">Como a assinatura eletrônica simples já é juridicamente válida para termos de consentimento e contratos odontológicos, e a implementação atual já é mais robusta que a média do mercado (impressão digital do documento + carimbo de tempo + trilha de auditoria + confirmação de identidade e presencial), não há hoje uma necessidade real que justifique assumir o custo recorrente e a dependência de uma plataforma externa — por isso a solução própria foi mantida.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3.6. Recomendação: qual plataforma adotar, se um dia for necessário</w:t>
      </w:r>
    </w:p>
    <w:p>
      <w:pPr>
        <w:spacing w:after="160" w:line="300"/>
      </w:pPr>
      <w:r>
        <w:rPr>
          <w:sz w:val="21"/>
          <w:szCs w:val="21"/>
        </w:rPr>
        <w:t xml:space="preserve">Caso surja uma necessidade real — por exemplo, a exigência de assinatura qualificada ICP-Brasil para algum tipo de documento —, o modelo recomendado é o de integração via API (pague-por-uso), que se encaixa no fluxo já existente: o Painel continua orquestrando o atendimento, e a plataforma escolhida entra só para assinar/carimbar o documento. Dentro desse cenário: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Autentique</w:t>
      </w:r>
      <w:r>
        <w:rPr>
          <w:sz w:val="21"/>
          <w:szCs w:val="21"/>
        </w:rPr>
        <w:t xml:space="preserve"> — primeira opção a testar: melhor custo por documento via API, ambiente de testes gratuito, com biometria e certificado ICP-Brasil disponíveis quando necessário.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Assinadoc</w:t>
      </w:r>
      <w:r>
        <w:rPr>
          <w:sz w:val="21"/>
          <w:szCs w:val="21"/>
        </w:rPr>
        <w:t xml:space="preserve"> — alternativa se a preferência for preço fixo com documentos ilimitados e uma API mais rica.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ZapSign</w:t>
      </w:r>
      <w:r>
        <w:rPr>
          <w:sz w:val="21"/>
          <w:szCs w:val="21"/>
        </w:rPr>
        <w:t xml:space="preserve"> — alternativa se o foco for o menor custo possível e o envio prioritário pelo WhatsApp.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TOTVS</w:t>
      </w:r>
      <w:r>
        <w:rPr>
          <w:sz w:val="21"/>
          <w:szCs w:val="21"/>
        </w:rPr>
        <w:t xml:space="preserve"> — apenas se for necessária assinatura qualificada ICP-Brasil em escala corporativa, ou integração com um ERP TOTVS já em uso.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4. Custo geral de todas as ferramentas</w:t>
      </w:r>
    </w:p>
    <w:p>
      <w:pPr>
        <w:spacing w:after="160" w:line="300"/>
      </w:pPr>
      <w:r>
        <w:rPr>
          <w:sz w:val="21"/>
          <w:szCs w:val="21"/>
        </w:rPr>
        <w:t xml:space="preserve">A maior parte das ferramentas foi desenvolvida internamente e não gera mensalidade própria (assinatura eletrônica dos contratos, geração de identificadores de bancada, carimbo de tempo — hoje gratuito via autoridade pública FreeTSA — e as integrações com o Dental Office e o Eduq, sistemas já contratados pela ABO Goiás independentemente deste Painel). Apenas dois itens geram custo recorrente hoje — a hospedagem do servidor e o envio automático de WhatsApp —, detalhados junto de cada ferramenta na seção 2. Valores de referência pesquisados em julho de 2026, sujeitos a alteração pelos próprios fornecedores.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4.1. Relação de custo por aplicação</w:t>
      </w:r>
    </w:p>
    <w:p>
      <w:pPr>
        <w:spacing w:after="160" w:line="300"/>
      </w:pPr>
      <w:r>
        <w:rPr>
          <w:sz w:val="21"/>
          <w:szCs w:val="21"/>
        </w:rPr>
        <w:t xml:space="preserve">Cada linha soma o custo de todas as funções pagas daquela aplicação, no cenário de hoje — o detalhamento de cada item está na seção 2, junto da ferramenta correspondente: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4400"/>
        <w:gridCol w:w="2600"/>
        <w:gridCol w:w="2400"/>
      </w:tblGrid>
      <w:tr>
        <w:trPr>
          <w:tblHeader/>
        </w:trPr>
        <w:tc>
          <w:tcPr>
            <w:tcW w:type="dxa" w:w="44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Aplicação</w:t>
            </w:r>
          </w:p>
        </w:tc>
        <w:tc>
          <w:tcPr>
            <w:tcW w:type="dxa" w:w="26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Itens pagos</w:t>
            </w:r>
          </w:p>
        </w:tc>
        <w:tc>
          <w:tcPr>
            <w:tcW w:type="dxa" w:w="24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Custo mensal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Portal e Acesso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de CME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de Laboratório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+ WhatsApp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R$ 200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Gerador de Identificadores de Bancada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Gerador de Contratos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+ WhatsApp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R$ 200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sz w:val="21"/>
          <w:szCs w:val="21"/>
        </w:rPr>
        <w:t xml:space="preserve">Importante: a hospedagem é uma única assinatura, compartilhada por todas as ferramentas — por isso ela se repete nas cinco linhas acima, mas é paga uma única vez, não cinco. Já o WhatsApp automático (Z-API) hoje também é uma única assinatura (um único número), usada tanto pela Gestão de Laboratório quanto pelo Gerador de Contratos — mas, diferente da hospedagem, esse compartilhamento é uma opção, não uma característica do serviço: a seção 4.3 explica como a cobrança muda se cada aplicação passar a usar seu próprio número. Por isso, somar a coluna "Custo mensal" diretamente resultaria em um valor bem maior do que o gasto real da plataforma, calculado a seguir.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4.2. Custo final da plataforma</w:t>
      </w:r>
    </w:p>
    <w:p>
      <w:pPr>
        <w:spacing w:after="160" w:line="300"/>
      </w:pPr>
      <w:r>
        <w:rPr>
          <w:sz w:val="21"/>
          <w:szCs w:val="21"/>
        </w:rPr>
        <w:t xml:space="preserve">Contando cada assinatura uma única vez — independentemente de quantas ferramentas dependem dela —, o gasto real do Painel hoje é: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5800"/>
        <w:gridCol w:w="3600"/>
      </w:tblGrid>
      <w:tr>
        <w:trPr>
          <w:tblHeader/>
        </w:trPr>
        <w:tc>
          <w:tcPr>
            <w:tcW w:type="dxa" w:w="58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 (assinatura única)</w:t>
            </w:r>
          </w:p>
        </w:tc>
        <w:tc>
          <w:tcPr>
            <w:tcW w:type="dxa" w:w="36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Custo mensal</w:t>
            </w:r>
          </w:p>
        </w:tc>
      </w:tr>
      <w:tr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(Railway) — usada por todas as ferramentas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WhatsApp automático (Z-API) — 1 número, usado pela Gestão de Laboratório e pelo Gerador de Contratos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</w:tbl>
    <w:p>
      <w:pPr>
        <w:spacing w:after="200"/>
      </w:pPr>
    </w:p>
    <w:tbl>
      <w:tblPr>
        <w:tblW w:type="dxa" w:w="9400"/>
        <w:tblBorders>
          <w:top w:val="single" w:color="1D6EEE" w:sz="8"/>
          <w:left w:val="single" w:color="1D6EEE" w:sz="8"/>
          <w:bottom w:val="single" w:color="1D6EEE" w:sz="8"/>
          <w:right w:val="single" w:color="1D6EEE" w:sz="8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shd w:fill="EAF1F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0B2A57"/>
                <w:sz w:val="24"/>
                <w:szCs w:val="24"/>
              </w:rPr>
              <w:t xml:space="preserve">Custo final da plataforma: </w:t>
            </w:r>
            <w:r>
              <w:rPr>
                <w:b/>
                <w:bCs/>
                <w:color w:val="1D6EEE"/>
                <w:sz w:val="24"/>
                <w:szCs w:val="24"/>
              </w:rPr>
              <w:t xml:space="preserve">R$ 200 por mês</w:t>
            </w:r>
          </w:p>
          <w:p>
            <w:pPr>
              <w:spacing w:before="100"/>
            </w:pPr>
            <w:r>
              <w:rPr>
                <w:color w:val="0B2A57"/>
                <w:sz w:val="21"/>
                <w:szCs w:val="21"/>
              </w:rPr>
              <w:t xml:space="preserve">(Hospedagem + um único número de WhatsApp automático, compartilhado hoje entre a Gestão de Laboratório e o Gerador de Contratos — ver seção 4.3 caso um dia seja necessário separar os números. Valores de referência: hospedagem a partir do plano Pro da Railway, ~US$ 20/mês, convertido pela cotação de US$ 1 = R$ 5,08; WhatsApp automático dentro da faixa de R$ 55 a R$ 99/mês pesquisada — ambos arredondados para R$ 100 para facilitar a leitura da tabela. Esse valor não inclui consumo de processamento acima do incluído no plano da Railway, nem eventuais variações cambiais ou reajustes dos fornecedores.)</w:t>
            </w:r>
          </w:p>
        </w:tc>
      </w:tr>
    </w:tbl>
    <w:p>
      <w:pPr>
        <w:spacing w:after="260"/>
      </w:pP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4.3. Se for necessário um número de WhatsApp por aplicação</w:t>
      </w:r>
    </w:p>
    <w:p>
      <w:pPr>
        <w:spacing w:after="160" w:line="300"/>
      </w:pPr>
      <w:r>
        <w:rPr>
          <w:sz w:val="21"/>
          <w:szCs w:val="21"/>
        </w:rPr>
        <w:t xml:space="preserve">O Z-API cobra por número de WhatsApp conectado à assinatura — não por mensagem enviada, nem por quantidade de aplicações que utilizam esse número. Hoje a Gestão de Laboratório (cobrança de laboratórios atrasados) e o Gerador de Contratos (envio do contrato assinado) dividem o mesmo número e a mesma assinatura — por isso o custo de R$ 100/mês aparece uma única vez na seção 4.2.</w:t>
      </w:r>
    </w:p>
    <w:p>
      <w:pPr>
        <w:spacing w:after="160" w:line="300"/>
      </w:pPr>
      <w:r>
        <w:rPr>
          <w:sz w:val="21"/>
          <w:szCs w:val="21"/>
        </w:rPr>
        <w:t xml:space="preserve">Se um dia for necessário um número próprio para cada aplicação — por exemplo, para separar o WhatsApp usado com laboratórios parceiros do usado com pacientes —, o Z-API passa a cobrar uma assinatura individual para cada número conectado. Nesse cenário, o item "WhatsApp automático" dobra, e o custo final da plataforma passa a ser:</w:t>
      </w:r>
    </w:p>
    <w:tbl>
      <w:tblPr>
        <w:tblW w:type="dxa" w:w="96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4200"/>
        <w:gridCol w:w="2700"/>
        <w:gridCol w:w="2700"/>
      </w:tblGrid>
      <w:tr>
        <w:trPr>
          <w:tblHeader/>
        </w:trPr>
        <w:tc>
          <w:tcPr>
            <w:tcW w:type="dxa" w:w="4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Cenário</w:t>
            </w:r>
          </w:p>
        </w:tc>
        <w:tc>
          <w:tcPr>
            <w:tcW w:type="dxa" w:w="2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2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Custo mensal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Número único (atual)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+ 1 número de WhatsApp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R$ 200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Um número por aplicação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+ 2 números de WhatsApp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R$ 300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sz w:val="21"/>
          <w:szCs w:val="21"/>
        </w:rPr>
        <w:t xml:space="preserve">Ou seja: separar os números soma mais R$ 100/mês ao custo da plataforma — o valor de uma segunda assinatura Z-API —, sem alterar o custo de hospedagem.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Fontes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Lei nº 14.063/2020 — Planalto.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Z-API — planos e preços (pesquisa de mercado, julho de 2026).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Railway — Pricing Plans, docs.railway.com (pesquisa de mercado, julho de 2026).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Repositório do Painel ABO Goiás — código-fonte de gestao_cme, gestao_lab, identificadores, gestao_contratos, contas e mensageria (.env.example, requirements.txt).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2026-07-23T15:03:10.239Z</dcterms:created>
  <dcterms:modified xsi:type="dcterms:W3CDTF">2026-07-23T15:03:10.261Z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