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EC04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Novelty / Contributions</w:t>
      </w:r>
    </w:p>
    <w:p w14:paraId="6A9D4FF5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</w:p>
    <w:p w14:paraId="3011699C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N1 — Code execution, not judgment, as the trust primitive.</w:t>
      </w:r>
    </w:p>
    <w:p w14:paraId="270D45F6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9654A">
        <w:rPr>
          <w:rFonts w:ascii="Times New Roman" w:hAnsi="Times New Roman" w:cs="Times New Roman"/>
          <w:sz w:val="24"/>
          <w:szCs w:val="24"/>
        </w:rPr>
        <w:t>AssureCode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 xml:space="preserve"> gates payment release on the deterministic outcome of actually executing the freelancer's code — sandboxed, pinned to the exact commit SHA reported by the webhook (never a branch, closing a force-push swap attack) — rather than on subjective evaluation of a submission. This is a fundamentally different verification primitive from the closest comparable systems: </w:t>
      </w:r>
      <w:proofErr w:type="spellStart"/>
      <w:r w:rsidRPr="0039654A">
        <w:rPr>
          <w:rFonts w:ascii="Times New Roman" w:hAnsi="Times New Roman" w:cs="Times New Roman"/>
          <w:sz w:val="24"/>
          <w:szCs w:val="24"/>
        </w:rPr>
        <w:t>GenLayer's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 xml:space="preserve"> freelance-escrow uses LLM "AI validators" that read a submitted URL and vote by consensus (judgment, not execution); </w:t>
      </w:r>
      <w:proofErr w:type="spellStart"/>
      <w:r w:rsidRPr="0039654A">
        <w:rPr>
          <w:rFonts w:ascii="Times New Roman" w:hAnsi="Times New Roman" w:cs="Times New Roman"/>
          <w:sz w:val="24"/>
          <w:szCs w:val="24"/>
        </w:rPr>
        <w:t>TessPay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 xml:space="preserve"> verifies agent transaction legitimacy via TEE attestation, not code output. Claim: first gig-economy escrow system to use real, sandboxed code execution as the payment-release primitive.</w:t>
      </w:r>
    </w:p>
    <w:p w14:paraId="4341C25D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</w:p>
    <w:p w14:paraId="4CCA3503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 xml:space="preserve">N2 — A fixed, publicly </w:t>
      </w:r>
      <w:proofErr w:type="spellStart"/>
      <w:r w:rsidRPr="0039654A">
        <w:rPr>
          <w:rFonts w:ascii="Times New Roman" w:hAnsi="Times New Roman" w:cs="Times New Roman"/>
          <w:sz w:val="24"/>
          <w:szCs w:val="24"/>
        </w:rPr>
        <w:t>recomputable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 xml:space="preserve"> formula in place of both black-box scores and subjective votes.</w:t>
      </w:r>
    </w:p>
    <w:p w14:paraId="04609C05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T = 0.40·S_test + 0.25·S_maint + 0.20·S_sec + 0.15·S_scope is a closed-form linear function of measured CI telemetry. Any party holding the raw telemetry can recompute the identical number — a property neither an opaque ML trust score nor an AI-validator vote (</w:t>
      </w:r>
      <w:proofErr w:type="spellStart"/>
      <w:r w:rsidRPr="0039654A">
        <w:rPr>
          <w:rFonts w:ascii="Times New Roman" w:hAnsi="Times New Roman" w:cs="Times New Roman"/>
          <w:sz w:val="24"/>
          <w:szCs w:val="24"/>
        </w:rPr>
        <w:t>GenLayer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>) nor a DAO arbitration vote (existing Ethereum freelance-escrow work) provides. Claim: a verifiable, third-party-</w:t>
      </w:r>
      <w:proofErr w:type="spellStart"/>
      <w:r w:rsidRPr="0039654A">
        <w:rPr>
          <w:rFonts w:ascii="Times New Roman" w:hAnsi="Times New Roman" w:cs="Times New Roman"/>
          <w:sz w:val="24"/>
          <w:szCs w:val="24"/>
        </w:rPr>
        <w:t>recomputable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 xml:space="preserve"> trust score for gig work, as distinct from both black-box and consensus-vote trust models.</w:t>
      </w:r>
    </w:p>
    <w:p w14:paraId="094E1CD3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</w:p>
    <w:p w14:paraId="14B47630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N3 — Structural refusal to fabricate a measurement.</w:t>
      </w:r>
    </w:p>
    <w:p w14:paraId="6A26D75E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The system enforces "no telemetry, no number" as an architectural invariant, not a convention: the API returns a distinct terminal error state rather than a default/placeholder score, and the frontend renders a visually distinct "not a reading" state rather than any plausible-looking digit. Related philosophy exists in adjacent tooling for AI-agent evaluation (</w:t>
      </w:r>
      <w:proofErr w:type="spellStart"/>
      <w:r w:rsidRPr="0039654A">
        <w:rPr>
          <w:rFonts w:ascii="Times New Roman" w:hAnsi="Times New Roman" w:cs="Times New Roman"/>
          <w:sz w:val="24"/>
          <w:szCs w:val="24"/>
        </w:rPr>
        <w:t>Zephr's</w:t>
      </w:r>
      <w:proofErr w:type="spellEnd"/>
      <w:r w:rsidRPr="0039654A">
        <w:rPr>
          <w:rFonts w:ascii="Times New Roman" w:hAnsi="Times New Roman" w:cs="Times New Roman"/>
          <w:sz w:val="24"/>
          <w:szCs w:val="24"/>
        </w:rPr>
        <w:t xml:space="preserve"> "no fabricated scores" evidence model), but applied here to a financial release gate in a gig-economy platform specifically. Claim: first application of this integrity-by-construction principle to an automated payment-release system, evidenced by the same failure-mode being distinct in both API contract and UI.</w:t>
      </w:r>
    </w:p>
    <w:p w14:paraId="6F21195F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</w:p>
    <w:p w14:paraId="63D744C0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 xml:space="preserve">N4 — </w:t>
      </w:r>
      <w:proofErr w:type="gramStart"/>
      <w:r w:rsidRPr="0039654A">
        <w:rPr>
          <w:rFonts w:ascii="Times New Roman" w:hAnsi="Times New Roman" w:cs="Times New Roman"/>
          <w:sz w:val="24"/>
          <w:szCs w:val="24"/>
        </w:rPr>
        <w:t>Post-quantum</w:t>
      </w:r>
      <w:proofErr w:type="gramEnd"/>
      <w:r w:rsidRPr="0039654A">
        <w:rPr>
          <w:rFonts w:ascii="Times New Roman" w:hAnsi="Times New Roman" w:cs="Times New Roman"/>
          <w:sz w:val="24"/>
          <w:szCs w:val="24"/>
        </w:rPr>
        <w:t>-signed, independently verifiable settlement ledger for gig-economy escrow.</w:t>
      </w:r>
    </w:p>
    <w:p w14:paraId="547561AD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Each settlement seals a Merkle root over the contract's event history and signs it with ML-DSA-87 (NIST FIPS 204), giving a third party (auditor, arbitrator, regulator) a way to verify the platform's own record without trusting its database. PQC-signed audit trails are an active general research area (Merkle Tree Certificate PKI, tamper-evident audit-trail work); this applies the technique specifically to gig-work payment history. Claim: first application of a post-quantum-signed, independently verifiable audit ledger to a freelance-payment settlement system (narrow, domain-specific claim — not a claim of inventing PQC-signed logs).</w:t>
      </w:r>
    </w:p>
    <w:p w14:paraId="36310137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</w:p>
    <w:p w14:paraId="11086CE1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N5 — Scope adherence as a quantified, weighted term in the pay</w:t>
      </w:r>
    </w:p>
    <w:p w14:paraId="0B45BBAC" w14:textId="77777777" w:rsidR="0039654A" w:rsidRPr="0039654A" w:rsidRDefault="0039654A" w:rsidP="0039654A">
      <w:pPr>
        <w:rPr>
          <w:rFonts w:ascii="Times New Roman" w:hAnsi="Times New Roman" w:cs="Times New Roman"/>
          <w:sz w:val="24"/>
          <w:szCs w:val="24"/>
        </w:rPr>
      </w:pPr>
      <w:r w:rsidRPr="0039654A">
        <w:rPr>
          <w:rFonts w:ascii="Times New Roman" w:hAnsi="Times New Roman" w:cs="Times New Roman"/>
          <w:sz w:val="24"/>
          <w:szCs w:val="24"/>
        </w:rPr>
        <w:t>A RAG-based scope guard evaluates client–freelancer chat messages against the originally locked contract requirements, and the result is one of the four weighted terms in the release formula (N2) — coupling natural-n directly to a financial decision, rather than leaving it as a manual dispute question (the human/DAO-arbitration model used elsewhere). Claim: first system to fold automated scope-adherence detection into a</w:t>
      </w:r>
    </w:p>
    <w:p w14:paraId="434A8CE5" w14:textId="0D3D775A" w:rsidR="00837E70" w:rsidRDefault="0039654A" w:rsidP="0039654A">
      <w:r w:rsidRPr="0039654A">
        <w:rPr>
          <w:rFonts w:ascii="Times New Roman" w:hAnsi="Times New Roman" w:cs="Times New Roman"/>
          <w:sz w:val="24"/>
          <w:szCs w:val="24"/>
        </w:rPr>
        <w:t>quantified payment-release formula, rather than</w:t>
      </w:r>
      <w:r>
        <w:t xml:space="preserve"> a separate dis</w:t>
      </w:r>
    </w:p>
    <w:sectPr w:rsidR="0083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4A"/>
    <w:rsid w:val="0039654A"/>
    <w:rsid w:val="00837E70"/>
    <w:rsid w:val="009F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6844"/>
  <w15:chartTrackingRefBased/>
  <w15:docId w15:val="{44EDFEF1-C24A-40C8-AF8D-B29B3EEC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Sowmith Shetty</dc:creator>
  <cp:keywords/>
  <dc:description/>
  <cp:lastModifiedBy>Sowmith Shetty</cp:lastModifiedBy>
  <cp:revision>1</cp:revision>
  <dcterms:created xsi:type="dcterms:W3CDTF">2026-08-30T11:08:00Z</dcterms:created>
  <dcterms:modified xsi:type="dcterms:W3CDTF">2026-08-30T11:09:00Z</dcterms:modified>
</cp:coreProperties>
</file>