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(§4.6);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оценка судьи, его категория и история судейства. Отклонённая заявка возвращается с причиной, и судья может подать её снова, пока приём открыт.</w:t>
      </w:r>
    </w:p>
    <w:bookmarkEnd w:id="58"/>
    <w:bookmarkStart w:id="59" w:name="система-проведения-и-её-утверждение"/>
    <w:p>
      <w:pPr>
        <w:pStyle w:val="Heading3"/>
      </w:pPr>
      <w:r>
        <w:t xml:space="preserve">4.5.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9"/>
    <w:bookmarkStart w:id="60" w:name="ход-турнира"/>
    <w:p>
      <w:pPr>
        <w:pStyle w:val="Heading3"/>
      </w:pPr>
      <w:r>
        <w:t xml:space="preserve">4.6.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0"/>
    <w:bookmarkStart w:id="61" w:name="итоговый-протокол-и-его-утверждение"/>
    <w:p>
      <w:pPr>
        <w:pStyle w:val="Heading3"/>
      </w:pPr>
      <w:r>
        <w:t xml:space="preserve">4.7.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1"/>
    <w:bookmarkStart w:id="62" w:name="печать-протоколов"/>
    <w:p>
      <w:pPr>
        <w:pStyle w:val="Heading3"/>
      </w:pPr>
      <w:r>
        <w:t xml:space="preserve">4.8.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4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4"/>
    <w:bookmarkStart w:id="65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5"/>
    <w:bookmarkStart w:id="66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8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8"/>
    <w:bookmarkStart w:id="69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9"/>
    <w:bookmarkStart w:id="70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система-рейтинга"/>
    <w:p>
      <w:pPr>
        <w:pStyle w:val="Heading2"/>
      </w:pPr>
      <w:r>
        <w:t xml:space="preserve">7. Система рейтинга</w:t>
      </w:r>
    </w:p>
    <w:bookmarkStart w:id="72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2"/>
    <w:bookmarkStart w:id="73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5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5"/>
    <w:bookmarkStart w:id="76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6"/>
    <w:bookmarkStart w:id="77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9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9"/>
    <w:bookmarkStart w:id="80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82"/>
    <w:bookmarkStart w:id="83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3"/>
    <w:bookmarkStart w:id="84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4"/>
    <w:bookmarkStart w:id="87" w:name="этапы-разработки"/>
    <w:p>
      <w:pPr>
        <w:pStyle w:val="Heading2"/>
      </w:pPr>
      <w:r>
        <w:t xml:space="preserve">13. Этапы разработки</w:t>
      </w:r>
    </w:p>
    <w:bookmarkStart w:id="85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5"/>
    <w:bookmarkStart w:id="86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6"/>
    <w:bookmarkEnd w:id="87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2026-07-18T07:34:14Z</dcterms:created>
  <dcterms:modified xsi:type="dcterms:W3CDTF">2026-07-18T07:34:14Z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