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после каждого турнира по заложенной в системе методике (ELO),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к турнирам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Предусмотрена монетизация (§11).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все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судей: сбор, анализ и обработка, с доступом ко всем протоколам и соревнованиям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(§13).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1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жизненный-цикл-турнира"/>
    <w:p>
      <w:pPr>
        <w:pStyle w:val="Heading3"/>
      </w:pPr>
      <w:r>
        <w:t xml:space="preserve">4.1.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5"/>
    <w:bookmarkStart w:id="56" w:name="создание-турнира-и-назначение-судьи"/>
    <w:p>
      <w:pPr>
        <w:pStyle w:val="Heading3"/>
      </w:pPr>
      <w:r>
        <w:t xml:space="preserve">4.2. Создание турнира и назначение судьи</w:t>
      </w:r>
    </w:p>
    <w:p>
      <w:pPr>
        <w:pStyle w:val="FirstParagraph"/>
      </w:pPr>
      <w:r>
        <w:t xml:space="preserve">Председатель судейской коллегии создаёт турнир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Судейство распределяется через заявки. Турнир открывается для заявок, судьи подают их, а председатель судейской коллегии выбирает одного из заявившихся: в списке заявок видны рейтинг судьи, его категория и история судейства. На небольшой турнир судью можно назначить напрямую, не собирая заявки. Отклонённая заявка возвращается с причиной, и судья может подать её снова, пока приём открыт.</w:t>
      </w:r>
    </w:p>
    <w:bookmarkEnd w:id="56"/>
    <w:bookmarkStart w:id="57" w:name="система-проведения-и-её-утверждение"/>
    <w:p>
      <w:pPr>
        <w:pStyle w:val="Heading3"/>
      </w:pPr>
      <w:r>
        <w:t xml:space="preserve">4.3.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назначает судей столов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57"/>
    <w:bookmarkStart w:id="58" w:name="ход-турнира"/>
    <w:p>
      <w:pPr>
        <w:pStyle w:val="Heading3"/>
      </w:pPr>
      <w:r>
        <w:t xml:space="preserve">4.4.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результата, а любой результат можно скорректировать вручную с записью в журнал. Матч не стартует, пока на стол не назначен судья стола.</w:t>
      </w:r>
    </w:p>
    <w:bookmarkEnd w:id="58"/>
    <w:bookmarkStart w:id="59" w:name="итоговый-протокол-и-его-утверждение"/>
    <w:p>
      <w:pPr>
        <w:pStyle w:val="Heading3"/>
      </w:pPr>
      <w:r>
        <w:t xml:space="preserve">4.5.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59"/>
    <w:bookmarkStart w:id="60" w:name="печать-протоколов"/>
    <w:p>
      <w:pPr>
        <w:pStyle w:val="Heading3"/>
      </w:pPr>
      <w:r>
        <w:t xml:space="preserve">4.6.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2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2"/>
    <w:bookmarkStart w:id="63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3"/>
    <w:bookmarkStart w:id="64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9" w:name="интерфейс-судьи-стола-адаптивный-сайт"/>
    <w:p>
      <w:pPr>
        <w:pStyle w:val="Heading2"/>
      </w:pPr>
      <w:r>
        <w:t xml:space="preserve">6. 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Start w:id="66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Последнюю партию можно исправить, правка пишется в журнал. Готовый результат уходит главному судье турнира и в базу.</w:t>
      </w:r>
    </w:p>
    <w:bookmarkEnd w:id="66"/>
    <w:bookmarkStart w:id="67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67"/>
    <w:bookmarkStart w:id="68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2" w:name="система-рейтинга"/>
    <w:p>
      <w:pPr>
        <w:pStyle w:val="Heading2"/>
      </w:pPr>
      <w:r>
        <w:t xml:space="preserve">7. Система рейтинга</w:t>
      </w:r>
    </w:p>
    <w:bookmarkStart w:id="70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системе и одинаковой для всех турниров. Пересчёт запускается после того, как председатель судейской коллегии утвердил результаты турнира (§4.5), и не задваивается при повторе. Методика на базе ELO: рейтинг меняется по итогу матча с учётом силы соперника, а коэффициенты по уровню турнира и силе игрока зафиксированы в Приложении А.</w:t>
      </w:r>
    </w:p>
    <w:bookmarkEnd w:id="70"/>
    <w:bookmarkStart w:id="71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Рейтинг ведётся и для судей, но считается иначе: судья не выигрывает и не проигрывает матч, поэтому ELO к нему неприменим. У федерации есть действующая нормативная методика оценки критериев казахстанских спортивных судей, и система её оцифровывает: критерии переносятся в систему, а оценка считается автоматически по мере того, как судья работает на турнирах, без ручного подсчёта.</w:t>
      </w:r>
    </w:p>
    <w:p>
      <w:pPr>
        <w:pStyle w:val="BodyText"/>
      </w:pPr>
      <w:r>
        <w:t xml:space="preserve">Оценку судей ведёт председатель судейской коллегии: сбор, анализ и обработка данных на его стороне. Для этого у него есть доступ ко всем протоколам и ко всем соревнованиям, а не только к тем турнирам, где он что-то утверждал.</w:t>
      </w:r>
    </w:p>
    <w:p>
      <w:pPr>
        <w:pStyle w:val="BodyText"/>
      </w:pPr>
      <w:r>
        <w:t xml:space="preserve">Оценка видна ему же при выборе судьи на турнир (§4.2), поэтому от неё напрямую зависит распределение судейства.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онлайн-заявки-права-по-уровню-турнира"/>
    <w:p>
      <w:pPr>
        <w:pStyle w:val="Heading2"/>
      </w:pPr>
      <w:r>
        <w:t xml:space="preserve">8. Онлайн-заявки (права по уровню турнира)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 или представитель федерации</w:t>
            </w:r>
          </w:p>
        </w:tc>
      </w:tr>
    </w:tbl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p>
      <w:pPr>
        <w:pStyle w:val="BodyText"/>
      </w:pPr>
      <w:r>
        <w:t xml:space="preserve">Заявка от участника с неоплаченным регистрационным взносом не проходит (§9.2).</w:t>
      </w:r>
    </w:p>
    <w:p>
      <w:r>
        <w:pict>
          <v:rect style="width:0;height:1.5pt" o:hralign="center" o:hrstd="t" o:hr="t"/>
        </w:pict>
      </w:r>
    </w:p>
    <w:bookmarkEnd w:id="73"/>
    <w:bookmarkStart w:id="76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74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74"/>
    <w:bookmarkStart w:id="75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Участие в системе привязано к ежегодному регистрационному взносу. Система ведёт по каждому участнику состояние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t xml:space="preserve">Состояние взноса влияет на допуск: заявка на турнир от участника с неоплаченным взносом не проходит. Тренер, подавая список игроков, видит по каждому состояние взноса до отправки заявки,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Помимо сайта, игроку доступно нативное приложение под Android и iOS как дополнительный удобный канал; болельщики и гости пользуются публичным сайтом. В приложении игрок видит свой профиль и рейтинг, свои турниры и матчи (ближайший турнир, статус заявки, текущий матч), может подать заявку и следить за матчами в реальном времени. Уведомления сообщают о вызове на стол, статусе заявки и результатах. Базовая аналитика бесплатна, расширенная платная (§11).</w:t>
      </w:r>
    </w:p>
    <w:p>
      <w:pPr>
        <w:pStyle w:val="BodyText"/>
      </w:pPr>
      <w:r>
        <w:t xml:space="preserve">Данные и вход общие с сайтом.</w:t>
      </w:r>
    </w:p>
    <w:p>
      <w:r>
        <w:pict>
          <v:rect style="width:0;height:1.5pt" o:hralign="center" o:hrstd="t" o:hr="t"/>
        </w:pict>
      </w:r>
    </w:p>
    <w:bookmarkEnd w:id="77"/>
    <w:bookmarkStart w:id="78" w:name="монетизация"/>
    <w:p>
      <w:pPr>
        <w:pStyle w:val="Heading2"/>
      </w:pPr>
      <w:r>
        <w:t xml:space="preserve">11. Монетизация</w:t>
      </w:r>
    </w:p>
    <w:p>
      <w:pPr>
        <w:pStyle w:val="FirstParagraph"/>
      </w:pPr>
      <w:r>
        <w:t xml:space="preserve">Базовые функции сайта и приложения бесплатны. Платно предлагается</w:t>
      </w:r>
      <w:r>
        <w:t xml:space="preserve"> </w:t>
      </w:r>
      <w:r>
        <w:rPr>
          <w:b/>
          <w:bCs/>
        </w:rPr>
        <w:t xml:space="preserve">расширенная аналитика игрока</w:t>
      </w:r>
      <w:r>
        <w:t xml:space="preserve">: детальная статистика, разбор по очкам, прогноз рейтинга, подробная история встреч, экспорт.</w:t>
      </w:r>
    </w:p>
    <w:p>
      <w:pPr>
        <w:pStyle w:val="BodyText"/>
      </w:pPr>
      <w:r>
        <w:t xml:space="preserve">Оплата встроена в сайт и приложение. Бесплатный уровень остаётся полноценным.</w:t>
      </w:r>
    </w:p>
    <w:p>
      <w:r>
        <w:pict>
          <v:rect style="width:0;height:1.5pt" o:hralign="center" o:hrstd="t" o:hr="t"/>
        </w:pict>
      </w:r>
    </w:p>
    <w:bookmarkEnd w:id="78"/>
    <w:bookmarkStart w:id="79" w:name="технологические-принципы"/>
    <w:p>
      <w:pPr>
        <w:pStyle w:val="Heading2"/>
      </w:pPr>
      <w:r>
        <w:t xml:space="preserve">12.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в облаке с ежедневными резервными копиями. Конструктор сеток и методика рейтинга меняются настройками, без переписывания системы.</w:t>
      </w:r>
    </w:p>
    <w:p>
      <w:r>
        <w:pict>
          <v:rect style="width:0;height:1.5pt" o:hralign="center" o:hrstd="t" o:hr="t"/>
        </w:pict>
      </w:r>
    </w:p>
    <w:bookmarkEnd w:id="79"/>
    <w:bookmarkStart w:id="80" w:name="нефункциональные-требования"/>
    <w:p>
      <w:pPr>
        <w:pStyle w:val="Heading2"/>
      </w:pPr>
      <w:r>
        <w:t xml:space="preserve">13. Нефункциональные требования</w:t>
      </w:r>
    </w:p>
    <w:p>
      <w:pPr>
        <w:pStyle w:val="Compact"/>
        <w:numPr>
          <w:ilvl w:val="0"/>
          <w:numId w:val="1001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1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1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1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1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1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1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данные синхронизируются без потери счёта.</w:t>
      </w:r>
    </w:p>
    <w:p>
      <w:pPr>
        <w:pStyle w:val="Compact"/>
        <w:numPr>
          <w:ilvl w:val="0"/>
          <w:numId w:val="1001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1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0"/>
    <w:bookmarkStart w:id="83" w:name="этапы-разработки"/>
    <w:p>
      <w:pPr>
        <w:pStyle w:val="Heading2"/>
      </w:pPr>
      <w:r>
        <w:t xml:space="preserve">14. Этапы разработки</w:t>
      </w:r>
    </w:p>
    <w:bookmarkStart w:id="81" w:name="порядок-работы-по-этапам"/>
    <w:p>
      <w:pPr>
        <w:pStyle w:val="Heading3"/>
      </w:pPr>
      <w:r>
        <w:t xml:space="preserve">14.1. Порядок работы по этапам</w:t>
      </w:r>
    </w:p>
    <w:p>
      <w:pPr>
        <w:pStyle w:val="FirstParagraph"/>
      </w:pPr>
      <w:r>
        <w:t xml:space="preserve">Настоящий документ описывает систему в целом и задаёт рамку работ. Довести его сразу до уровня отдельных шагов невозможно: значительная часть решений выясняется только в ходе исследования и анализа конкретного этапа.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исследование и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при этом остаётся рамочным и не подменяется.</w:t>
      </w:r>
    </w:p>
    <w:bookmarkEnd w:id="81"/>
    <w:bookmarkStart w:id="82" w:name="план"/>
    <w:p>
      <w:pPr>
        <w:pStyle w:val="Heading3"/>
      </w:pPr>
      <w:r>
        <w:t xml:space="preserve">14.2.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Монетизация</w:t>
            </w:r>
          </w:p>
        </w:tc>
        <w:tc>
          <w:tcPr/>
          <w:p>
            <w:pPr>
              <w:pStyle w:val="Compact"/>
            </w:pPr>
            <w:r>
              <w:t xml:space="preserve">аналитика по матчам игроков, платный доступ к записям и аналитике, оплата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82"/>
    <w:bookmarkEnd w:id="83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2026-07-17T11:23:47Z</dcterms:created>
  <dcterms:modified xsi:type="dcterms:W3CDTF">2026-07-17T11:23:47Z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