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официальные (республиканские) турниры и клубные (лиги и любительские) идут в одной системе, а рейтинговые из них — в одном рейтинге. Различаются они прежде всего тем, кто турнир заводит и проводит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десять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официальные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итогового протокола официальных турниров,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распределение судей по столам, рассмотрение заявок, вызов пар, ввод счёта на клубных турнирах,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Организатор клуба</w:t>
            </w:r>
          </w:p>
        </w:tc>
        <w:tc>
          <w:tcPr/>
          <w:p>
            <w:pPr>
              <w:pStyle w:val="Compact"/>
            </w:pPr>
            <w:r>
              <w:t xml:space="preserve">свой клуб</w:t>
            </w:r>
          </w:p>
        </w:tc>
        <w:tc>
          <w:tcPr/>
          <w:p>
            <w:pPr>
              <w:pStyle w:val="Compact"/>
            </w:pPr>
            <w:r>
              <w:t xml:space="preserve">заведение и проведение клубных турниров (лига, любительский): регламент, флаги, назначение главного судьи, плата за турнир (§4.1, §9.3)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и клубные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типы-турниров-и-их-настройка"/>
    <w:p>
      <w:pPr>
        <w:pStyle w:val="Heading3"/>
      </w:pPr>
      <w:r>
        <w:t xml:space="preserve">4.1. Типы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Определяющее различие — не категория, а</w:t>
      </w:r>
      <w:r>
        <w:t xml:space="preserve"> </w:t>
      </w:r>
      <w:r>
        <w:rPr>
          <w:b/>
          <w:bCs/>
        </w:rPr>
        <w:t xml:space="preserve">тип управления</w:t>
      </w:r>
      <w:r>
        <w:t xml:space="preserve">: кто турнир заводит и проводит.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Кто заводит</w:t>
            </w:r>
          </w:p>
        </w:tc>
        <w:tc>
          <w:tcPr/>
          <w:p>
            <w:pPr>
              <w:pStyle w:val="Compact"/>
            </w:pPr>
            <w:r>
              <w:t xml:space="preserve">Судейство</w:t>
            </w:r>
          </w:p>
        </w:tc>
        <w:tc>
          <w:tcPr/>
          <w:p>
            <w:pPr>
              <w:pStyle w:val="Compact"/>
            </w:pPr>
            <w:r>
              <w:t xml:space="preserve">Утверждения коллегией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Официальный</w:t>
            </w:r>
            <w:r>
              <w:t xml:space="preserve"> </w:t>
            </w:r>
            <w:r>
              <w:t xml:space="preserve">(республиканский)</w:t>
            </w:r>
          </w:p>
        </w:tc>
        <w:tc>
          <w:tcPr/>
          <w:p>
            <w:pPr>
              <w:pStyle w:val="Compact"/>
            </w:pPr>
            <w:r>
              <w:t xml:space="preserve">федерация / 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конкурс главного судьи, судьи на столах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Клубный</w:t>
            </w:r>
            <w:r>
              <w:t xml:space="preserve"> </w:t>
            </w:r>
            <w:r>
              <w:t xml:space="preserve">(лига или любительский)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организатор клуба</w:t>
            </w:r>
            <w:r>
              <w:t xml:space="preserve"> </w:t>
            </w:r>
            <w:r>
              <w:t xml:space="preserve">(руководитель, менеджер, тренер клуба)</w:t>
            </w:r>
          </w:p>
        </w:tc>
        <w:tc>
          <w:tcPr/>
          <w:p>
            <w:pPr>
              <w:pStyle w:val="Compact"/>
            </w:pPr>
            <w:r>
              <w:t xml:space="preserve">главного судью назначает организатор неформально, судей на столах обычно 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rPr>
          <w:b/>
          <w:bCs/>
        </w:rPr>
        <w:t xml:space="preserve">«Лига» — это не отдельная категория, а клубный турнир.</w:t>
      </w:r>
      <w:r>
        <w:t xml:space="preserve"> </w:t>
      </w:r>
      <w:r>
        <w:t xml:space="preserve">Часть лиг считается в рейтинге и требует протоколов, но судей на столах не имеет; в отдельном клубе лигу могут проводить и с судьями; большинство лиг по сути любительские. Клубный турнир может быть рейтинговым и со временем стать официальным. Поэтому свойства турнира задаются</w:t>
      </w:r>
      <w:r>
        <w:t xml:space="preserve"> </w:t>
      </w:r>
      <w:r>
        <w:rPr>
          <w:b/>
          <w:bCs/>
        </w:rPr>
        <w:t xml:space="preserve">не ярлыком, а независимыми флагами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судьи на столах</w:t>
      </w:r>
      <w:r>
        <w:t xml:space="preserve"> </w:t>
      </w:r>
      <w:r>
        <w:t xml:space="preserve">— нужны или нет (действует ли правило «матч не стартует без судьи», §4.7);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рейтинг</w:t>
      </w:r>
      <w:r>
        <w:t xml:space="preserve"> </w:t>
      </w:r>
      <w:r>
        <w:t xml:space="preserve">— учитывается ли турнир в рейтинге игроков;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плата за турнир</w:t>
      </w:r>
      <w:r>
        <w:t xml:space="preserve"> </w:t>
      </w:r>
      <w:r>
        <w:t xml:space="preserve">— сбор за участие, который ставит организатор (отдельно от годового взноса федерации, §9);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ценз по рейтингу</w:t>
      </w:r>
      <w:r>
        <w:t xml:space="preserve"> </w:t>
      </w:r>
      <w:r>
        <w:t xml:space="preserve">— организатор клубного турнира может ограничить допуск по уровню игрока (не выше или не ниже порога);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годовой взнос</w:t>
      </w:r>
      <w:r>
        <w:t xml:space="preserve"> </w:t>
      </w:r>
      <w:r>
        <w:t xml:space="preserve">— требуется ли оплаченный членский взнос федерации (обычно официальные);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документы к заявке</w:t>
      </w:r>
      <w:r>
        <w:t xml:space="preserve"> </w:t>
      </w:r>
      <w:r>
        <w:t xml:space="preserve">— нужны или нет;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утверждение коллегией</w:t>
      </w:r>
      <w:r>
        <w:t xml:space="preserve"> </w:t>
      </w:r>
      <w:r>
        <w:t xml:space="preserve">— только официальные.</w:t>
      </w:r>
    </w:p>
    <w:p>
      <w:pPr>
        <w:pStyle w:val="FirstParagraph"/>
      </w:pPr>
      <w:r>
        <w:rPr>
          <w:b/>
          <w:bCs/>
        </w:rPr>
        <w:t xml:space="preserve">В рейтинг может идти любой турнир</w:t>
      </w:r>
      <w:r>
        <w:t xml:space="preserve">, если у него включён флаг рейтинга: клубный турнир так же меняет рейтинг игрока, как официальный, иначе система обслуживает меньшинство.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Тип управления задаёт умолчания флагов, но каждый флаг правится под конкретное соревнование. Так клубный турнир можно провести со строгим допуском, а любительский — с судьями, не заводя ради этого новый тип.</w:t>
      </w:r>
    </w:p>
    <w:p>
      <w:pPr>
        <w:pStyle w:val="BodyText"/>
      </w:pPr>
      <w:r>
        <w:t xml:space="preserve">Полный ход турнира, описанный ниже, соответствует официальному турниру — он самый длинный, с конкурсом судей и утверждениями. У клубного турнира конкурса судей и утверждений нет, судью назначает организатор, а счёт вводит главный судья (§6.4).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p>
      <w:pPr>
        <w:pStyle w:val="BodyText"/>
      </w:pPr>
      <w:r>
        <w:t xml:space="preserve">Порядок ниже — для официального турнира.</w:t>
      </w:r>
      <w:r>
        <w:t xml:space="preserve"> </w:t>
      </w:r>
      <w:r>
        <w:rPr>
          <w:b/>
          <w:bCs/>
        </w:rPr>
        <w:t xml:space="preserve">Обратите внимание на порядок: сначала регламент и приём заявок игроков, и только потом главный судья строит сетку и расписание</w:t>
      </w:r>
      <w:r>
        <w:t xml:space="preserve"> </w:t>
      </w:r>
      <w:r>
        <w:t xml:space="preserve">— построить сетку раньше, чем собран состав, нельзя.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коллегия (официальный) / организатор клуба (клубный)</w:t>
            </w:r>
          </w:p>
        </w:tc>
        <w:tc>
          <w:tcPr/>
          <w:p>
            <w:pPr>
              <w:pStyle w:val="Compact"/>
            </w:pPr>
            <w:r>
              <w:t xml:space="preserve">турнир заведён с регламентом,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только официальный: 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тренеры, организатор</w:t>
            </w:r>
          </w:p>
        </w:tc>
        <w:tc>
          <w:tcPr/>
          <w:p>
            <w:pPr>
              <w:pStyle w:val="Compact"/>
            </w:pPr>
            <w:r>
              <w:t xml:space="preserve">турнир опубликован, идёт запись участников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по собранному составу судья строит сетку, расписание, распределяет судей по столам —</w:t>
            </w:r>
            <w:r>
              <w:t xml:space="preserve"> </w:t>
            </w:r>
            <w:r>
              <w:rPr>
                <w:b/>
                <w:bCs/>
              </w:rPr>
              <w:t xml:space="preserve">без утверждения коллегией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</w:t>
            </w:r>
          </w:p>
        </w:tc>
        <w:tc>
          <w:tcPr/>
          <w:p>
            <w:pPr>
              <w:pStyle w:val="Compact"/>
            </w:pPr>
            <w:r>
              <w:t xml:space="preserve">Главный судья; коллегия — только официальный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сформирован; официальный уходит на утверждение коллегии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протокол закрыт, рейтинг пересчитан (если турнир рейтинговый)</w:t>
            </w:r>
          </w:p>
        </w:tc>
      </w:tr>
    </w:tbl>
    <w:p>
      <w:pPr>
        <w:pStyle w:val="BodyText"/>
      </w:pPr>
      <w:r>
        <w:t xml:space="preserve">Отдельного состояния «набор судей столов» нет: судьи не набираются вторым конкурсом. Главный судья распределяет доступных судей по столам на этапе системы проведения (§4.5).</w:t>
      </w:r>
    </w:p>
    <w:p>
      <w:pPr>
        <w:pStyle w:val="BodyText"/>
      </w:pPr>
      <w:r>
        <w:t xml:space="preserve">Систему проведения главный судья строит сам, по регламенту, составу, столам и времени с подсказкой системы (§5.3) —</w:t>
      </w:r>
      <w:r>
        <w:t xml:space="preserve"> </w:t>
      </w:r>
      <w:r>
        <w:rPr>
          <w:b/>
          <w:bCs/>
        </w:rPr>
        <w:t xml:space="preserve">утверждение коллегией не требуется</w:t>
      </w:r>
      <w:r>
        <w:t xml:space="preserve">. Итоговый протокол на официальном турнире председатель судейской коллегии утверждает; на клубном коллегии нет, протокол закрывает главный судья.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федерации, судьям или организатору.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Официальный турнир создаёт председатель судейской коллегии и задаёт регламент: название, уровень, город, окно дат, формат, категории, столы.</w:t>
      </w:r>
    </w:p>
    <w:p>
      <w:pPr>
        <w:pStyle w:val="BodyText"/>
      </w:pPr>
      <w:r>
        <w:rPr>
          <w:b/>
          <w:bCs/>
        </w:rPr>
        <w:t xml:space="preserve">Клубный турнир (лигу или любительский) заводит организатор клуба</w:t>
      </w:r>
      <w:r>
        <w:t xml:space="preserve"> </w:t>
      </w:r>
      <w:r>
        <w:t xml:space="preserve">— руководитель, менеджер или тренер клуба, который турнир проводит. Коллегия в клубных турнирах не участвует. Организатор задаёт регламент и флаги (§4.1): нужны ли судьи, есть ли плата за турнир, учитывается ли рейтинг, есть ли ценз по рейтингу.</w:t>
      </w:r>
    </w:p>
    <w:p>
      <w:pPr>
        <w:pStyle w:val="BodyText"/>
      </w:pPr>
      <w:r>
        <w:t xml:space="preserve">На официальном турнире судейство распределяется через заявки, и происходит это до публикации: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распределение-судей-по-столам"/>
    <w:p>
      <w:pPr>
        <w:pStyle w:val="Heading3"/>
      </w:pPr>
      <w:r>
        <w:t xml:space="preserve">4.5. Распределение судей по столам</w:t>
      </w:r>
    </w:p>
    <w:p>
      <w:pPr>
        <w:pStyle w:val="FirstParagraph"/>
      </w:pPr>
      <w:r>
        <w:t xml:space="preserve">Отдельного конкурса на судейство столов нет. Судьи набираются один раз, при назначении на турнир (§4.4), а главный судья затем</w:t>
      </w:r>
      <w:r>
        <w:t xml:space="preserve"> </w:t>
      </w:r>
      <w:r>
        <w:rPr>
          <w:b/>
          <w:bCs/>
        </w:rPr>
        <w:t xml:space="preserve">распределяет доступных судей по свободным столам</w:t>
      </w:r>
      <w:r>
        <w:t xml:space="preserve"> </w:t>
      </w:r>
      <w:r>
        <w:t xml:space="preserve">на этапе системы проведения. Это не отдельный этап и не второй приём заявок, а шаг внутри подготовки турнира.</w:t>
      </w:r>
    </w:p>
    <w:p>
      <w:pPr>
        <w:pStyle w:val="BodyText"/>
      </w:pPr>
      <w:r>
        <w:t xml:space="preserve">Распределение идёт при сборке системы проведения: расставить судей по конкретным столам можно только когда известны столы и расписание.</w:t>
      </w:r>
    </w:p>
    <w:bookmarkEnd w:id="59"/>
    <w:bookmarkStart w:id="60" w:name="система-проведения"/>
    <w:p>
      <w:pPr>
        <w:pStyle w:val="Heading3"/>
      </w:pPr>
      <w:r>
        <w:t xml:space="preserve">4.6. Система проведения</w:t>
      </w:r>
    </w:p>
    <w:p>
      <w:pPr>
        <w:pStyle w:val="FirstParagraph"/>
      </w:pPr>
      <w:r>
        <w:t xml:space="preserve">Систему проведения строит главный судья турнира</w:t>
      </w:r>
      <w:r>
        <w:t xml:space="preserve"> </w:t>
      </w:r>
      <w:r>
        <w:rPr>
          <w:b/>
          <w:bCs/>
        </w:rPr>
        <w:t xml:space="preserve">после того, как собран состав</w:t>
      </w:r>
      <w:r>
        <w:t xml:space="preserve"> </w:t>
      </w:r>
      <w:r>
        <w:t xml:space="preserve">(§8): по числу участников выбирает формат сетки (из библиотеки или свой через конструктор, §5) и дисциплину; число партий; расписание по дням и столам. Он же распределяет судей по столам (§4.5) и отмечает столы с трансляцией. Участники расставляются с посевом или жеребьёвкой.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rPr>
          <w:b/>
          <w:bCs/>
        </w:rPr>
        <w:t xml:space="preserve">Утверждение коллегией не требуется.</w:t>
      </w:r>
      <w:r>
        <w:t xml:space="preserve"> </w:t>
      </w:r>
      <w:r>
        <w:t xml:space="preserve">Главный судья — квалифицированный и назначенный (на официальном турнире) специалист; он решает систему проведения сам по регламенту и подсказке системы. Возвратов и отдельного утверждения на этом этапе нет.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</w:t>
      </w:r>
      <w:r>
        <w:t xml:space="preserve"> </w:t>
      </w:r>
      <w:r>
        <w:rPr>
          <w:b/>
          <w:bCs/>
        </w:rPr>
        <w:t xml:space="preserve">Правка ограничена по времени, чтобы не сломать сетку:</w:t>
      </w:r>
      <w:r>
        <w:t xml:space="preserve"> </w:t>
      </w:r>
      <w:r>
        <w:t xml:space="preserve">результат, вошедший в следующий круг, задевает уже построенную сетку. На групповом этапе матч можно править до конца этапа, дальше — по установленному лимиту.</w:t>
      </w:r>
      <w:r>
        <w:t xml:space="preserve"> </w:t>
      </w:r>
      <w:r>
        <w:rPr>
          <w:b/>
          <w:bCs/>
        </w:rPr>
        <w:t xml:space="preserve">При обрыве связи приоритет у судьи стола</w:t>
      </w:r>
      <w:r>
        <w:t xml:space="preserve"> </w:t>
      </w:r>
      <w:r>
        <w:t xml:space="preserve">— он видит реальную игру; накопленные локально события синхронизируются после восстановления связи, и при расхождении с другими устройствами верным считается ввод судьи стола (§12).</w:t>
      </w:r>
    </w:p>
    <w:bookmarkEnd w:id="61"/>
    <w:bookmarkStart w:id="62" w:name="итоговый-протокол"/>
    <w:p>
      <w:pPr>
        <w:pStyle w:val="Heading3"/>
      </w:pPr>
      <w:r>
        <w:t xml:space="preserve">4.8. Итоговый протокол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блокируется. На</w:t>
      </w:r>
      <w:r>
        <w:t xml:space="preserve"> </w:t>
      </w:r>
      <w:r>
        <w:rPr>
          <w:b/>
          <w:bCs/>
        </w:rPr>
        <w:t xml:space="preserve">официальном</w:t>
      </w:r>
      <w:r>
        <w:t xml:space="preserve"> </w:t>
      </w:r>
      <w:r>
        <w:t xml:space="preserve">турнире протокол уходит на утверждение председателю судейской коллегии — тот сверяет его и либо утверждает, и тогда запускается пересчёт рейтинга, либо возвращает с причиной (ввод открывается снова, судья исправляет и отправляет повторно). На</w:t>
      </w:r>
      <w:r>
        <w:t xml:space="preserve"> </w:t>
      </w:r>
      <w:r>
        <w:rPr>
          <w:b/>
          <w:bCs/>
        </w:rPr>
        <w:t xml:space="preserve">клубном</w:t>
      </w:r>
      <w:r>
        <w:t xml:space="preserve"> </w:t>
      </w:r>
      <w:r>
        <w:t xml:space="preserve">турнире коллегии нет: главный судья закрывает протокол сам, и если турнир рейтинговый — рейтинг пересчитывается.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стола есть, счёт ведёт и подтверждает он (§6.1–6.3); где судей нет, счёт вводит главный судья со слов победителя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клубных турнирах судей на столах обычно нет, и счёт ведёт</w:t>
      </w:r>
      <w:r>
        <w:t xml:space="preserve"> </w:t>
      </w:r>
      <w:r>
        <w:rPr>
          <w:b/>
          <w:bCs/>
        </w:rPr>
        <w:t xml:space="preserve">главный судья</w:t>
      </w:r>
      <w:r>
        <w:t xml:space="preserve">: победитель матча подходит к нему и называет результат, судья вводит его в систему. Ввод по партиям, как в §6.1: итог матча вычисляется из партий. Ввода счёта самим игроком и подтверждения соперником нет — достаточно, что победитель сообщил результат судье.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Главного судью на клубном турнире назначает</w:t>
      </w:r>
      <w:r>
        <w:t xml:space="preserve"> </w:t>
      </w:r>
      <w:r>
        <w:rPr>
          <w:b/>
          <w:bCs/>
        </w:rPr>
        <w:t xml:space="preserve">организатор неформально</w:t>
      </w:r>
      <w:r>
        <w:t xml:space="preserve"> </w:t>
      </w:r>
      <w:r>
        <w:t xml:space="preserve">— это может быть кто-то из администраторов клуба или тренеров. Он следит за ходом соревнования, вызывает пары на стол и вводит результаты. Отличие от официального турнира не в отсутствии судейства, а в том, что судей на столах и судейской коллегии нет, а главного судью не выбирают конкурсом.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систему. Он пересчитывается по любому</w:t>
      </w:r>
      <w:r>
        <w:t xml:space="preserve"> </w:t>
      </w:r>
      <w:r>
        <w:rPr>
          <w:b/>
          <w:bCs/>
        </w:rPr>
        <w:t xml:space="preserve">рейтинговому</w:t>
      </w:r>
      <w:r>
        <w:t xml:space="preserve"> </w:t>
      </w:r>
      <w:r>
        <w:t xml:space="preserve">турниру: официальные учитываются всегда, клубный — если у него включён флаг рейтинга (§4.1). Результат рейтингового клубного турнира влияет на рейтинг так же, как официального.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X4889595615c5cc59d686ff1713bf7773b2c0402"/>
    <w:p>
      <w:pPr>
        <w:pStyle w:val="Heading3"/>
      </w:pPr>
      <w:r>
        <w:t xml:space="preserve">8.1. Запись на клубный турнир (лига или любительский)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</w:t>
      </w:r>
      <w:r>
        <w:t xml:space="preserve"> </w:t>
      </w:r>
      <w:r>
        <w:rPr>
          <w:b/>
          <w:bCs/>
        </w:rPr>
        <w:t xml:space="preserve">Тренер не обязателен</w:t>
      </w:r>
      <w:r>
        <w:t xml:space="preserve"> </w:t>
      </w:r>
      <w:r>
        <w:t xml:space="preserve">— у игрока его может не быть, и это не мешает записи. Тренер может записать своих игроков списком, но это удобство, а не требование.</w:t>
      </w:r>
    </w:p>
    <w:p>
      <w:pPr>
        <w:pStyle w:val="BodyText"/>
      </w:pPr>
      <w:r>
        <w:t xml:space="preserve">Запись идёт с учётом требований организатора. Организатор клубного турнира может задать</w:t>
      </w:r>
      <w:r>
        <w:t xml:space="preserve"> </w:t>
      </w:r>
      <w:r>
        <w:rPr>
          <w:b/>
          <w:bCs/>
        </w:rPr>
        <w:t xml:space="preserve">ценз по рейтингу</w:t>
      </w:r>
      <w:r>
        <w:t xml:space="preserve"> </w:t>
      </w:r>
      <w:r>
        <w:t xml:space="preserve">— не допустить игрока выше или ниже определённого уровня (§4.1). Если у турнира есть</w:t>
      </w:r>
      <w:r>
        <w:t xml:space="preserve"> </w:t>
      </w:r>
      <w:r>
        <w:rPr>
          <w:b/>
          <w:bCs/>
        </w:rPr>
        <w:t xml:space="preserve">плата за участие</w:t>
      </w:r>
      <w:r>
        <w:t xml:space="preserve">, игрок оплачивает её организатору; состояние оплаты видно (§9.3). Годовой взнос федерации для клубных турниров обычно не требуется, но это флаг, который организатор может включить.</w:t>
      </w:r>
    </w:p>
    <w:p>
      <w:pPr>
        <w:pStyle w:val="BodyText"/>
      </w:pPr>
      <w:r>
        <w:t xml:space="preserve">Так и должно быть: клубный турнир не требует тяжёлой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Если у турнира есть плата за участие, она оплачивается организатору (§9.3).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реестры-взносы-и-платежи"/>
    <w:p>
      <w:pPr>
        <w:pStyle w:val="Heading2"/>
      </w:pPr>
      <w:r>
        <w:t xml:space="preserve">9. Реестры, взносы и платежи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прежде всего на официальных турнирах. Требование включается флагом турнира (§4.2), поэтому клубное соревнование можно при желании провести и со взносом, а официальное — без.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bookmarkEnd w:id="83"/>
    <w:bookmarkStart w:id="84" w:name="плата-за-турнир"/>
    <w:p>
      <w:pPr>
        <w:pStyle w:val="Heading3"/>
      </w:pPr>
      <w:r>
        <w:t xml:space="preserve">9.3. Плата за турнир</w:t>
      </w:r>
    </w:p>
    <w:p>
      <w:pPr>
        <w:pStyle w:val="FirstParagraph"/>
      </w:pPr>
      <w:r>
        <w:t xml:space="preserve">Помимо годового взноса федерации, у турнира может быть</w:t>
      </w:r>
      <w:r>
        <w:t xml:space="preserve"> </w:t>
      </w:r>
      <w:r>
        <w:rPr>
          <w:b/>
          <w:bCs/>
        </w:rPr>
        <w:t xml:space="preserve">отдельная плата за участие</w:t>
      </w:r>
      <w:r>
        <w:t xml:space="preserve"> </w:t>
      </w:r>
      <w:r>
        <w:t xml:space="preserve">— это разные вещи. Годовой взнос — членство в федерации, один на год; плата за турнир — вход в конкретное соревнование, свой у каждого турнира.</w:t>
      </w:r>
    </w:p>
    <w:p>
      <w:pPr>
        <w:pStyle w:val="BodyText"/>
      </w:pPr>
      <w:r>
        <w:rPr>
          <w:b/>
          <w:bCs/>
        </w:rPr>
        <w:t xml:space="preserve">Плату ставит организатор</w:t>
      </w:r>
      <w:r>
        <w:t xml:space="preserve">, и она есть в том числе на любительских турнирах: за проведение турнира организатор берёт сбор с участников. Система ведёт по каждому участнику турнира состояние оплаты (оплачено, не оплачено), а отмечает оплату сам организатор клуба. Это удобство для организаторов — видеть, кто оплатил участие, — и отдельная от годового взноса сущность в данных.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7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Игрок работает с системой</w:t>
      </w:r>
      <w:r>
        <w:t xml:space="preserve"> </w:t>
      </w:r>
      <w:r>
        <w:rPr>
          <w:b/>
          <w:bCs/>
        </w:rPr>
        <w:t xml:space="preserve">через два канала: сайт и нативное приложение</w:t>
      </w:r>
      <w:r>
        <w:t xml:space="preserve"> </w:t>
      </w:r>
      <w:r>
        <w:t xml:space="preserve">под Android и iOS. Это не выбор одного из двух: дома и с чужого компьютера удобнее сайт, в зале между матчами — приложение, и пользуется человек обоими.</w:t>
      </w:r>
    </w:p>
    <w:p>
      <w:pPr>
        <w:pStyle w:val="BodyText"/>
      </w:pPr>
      <w:r>
        <w:t xml:space="preserve">Поэтому оба канала полноценные. Приложение не урезанная версия сайта, а сайт не заглушка с предложением скачать приложение: профиль и рейтинг, свои турниры и матчи (ближайший турнир, статус заявки, текущий матч), подача заявки, счёт в реальном времени и аналитика доступны и там, и там. Аккаунт, данные и вход общие.</w:t>
      </w:r>
    </w:p>
    <w:p>
      <w:pPr>
        <w:pStyle w:val="BodyText"/>
      </w:pPr>
      <w:r>
        <w:t xml:space="preserve">Единственное настоящее различие между каналами — push-уведомления (§10.1): в приложении они штатные, а доставка в браузер это отдельная технология со своими ограничениями.</w:t>
      </w:r>
    </w:p>
    <w:p>
      <w:pPr>
        <w:pStyle w:val="BodyText"/>
      </w:pPr>
      <w:r>
        <w:t xml:space="preserve">Болельщики и гости пользуются публичным сайтом (§3).</w:t>
      </w:r>
    </w:p>
    <w:bookmarkStart w:id="86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утверждён</w:t>
            </w:r>
          </w:p>
        </w:tc>
        <w:tc>
          <w:tcPr/>
          <w:p>
            <w:pPr>
              <w:pStyle w:val="Compact"/>
            </w:pPr>
            <w:r>
              <w:t xml:space="preserve">главному судье официального турнира</w:t>
            </w:r>
          </w:p>
        </w:tc>
        <w:tc>
          <w:tcPr/>
          <w:p>
            <w:pPr>
              <w:pStyle w:val="Compact"/>
            </w:pPr>
            <w:r>
              <w:t xml:space="preserve">коллегия утвердила или вернула протокол (§4.8)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8"/>
    <w:bookmarkStart w:id="89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построил систему проведения, кто ввёл и кто исправил счёт, кто отметил оплату.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При расхождении, если во время обрыва один и тот же матч изменили с двух устройств,</w:t>
      </w:r>
      <w:r>
        <w:t xml:space="preserve"> </w:t>
      </w:r>
      <w:r>
        <w:rPr>
          <w:b/>
          <w:bCs/>
        </w:rPr>
        <w:t xml:space="preserve">приоритет у судьи стола</w:t>
      </w:r>
      <w:r>
        <w:t xml:space="preserve"> </w:t>
      </w:r>
      <w:r>
        <w:t xml:space="preserve">— он видит реальную игру. Правка счёта ограничена по времени, чтобы не сломать уже построенную сетку: на групповом этапе матч правится до конца этапа, дальше — по установленному лимиту. Точные значения лимитов уточняются на этапе обследования (§13.1).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9"/>
    <w:bookmarkStart w:id="93" w:name="этапы-разработки"/>
    <w:p>
      <w:pPr>
        <w:pStyle w:val="Heading2"/>
      </w:pPr>
      <w:r>
        <w:t xml:space="preserve">13. Этапы разработки</w:t>
      </w:r>
    </w:p>
    <w:bookmarkStart w:id="90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90"/>
    <w:bookmarkStart w:id="91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rPr>
          <w:b/>
          <w:bCs/>
        </w:rPr>
        <w:t xml:space="preserve">Дата начала работ — 20 июля 2026 года.</w:t>
      </w:r>
      <w:r>
        <w:t xml:space="preserve"> </w:t>
      </w:r>
      <w:r>
        <w:t xml:space="preserve">План рассчитан на 12 месяцев, завершение — 20 июля 2027 года. Этап считается сданным после приёмки заказчиком. Если срок приходится на выходной или праздничный день, он переносится на следующий рабочий день.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Срок сдачи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20.08.2026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20.09.2026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20.10.2026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20.12.2026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20.01.2027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20.02.2027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20.03.2027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20.04.2027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20.05.2027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20.06.2027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20.07.2027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1"/>
    <w:bookmarkStart w:id="92" w:name="стоимость-работ-и-порядок-расчётов"/>
    <w:p>
      <w:pPr>
        <w:pStyle w:val="Heading3"/>
      </w:pPr>
      <w:r>
        <w:t xml:space="preserve">13.3. Стоимость работ и порядок расчётов</w:t>
      </w:r>
    </w:p>
    <w:p>
      <w:pPr>
        <w:pStyle w:val="FirstParagraph"/>
      </w:pPr>
      <w:r>
        <w:rPr>
          <w:b/>
          <w:bCs/>
        </w:rPr>
        <w:t xml:space="preserve">Стоимость работ по настоящему заданию — 25 500 000 тенге.</w:t>
      </w:r>
      <w:r>
        <w:t xml:space="preserve"> </w:t>
      </w:r>
      <w:r>
        <w:t xml:space="preserve">Сумма покрывает все двенадцать этапов плана §13.2 целиком.</w:t>
      </w:r>
    </w:p>
    <w:p>
      <w:pPr>
        <w:pStyle w:val="BodyText"/>
      </w:pPr>
      <w:r>
        <w:rPr>
          <w:b/>
          <w:bCs/>
        </w:rPr>
        <w:t xml:space="preserve">Расчёты идут по модели возвратных инвестиций.</w:t>
      </w:r>
      <w:r>
        <w:t xml:space="preserve"> </w:t>
      </w:r>
      <w:r>
        <w:t xml:space="preserve">Исполнитель финансирует разработку за свой счёт, а заказчик возмещает вложения равными долями в течение 24 месяцев с момента запуска проекта. При запуске 20 июля 2027 года возмещение идёт по 20 июля 2029 года.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Стоимость работ</w:t>
            </w:r>
          </w:p>
        </w:tc>
        <w:tc>
          <w:tcPr/>
          <w:p>
            <w:pPr>
              <w:pStyle w:val="Compact"/>
            </w:pPr>
            <w:r>
              <w:t xml:space="preserve">25 500 000 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Начало работ</w:t>
            </w:r>
          </w:p>
        </w:tc>
        <w:tc>
          <w:tcPr/>
          <w:p>
            <w:pPr>
              <w:pStyle w:val="Compact"/>
            </w:pPr>
            <w:r>
              <w:t xml:space="preserve">20.07.2026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Завершение разработки</w:t>
            </w:r>
          </w:p>
        </w:tc>
        <w:tc>
          <w:tcPr/>
          <w:p>
            <w:pPr>
              <w:pStyle w:val="Compact"/>
            </w:pPr>
            <w:r>
              <w:t xml:space="preserve">20.07.2027 (12 месяцев)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Период возмещения</w:t>
            </w:r>
          </w:p>
        </w:tc>
        <w:tc>
          <w:tcPr/>
          <w:p>
            <w:pPr>
              <w:pStyle w:val="Compact"/>
            </w:pPr>
            <w:r>
              <w:t xml:space="preserve">24 месяца, до 20.07.2029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Ежемесячный платёж</w:t>
            </w:r>
          </w:p>
        </w:tc>
        <w:tc>
          <w:tcPr/>
          <w:p>
            <w:pPr>
              <w:pStyle w:val="Compact"/>
            </w:pPr>
            <w:r>
              <w:t xml:space="preserve">1 062 500 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Техническая поддержка</w:t>
            </w:r>
          </w:p>
        </w:tc>
        <w:tc>
          <w:tcPr/>
          <w:p>
            <w:pPr>
              <w:pStyle w:val="Compact"/>
            </w:pPr>
            <w:r>
              <w:t xml:space="preserve">безвозмездно до 20.07.2029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Техническая поддержка предоставляется на безвозмездной основе в течение всего периода возмещения инвестиционных затрат</w:t>
      </w:r>
      <w:r>
        <w:t xml:space="preserve"> </w:t>
      </w:r>
      <w:r>
        <w:t xml:space="preserve">— то есть 24 месяца после запуска. Отдельной платы за поддержку в этот период не возникает.</w:t>
      </w:r>
    </w:p>
    <w:p>
      <w:pPr>
        <w:pStyle w:val="BodyText"/>
      </w:pPr>
      <w:r>
        <w:t xml:space="preserve">Точные формулировки — что считается моментом запуска, с которого идёт отсчёт возмещения, и что входит в безвозмездную поддержку — фиксируются договором. От первого зависит начало платежей, от второго объём обязательств исполнителя, поэтому оба определения должны быть однозначными.</w:t>
      </w:r>
    </w:p>
    <w:bookmarkEnd w:id="92"/>
    <w:bookmarkEnd w:id="93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2026-07-24T19:39:22Z</dcterms:created>
  <dcterms:modified xsi:type="dcterms:W3CDTF">2026-07-24T19:39:22Z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