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2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rPr>
          <w:b/>
          <w:bCs/>
        </w:rPr>
        <w:t xml:space="preserve">Дата начала работ — 20 июля 2026 года.</w:t>
      </w:r>
      <w:r>
        <w:t xml:space="preserve"> </w:t>
      </w:r>
      <w:r>
        <w:t xml:space="preserve">План рассчитан на 12 месяцев, завершение — 20 июля 2027 года. Этап считается сданным после приёмки заказчиком. Если срок приходится на выходной или праздничный день, он переносится на следующий рабочий день.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Срок сдачи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20.08.2026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20.09.2026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20.10.2026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20.12.2026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20.01.2027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20.02.2027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20.03.2027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20.04.2027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20.05.2027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20.06.2027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20.07.2027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Start w:id="91" w:name="стоимость-работ-и-порядок-расчётов"/>
    <w:p>
      <w:pPr>
        <w:pStyle w:val="Heading3"/>
      </w:pPr>
      <w:r>
        <w:t xml:space="preserve">13.3. Стоимость работ и порядок расчётов</w:t>
      </w:r>
    </w:p>
    <w:p>
      <w:pPr>
        <w:pStyle w:val="FirstParagraph"/>
      </w:pPr>
      <w:r>
        <w:rPr>
          <w:b/>
          <w:bCs/>
        </w:rPr>
        <w:t xml:space="preserve">Стоимость работ по настоящему заданию — 25 500 000 тенге.</w:t>
      </w:r>
      <w:r>
        <w:t xml:space="preserve"> </w:t>
      </w:r>
      <w:r>
        <w:t xml:space="preserve">Сумма покрывает все двенадцать этапов плана §13.2 целиком.</w:t>
      </w:r>
    </w:p>
    <w:p>
      <w:pPr>
        <w:pStyle w:val="BodyText"/>
      </w:pPr>
      <w:r>
        <w:rPr>
          <w:b/>
          <w:bCs/>
        </w:rPr>
        <w:t xml:space="preserve">Расчёты идут по модели возвратных инвестиций.</w:t>
      </w:r>
      <w:r>
        <w:t xml:space="preserve"> </w:t>
      </w:r>
      <w:r>
        <w:t xml:space="preserve">Исполнитель финансирует разработку за свой счёт, а заказчик возмещает вложения равными долями в течение 24 месяцев с момента запуска проекта. При запуске 20 июля 2027 года возмещение идёт по 20 июля 2029 года.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Стоимость работ</w:t>
            </w:r>
          </w:p>
        </w:tc>
        <w:tc>
          <w:tcPr/>
          <w:p>
            <w:pPr>
              <w:pStyle w:val="Compact"/>
            </w:pPr>
            <w:r>
              <w:t xml:space="preserve">25 500 000 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Начало работ</w:t>
            </w:r>
          </w:p>
        </w:tc>
        <w:tc>
          <w:tcPr/>
          <w:p>
            <w:pPr>
              <w:pStyle w:val="Compact"/>
            </w:pPr>
            <w:r>
              <w:t xml:space="preserve">20.07.2026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Завершение разработки</w:t>
            </w:r>
          </w:p>
        </w:tc>
        <w:tc>
          <w:tcPr/>
          <w:p>
            <w:pPr>
              <w:pStyle w:val="Compact"/>
            </w:pPr>
            <w:r>
              <w:t xml:space="preserve">20.07.2027 (12 месяцев)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Период возмещения</w:t>
            </w:r>
          </w:p>
        </w:tc>
        <w:tc>
          <w:tcPr/>
          <w:p>
            <w:pPr>
              <w:pStyle w:val="Compact"/>
            </w:pPr>
            <w:r>
              <w:t xml:space="preserve">24 месяца, до 20.07.2029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Ежемесячный платёж</w:t>
            </w:r>
          </w:p>
        </w:tc>
        <w:tc>
          <w:tcPr/>
          <w:p>
            <w:pPr>
              <w:pStyle w:val="Compact"/>
            </w:pPr>
            <w:r>
              <w:t xml:space="preserve">1 062 500 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поддержка</w:t>
            </w:r>
          </w:p>
        </w:tc>
        <w:tc>
          <w:tcPr/>
          <w:p>
            <w:pPr>
              <w:pStyle w:val="Compact"/>
            </w:pPr>
            <w:r>
              <w:t xml:space="preserve">безвозмездно до 20.07.2029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Техническая поддержка предоставляется на безвозмездной основе в течение всего периода возмещения инвестиционных затрат</w:t>
      </w:r>
      <w:r>
        <w:t xml:space="preserve"> </w:t>
      </w:r>
      <w:r>
        <w:t xml:space="preserve">— то есть 24 месяца после запуска. Отдельной платы за поддержку в этот период не возникает.</w:t>
      </w:r>
    </w:p>
    <w:p>
      <w:pPr>
        <w:pStyle w:val="BodyText"/>
      </w:pPr>
      <w:r>
        <w:t xml:space="preserve">Точные формулировки — что считается моментом запуска, с которого идёт отсчёт возмещения, и что входит в безвозмездную поддержку — фиксируются договором. От первого зависит начало платежей, от второго объём обязательств исполнителя, поэтому оба определения должны быть однозначными.</w:t>
      </w:r>
    </w:p>
    <w:bookmarkEnd w:id="91"/>
    <w:bookmarkEnd w:id="92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2026-07-20T11:51:05Z</dcterms:created>
  <dcterms:modified xsi:type="dcterms:W3CDTF">2026-07-20T11:51:05Z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