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4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(§4.7);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Набор судей столов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столы, главный судья набирает нужное число (§4.5, допущение)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заявки, и происходит это до публикации турнира: пока главный судья не назначен, заявки игроков рассматривать некому (§8).</w:t>
      </w:r>
    </w:p>
    <w:p>
      <w:pPr>
        <w:pStyle w:val="BodyText"/>
      </w:pPr>
      <w:r>
        <w:t xml:space="preserve">Председатель судейской коллегии открывает приём заявок. Судья видит список турниров, открытых для заявок на судейство, и подаёт заявку на выбранный. Поданные заявки собираются в списке у коллегии, где по каждой видны оценка судьи, его категория и история судейства. Председатель выбирает одного из заявившихся, и он становится главным судьёй турнира. Решение уходит заявителю уведомлением (§10.1). Отклонённая заявка возвращается с причиной, и судья может подать её снова, пока приём открыт.</w:t>
      </w:r>
    </w:p>
    <w:p>
      <w:pPr>
        <w:pStyle w:val="BodyText"/>
      </w:pPr>
      <w:r>
        <w:t xml:space="preserve">Не определены условия допуска к подаче: вправе ли подать заявку любой судья в реестре или есть ограничение по категории, региону или уровню турнира, нужны ли документы и есть ли срок приёма. Не определено и то, что происходит, если заявок не поступило вовсе. Эти вопросы вынесены отдельно (QUESTIONS 3).</w:t>
      </w:r>
    </w:p>
    <w:bookmarkEnd w:id="58"/>
    <w:bookmarkStart w:id="59" w:name="набор-судей-столов"/>
    <w:p>
      <w:pPr>
        <w:pStyle w:val="Heading3"/>
      </w:pPr>
      <w:r>
        <w:t xml:space="preserve">4.5. Набор судей столов</w:t>
      </w:r>
    </w:p>
    <w:p>
      <w:pPr>
        <w:pStyle w:val="BlockText"/>
      </w:pPr>
      <w:r>
        <w:rPr>
          <w:b/>
          <w:bCs/>
        </w:rPr>
        <w:t xml:space="preserve">Это допущение, а не согласованный порядок.</w:t>
      </w:r>
      <w:r>
        <w:t xml:space="preserve"> </w:t>
      </w:r>
      <w:r>
        <w:t xml:space="preserve">Раздел написан по аналогии с конкурсом на главного судью (§4.3) и требует подтверждения (QUESTIONS 12). До подтверждения не считать его требованием.</w:t>
      </w:r>
    </w:p>
    <w:p>
      <w:pPr>
        <w:pStyle w:val="FirstParagraph"/>
      </w:pPr>
      <w:r>
        <w:t xml:space="preserve">Назначенный главный судья турнира открывает приём заявок на судейство столов. Судья видит турниры с открытым набором и подаёт заявку. Поданные заявки собираются в списке у главного судьи, где по каждой видны оценка судьи, категория и история судейства. Главный судья набирает столько судей, сколько столов заявлено на турнире. Отклонённая заявка возвращается с причиной, и судья может подать её снова, пока приём открыт; решение уходит заявителю уведомлением (§10.1).</w:t>
      </w:r>
    </w:p>
    <w:p>
      <w:pPr>
        <w:pStyle w:val="BodyText"/>
      </w:pPr>
      <w:r>
        <w:t xml:space="preserve">Набор идёт до сборки системы проведения: расставить судей по конкретным столам можно только из набранных.</w:t>
      </w:r>
    </w:p>
    <w:bookmarkEnd w:id="59"/>
    <w:bookmarkStart w:id="60" w:name="система-проведения-и-её-утверждение"/>
    <w:p>
      <w:pPr>
        <w:pStyle w:val="Heading3"/>
      </w:pPr>
      <w:r>
        <w:t xml:space="preserve">4.6.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расставляет набранных судей (§4.5) по столам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60"/>
    <w:bookmarkStart w:id="61" w:name="ход-турнира"/>
    <w:p>
      <w:pPr>
        <w:pStyle w:val="Heading3"/>
      </w:pPr>
      <w:r>
        <w:t xml:space="preserve">4.7.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1"/>
    <w:bookmarkStart w:id="62" w:name="итоговый-протокол-и-его-утверждение"/>
    <w:p>
      <w:pPr>
        <w:pStyle w:val="Heading3"/>
      </w:pPr>
      <w:r>
        <w:t xml:space="preserve">4.8.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2"/>
    <w:bookmarkStart w:id="63" w:name="печать-протоколов"/>
    <w:p>
      <w:pPr>
        <w:pStyle w:val="Heading3"/>
      </w:pPr>
      <w:r>
        <w:t xml:space="preserve">4.9.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5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5"/>
    <w:bookmarkStart w:id="66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6"/>
    <w:bookmarkStart w:id="67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есть, счёт ведёт и подтверждает он (§6.1–6.3); где судей нет, счёт вводят сами игроки (§6.4).</w:t>
      </w:r>
    </w:p>
    <w:bookmarkStart w:id="69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9"/>
    <w:bookmarkStart w:id="70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70"/>
    <w:bookmarkStart w:id="71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1"/>
    <w:bookmarkStart w:id="72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2"/>
    <w:bookmarkStart w:id="73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лигах и любительских турнирах судей на столах нет (§4.1), и счёт вводят сами игроки со своего устройства. Ввод по партиям, как в §6.1: итог матча вычисляется из партий.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Счёт вводит один игрок, второй его подтверждает со своего устройства, и только после подтверждения результат считается зафиксированным. Односторонний ввод результатом не становится.</w:t>
      </w:r>
    </w:p>
    <w:p>
      <w:pPr>
        <w:pStyle w:val="BodyText"/>
      </w:pPr>
      <w:r>
        <w:t xml:space="preserve">Главный судья турнира на таких турнирах есть: он следит за ходом соревнования, вызывает пары на стол и решает спор, если второй игрок счёт не подтверждает. Его решение фиксирует результат. Отличие от республиканских турниров не в отсутствии судейства, а в том, что судей на столах нет и судейская коллегия не участвует.</w:t>
      </w:r>
    </w:p>
    <w:p>
      <w:pPr>
        <w:pStyle w:val="BodyText"/>
      </w:pPr>
      <w:r>
        <w:t xml:space="preserve">Открытым остаётся один вопрос: кто назначает главного судью на лигу и любительский турнир. Конкурс заявок судей (§4.3) проводит судейская коллегия, а в этих категориях она не участвует (§4.1), поэтому механизм назначения нужно определить отдельно (QUESTIONS 10.1).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система-рейтинга"/>
    <w:p>
      <w:pPr>
        <w:pStyle w:val="Heading2"/>
      </w:pPr>
      <w:r>
        <w:t xml:space="preserve">7. Система рейтинга</w:t>
      </w:r>
    </w:p>
    <w:bookmarkStart w:id="75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5"/>
    <w:bookmarkStart w:id="76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8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8"/>
    <w:bookmarkStart w:id="79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9"/>
    <w:bookmarkStart w:id="80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82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2"/>
    <w:bookmarkStart w:id="83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Игрок работает с системой</w:t>
      </w:r>
      <w:r>
        <w:t xml:space="preserve"> </w:t>
      </w:r>
      <w:r>
        <w:rPr>
          <w:b/>
          <w:bCs/>
        </w:rPr>
        <w:t xml:space="preserve">через два канала: сайт и нативное приложение</w:t>
      </w:r>
      <w:r>
        <w:t xml:space="preserve"> </w:t>
      </w:r>
      <w:r>
        <w:t xml:space="preserve">под Android и iOS. Это не выбор одного из двух: дома и с чужого компьютера удобнее сайт, в зале между матчами — приложение, и пользуется человек обоими.</w:t>
      </w:r>
    </w:p>
    <w:p>
      <w:pPr>
        <w:pStyle w:val="BodyText"/>
      </w:pPr>
      <w:r>
        <w:t xml:space="preserve">Поэтому оба канала полноценные. Приложение не урезанная версия сайта, а сайт не заглушка с предложением скачать приложение: профиль и рейтинг, свои турниры и матчи (ближайший турнир, статус заявки, текущий матч), подача заявки, счёт в реальном времени и аналитика доступны и там, и там. Аккаунт, данные и вход общие.</w:t>
      </w:r>
    </w:p>
    <w:p>
      <w:pPr>
        <w:pStyle w:val="BodyText"/>
      </w:pPr>
      <w:r>
        <w:t xml:space="preserve">Единственное настоящее различие между каналами — push-уведомления (§10.1): в приложении они штатные, а доставка в браузер это отдельная технология со своими ограничениями.</w:t>
      </w:r>
    </w:p>
    <w:p>
      <w:pPr>
        <w:pStyle w:val="BodyText"/>
      </w:pPr>
      <w:r>
        <w:t xml:space="preserve">Болельщики и гости пользуются публичным сайтом (§3).</w:t>
      </w:r>
    </w:p>
    <w:bookmarkStart w:id="85" w:name="push-уведомления"/>
    <w:p>
      <w:pPr>
        <w:pStyle w:val="Heading3"/>
      </w:pPr>
      <w:r>
        <w:t xml:space="preserve">10.1. Push-уведомления</w:t>
      </w:r>
    </w:p>
    <w:p>
      <w:pPr>
        <w:pStyle w:val="FirstParagraph"/>
      </w:pPr>
      <w:r>
        <w:t xml:space="preserve">Уведомление приходит в тот момент, когда от человека требуется действие или когда решение принято не им.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 по заявке на судейство</w:t>
            </w:r>
          </w:p>
        </w:tc>
        <w:tc>
          <w:tcPr/>
          <w:p>
            <w:pPr>
              <w:pStyle w:val="Compact"/>
            </w:pPr>
            <w:r>
              <w:t xml:space="preserve">судье, подавшему заявку</w:t>
            </w:r>
          </w:p>
        </w:tc>
        <w:tc>
          <w:tcPr/>
          <w:p>
            <w:pPr>
              <w:pStyle w:val="Compact"/>
            </w:pPr>
            <w:r>
              <w:t xml:space="preserve">выбран он или нет; при отказе можно подать снова, пока приём открыт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утверждена или возвращена</w:t>
            </w:r>
          </w:p>
        </w:tc>
        <w:tc>
          <w:tcPr/>
          <w:p>
            <w:pPr>
              <w:pStyle w:val="Compact"/>
            </w:pPr>
            <w:r>
              <w:t xml:space="preserve">главному судье турнира</w:t>
            </w:r>
          </w:p>
        </w:tc>
        <w:tc>
          <w:tcPr/>
          <w:p>
            <w:pPr>
              <w:pStyle w:val="Compact"/>
            </w:pPr>
            <w:r>
              <w:t xml:space="preserve">возврат требует правок, без них турнир не публикуется (§4.5)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Заявка принята или отклонена</w:t>
            </w:r>
          </w:p>
        </w:tc>
        <w:tc>
          <w:tcPr/>
          <w:p>
            <w:pPr>
              <w:pStyle w:val="Compact"/>
            </w:pPr>
            <w:r>
              <w:t xml:space="preserve">заявителю: игроку или тренеру</w:t>
            </w:r>
          </w:p>
        </w:tc>
        <w:tc>
          <w:tcPr/>
          <w:p>
            <w:pPr>
              <w:pStyle w:val="Compact"/>
            </w:pPr>
            <w:r>
              <w:t xml:space="preserve">при отказе заявку правят и подают снова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 вызвана на стол</w:t>
            </w:r>
          </w:p>
        </w:tc>
        <w:tc>
          <w:tcPr/>
          <w:p>
            <w:pPr>
              <w:pStyle w:val="Compact"/>
            </w:pPr>
            <w:r>
              <w:t xml:space="preserve">обоим игрокам и судье стола</w:t>
            </w:r>
          </w:p>
        </w:tc>
        <w:tc>
          <w:tcPr/>
          <w:p>
            <w:pPr>
              <w:pStyle w:val="Compact"/>
            </w:pPr>
            <w:r>
              <w:t xml:space="preserve">матч начинается сейчас; судья получает вызов мгновенно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Счёт введён соперником</w:t>
            </w:r>
          </w:p>
        </w:tc>
        <w:tc>
          <w:tcPr/>
          <w:p>
            <w:pPr>
              <w:pStyle w:val="Compact"/>
            </w:pPr>
            <w:r>
              <w:t xml:space="preserve">второму игроку</w:t>
            </w:r>
          </w:p>
        </w:tc>
        <w:tc>
          <w:tcPr/>
          <w:p>
            <w:pPr>
              <w:pStyle w:val="Compact"/>
            </w:pPr>
            <w:r>
              <w:t xml:space="preserve">без его подтверждения результат не фиксируется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завершён, рейтинг пересчитан</w:t>
            </w:r>
          </w:p>
        </w:tc>
        <w:tc>
          <w:tcPr/>
          <w:p>
            <w:pPr>
              <w:pStyle w:val="Compact"/>
            </w:pPr>
            <w:r>
              <w:t xml:space="preserve">участникам турнира</w:t>
            </w:r>
          </w:p>
        </w:tc>
        <w:tc>
          <w:tcPr/>
          <w:p>
            <w:pPr>
              <w:pStyle w:val="Compact"/>
            </w:pPr>
            <w:r>
              <w:t xml:space="preserve">результат и новый рейтинг (§7.1)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отменён или перенесён</w:t>
            </w:r>
          </w:p>
        </w:tc>
        <w:tc>
          <w:tcPr/>
          <w:p>
            <w:pPr>
              <w:pStyle w:val="Compact"/>
            </w:pPr>
            <w:r>
              <w:t xml:space="preserve">всем, кто подал заявку</w:t>
            </w:r>
          </w:p>
        </w:tc>
        <w:tc>
          <w:tcPr/>
          <w:p>
            <w:pPr>
              <w:pStyle w:val="Compact"/>
            </w:pPr>
            <w:r>
              <w:t xml:space="preserve">заявки сохраняются (§4.3)</w:t>
            </w:r>
          </w:p>
        </w:tc>
      </w:tr>
    </w:tbl>
    <w:p>
      <w:pPr>
        <w:pStyle w:val="BodyText"/>
      </w:pPr>
      <w:r>
        <w:t xml:space="preserve">Приложение есть только у игрока (§10). Судьи, тренеры и председатель судейской коллегии работают с адаптивного сайта, а доставка push в браузер это отдельная технология со своими ограничениями. Куда именно приходят уведомления этим ролям и можно ли их отключать, определяется отдельно (QUESTIONS 11).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7"/>
    <w:bookmarkStart w:id="88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8"/>
    <w:bookmarkStart w:id="91" w:name="этапы-разработки"/>
    <w:p>
      <w:pPr>
        <w:pStyle w:val="Heading2"/>
      </w:pPr>
      <w:r>
        <w:t xml:space="preserve">13. Этапы разработки</w:t>
      </w:r>
    </w:p>
    <w:bookmarkStart w:id="89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9"/>
    <w:bookmarkStart w:id="90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90"/>
    <w:bookmarkEnd w:id="9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2026-07-18T15:10:08Z</dcterms:created>
  <dcterms:modified xsi:type="dcterms:W3CDTF">2026-07-18T15:10:08Z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