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0A34" w14:textId="462AB53B" w:rsidR="0085114A" w:rsidRPr="00B80094" w:rsidRDefault="00B80094">
      <w:pPr>
        <w:rPr>
          <w:lang w:val="es-MX"/>
        </w:rPr>
      </w:pPr>
      <w:r>
        <w:rPr>
          <w:lang w:val="es-MX"/>
        </w:rPr>
        <w:t>Se define como par de estados redundantes los estados A y B que a partir de los mismos valores en las entradas se dirigen a los mismos estados y generan las mismas salidas.</w:t>
      </w:r>
    </w:p>
    <w:sectPr w:rsidR="0085114A" w:rsidRPr="00B8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A9"/>
    <w:rsid w:val="004913A9"/>
    <w:rsid w:val="0085114A"/>
    <w:rsid w:val="00B8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E050"/>
  <w15:chartTrackingRefBased/>
  <w15:docId w15:val="{6C2A818B-3480-478A-A8BA-01B0DC94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araiza</dc:creator>
  <cp:keywords/>
  <dc:description/>
  <cp:lastModifiedBy>arturo araiza</cp:lastModifiedBy>
  <cp:revision>2</cp:revision>
  <dcterms:created xsi:type="dcterms:W3CDTF">2020-10-28T00:46:00Z</dcterms:created>
  <dcterms:modified xsi:type="dcterms:W3CDTF">2020-10-28T00:48:00Z</dcterms:modified>
</cp:coreProperties>
</file>