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Asterisco</w:t>
      </w:r>
    </w:p>
    <w:p>
      <w:pPr>
        <w:pStyle w:val="Subtitle"/>
      </w:pPr>
      <w:r>
        <w:t>Roteiro para One Page</w:t>
      </w:r>
    </w:p>
    <w:p>
      <w:pPr>
        <w:pStyle w:val="Heading1"/>
      </w:pPr>
      <w:r>
        <w:t>Mapa instrucional</w:t>
      </w:r>
    </w:p>
    <w:p>
      <w:r>
        <w:rPr>
          <w:b/>
        </w:rPr>
        <w:t>Contexto:</w:t>
      </w:r>
      <w:r>
        <w:t xml:space="preserve"> integrar novas pessoas à rotina da Asterisco e oferecer uma referência de consulta sobre ferramentas, organização, produção e entrega. A sequência acompanha a tabela de tutoriais internos. Os novos conteúdos de DG entram junto aos assuntos correspondentes.</w:t>
      </w:r>
    </w:p>
    <w:p>
      <w:r>
        <w:rPr>
          <w:b/>
        </w:rPr>
        <w:t>Público alvo:</w:t>
      </w:r>
      <w:r>
        <w:t xml:space="preserve"> novas pessoas da equipe, com aprofundamentos para Designer Gráfico e Designer Instrucional.</w:t>
      </w:r>
    </w:p>
    <w:p>
      <w:r>
        <w:rPr>
          <w:b/>
        </w:rPr>
        <w:t>Linguagem:</w:t>
      </w:r>
      <w:r>
        <w:t xml:space="preserve"> acolhedora, direta e prática. Falar com “você”, explicar as siglas na primeira ocorrência e usar situações reconhecíveis do trabalho.</w:t>
      </w:r>
    </w:p>
    <w:p>
      <w:r>
        <w:rPr>
          <w:b/>
        </w:rPr>
        <w:t>Carga horária proposta:</w:t>
      </w:r>
      <w:r>
        <w:t xml:space="preserve"> estimar após a montagem e a definição dos tutoriais demonstrados. O percurso permite consulta por assunto, sem exercícios ou avaliação de aprendizagem.</w:t>
      </w:r>
    </w:p>
    <w:p>
      <w:r>
        <w:rPr>
          <w:b/>
        </w:rPr>
        <w:t>Objetivo geral:</w:t>
      </w:r>
      <w:r>
        <w:t xml:space="preserve"> ajudar você a localizar informações, organizar sua rotina e executar as primeiras demandas seguindo os processos da equipe.</w:t>
      </w:r>
    </w:p>
    <w:p>
      <w:pPr>
        <w:keepNext/>
        <w:spacing w:before="160"/>
      </w:pPr>
      <w:r>
        <w:rPr>
          <w:b/>
          <w:sz w:val="20"/>
        </w:rPr>
        <w:t>Objetivos de aprendizagem:</w:t>
      </w:r>
    </w:p>
    <w:p>
      <w:pPr>
        <w:pStyle w:val="ListBullet"/>
      </w:pPr>
      <w:r>
        <w:t>Reconhecer os formatos de materiais produzidos pela Asterisco.</w:t>
      </w:r>
    </w:p>
    <w:p>
      <w:pPr>
        <w:pStyle w:val="ListBullet"/>
      </w:pPr>
      <w:r>
        <w:t>Utilizar os sistemas internos conforme a finalidade de cada um.</w:t>
      </w:r>
    </w:p>
    <w:p>
      <w:pPr>
        <w:pStyle w:val="ListBullet"/>
      </w:pPr>
      <w:r>
        <w:t>Localizar os arquivos e as orientações de um projeto pela sua identificação.</w:t>
      </w:r>
    </w:p>
    <w:p>
      <w:pPr>
        <w:pStyle w:val="ListBullet"/>
      </w:pPr>
      <w:r>
        <w:t>Aplicar o fluxo de produção, revisão e entrega da sua área.</w:t>
      </w:r>
    </w:p>
    <w:p>
      <w:pPr>
        <w:pStyle w:val="ListBullet"/>
      </w:pPr>
      <w:r>
        <w:t>Preparar uma OP com a estrutura existente, manualmente ou com apoio do Claude.</w:t>
      </w:r>
    </w:p>
    <w:p>
      <w:pPr>
        <w:pStyle w:val="ListBullet"/>
      </w:pPr>
      <w:r>
        <w:t>Organizar storyboard, referências visuais e locuções antes da produção de vídeos.</w:t>
      </w:r>
    </w:p>
    <w:p>
      <w:pPr>
        <w:pStyle w:val="ListBullet"/>
      </w:pPr>
      <w:r>
        <w:t>Identificar quando consultar um tutorial ou alinhar uma dúvida com a equipe.</w:t>
      </w:r>
    </w:p>
    <w:p>
      <w:r>
        <w:rPr>
          <w:b/>
        </w:rPr>
        <w:t>Nomenclaturas:</w:t>
      </w:r>
      <w:r>
        <w:t xml:space="preserve"> AST = Asterisco; OP = One Page; DG = Designer Gráfico; DI = Designer Instrucional; GP = Gerente de Projetos; SB = Storyboard. Escrever Hands-on, Google Drive, OneDrive, Harvest, Forecast, Slack e Fortime de forma consistente.</w:t>
      </w:r>
    </w:p>
    <w:p>
      <w:r>
        <w:rPr>
          <w:b/>
        </w:rPr>
        <w:t>Orientação de produção:</w:t>
      </w:r>
      <w:r>
        <w:t xml:space="preserve"> material informativo e de consulta, sem exercícios, quiz ou nota. Manter interações apenas para navegação e apresentação dos conteúdos. Os textos em “Texto na tela” são conteúdo para o participante. “Produção”, “Demonstração” e “Fonte” orientam a montagem e não aparecem como texto de aprendizagem. Manter os marcadores de conteúdo pendente no arquivo de roteiro até a definição pela equipe.</w:t>
      </w:r>
    </w:p>
    <w:p>
      <w:pPr>
        <w:pStyle w:val="Heading2"/>
        <w:pageBreakBefore/>
      </w:pPr>
      <w:r>
        <w:t>Estrutura e recursos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814"/>
        <w:gridCol w:w="4025"/>
        <w:gridCol w:w="2778"/>
      </w:tblGrid>
      <w:tr>
        <w:trPr>
          <w:tblHeader/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DF0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DF0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Menu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DF0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Conteúdos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DF0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Recurso principal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Boas-vindas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Apresentação e objetivos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Texto e checklist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Integração AST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Institucional, formatos, sistemas, e-mails e projetos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Abas e demonstrações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Capacitação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Cursos obrigatórios e glossário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Links e palavras interativas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Acessos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Solicitações e ferramentas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Orientação e checklist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DG Ambientação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Máquina, produção, OP em HTML/CSS, OP com Claude, softwares e Storyline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Tutoriais demonstrados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DG Processos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Pastas, Hands-on, SCORM, IDs, fontes, imagens, flipbook, homologação e vídeos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Passo a passo e prática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DG Soluções de problemas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Backgrounds e bullets no iOS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Consulta orientada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DG Acessibilidade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Audiodescrição, imagemap, PDF, Libras e legendas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Checklist e referências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DG Catálogos e Marketing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Cursos de catálogo e peças AST/Hands-on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Orientações e modelos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DI Processos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Roteiros, ajustes, locução com IA e pastas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Abas e demonstração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DI Catálogos e Marketing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Ementa, revisão com IA e redes sociais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Fluxo e referências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8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Encerramento</w:t>
            </w:r>
          </w:p>
        </w:tc>
        <w:tc>
          <w:tcPr>
            <w:tcW w:type="dxa" w:w="402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Verificação da primeira demanda</w:t>
            </w:r>
          </w:p>
        </w:tc>
        <w:tc>
          <w:tcPr>
            <w:tcW w:type="dxa" w:w="277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6F7F8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Checklist de aplicação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Roteiro</w:t>
      </w:r>
    </w:p>
    <w:p>
      <w:r>
        <w:rPr>
          <w:b/>
        </w:rPr>
        <w:t>Produção — Imagens e prints:</w:t>
      </w:r>
      <w:r>
        <w:t xml:space="preserve"> consultar o arquivo “Mapa de imagens e prints do onboarding”. Ele identifica o ponto de inserção, a captura necessária e o material já disponível. Os códigos OP01 a OP20 detalham o fluxo de produção da OP; CL01 a CL03 cobrem o Claude; os códigos G01 a G18 cobrem os demais assuntos. Estes códigos orientam a produção e não aparecem para o participante.</w:t>
      </w:r>
    </w:p>
    <w:p>
      <w:pPr>
        <w:pStyle w:val="Heading2"/>
      </w:pPr>
      <w:r>
        <w:t>Boas-vindas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Bem-vindo(a) à Asterisco!</w:t>
      </w:r>
    </w:p>
    <w:p>
      <w:r>
        <w:t>Começar em uma equipe traz várias perguntas: onde estão os arquivos? Como descubro minha próxima demanda? Com quem alinho uma dúvida? E como preparo uma entrega para outra pessoa continuar o trabalho?</w:t>
      </w:r>
    </w:p>
    <w:p>
      <w:r>
        <w:t>Esta OP vai acompanhar seus primeiros passos. Primeiro, você conhecerá nossa rotina e as ferramentas que usamos. Depois, encontrará as orientações da sua área, com exemplos e tutoriais para consultar enquanto trabalha.</w:t>
      </w:r>
    </w:p>
    <w:p>
      <w:r>
        <w:t>Você não precisa memorizar todos os caminhos de uma vez. Salve este material e volte sempre que precisar.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 que você vai aprender</w:t>
      </w:r>
    </w:p>
    <w:p>
      <w:r>
        <w:t>Comando: “Clique nos tópicos para conhecer seu percurso.”</w:t>
      </w:r>
    </w:p>
    <w:p>
      <w:pPr>
        <w:pStyle w:val="ListBullet"/>
      </w:pPr>
      <w:r>
        <w:t>Organizar a rotina: entender onde consultar demandas, registrar horas e conversar com a equipe.</w:t>
      </w:r>
    </w:p>
    <w:p>
      <w:pPr>
        <w:pStyle w:val="ListBullet"/>
      </w:pPr>
      <w:r>
        <w:t>Encontrar informações: localizar a identidade visual, os arquivos e os registros de cada projeto.</w:t>
      </w:r>
    </w:p>
    <w:p>
      <w:pPr>
        <w:pStyle w:val="ListBullet"/>
      </w:pPr>
      <w:r>
        <w:t>Produzir com orientação: conhecer os processos de DG e DI e os cuidados antes de uma entrega.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navegação por âncoras seguindo a ordem do menu. Os percursos DG e DI permanecem na mesma OP, com abertura e recolhimento dos aprofundamentos. Não bloquear o acesso a orientações que outra área precise consultar.</w:t>
      </w:r>
    </w:p>
    <w:p>
      <w:pPr>
        <w:pStyle w:val="Heading2"/>
      </w:pPr>
      <w:r>
        <w:t>Integração AST</w:t>
      </w:r>
    </w:p>
    <w:p>
      <w:pPr>
        <w:pStyle w:val="Heading3"/>
      </w:pPr>
      <w:r>
        <w:t>Institucional</w:t>
      </w:r>
    </w:p>
    <w:p>
      <w:r>
        <w:rPr>
          <w:b/>
        </w:rPr>
        <w:t>Imagem de apoio G01: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Nossa rotina reúne educação, conteúdo, design e tecnologia. Para conhecer os materiais e acompanhar as novidades da Asterisco, acesse nossos canais.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Conheça nossos canais</w:t>
      </w:r>
    </w:p>
    <w:p>
      <w:pPr>
        <w:pStyle w:val="ListBullet"/>
      </w:pPr>
      <w:r>
        <w:t xml:space="preserve">Site: </w:t>
      </w:r>
      <w:hyperlink r:id="rId11">
        <w:r>
          <w:rPr>
            <w:color w:val="245878"/>
            <w:u w:val="single"/>
          </w:rPr>
          <w:t>https://asteriscoeducacao.com.br/</w:t>
        </w:r>
      </w:hyperlink>
    </w:p>
    <w:p>
      <w:pPr>
        <w:pStyle w:val="ListBullet"/>
      </w:pPr>
      <w:r>
        <w:t xml:space="preserve">Instagram: </w:t>
      </w:r>
      <w:hyperlink r:id="rId12">
        <w:r>
          <w:rPr>
            <w:color w:val="245878"/>
            <w:u w:val="single"/>
          </w:rPr>
          <w:t>https://www.instagram.com/asteducacao/</w:t>
        </w:r>
      </w:hyperlink>
    </w:p>
    <w:p>
      <w:pPr>
        <w:pStyle w:val="ListBullet"/>
      </w:pPr>
      <w:r>
        <w:t xml:space="preserve">LinkedIn: </w:t>
      </w:r>
      <w:hyperlink r:id="rId13">
        <w:r>
          <w:rPr>
            <w:color w:val="245878"/>
            <w:u w:val="single"/>
          </w:rPr>
          <w:t>https://www.linkedin.com/company/asteducacao/</w:t>
        </w:r>
      </w:hyperlink>
    </w:p>
    <w:p>
      <w:pPr>
        <w:pStyle w:val="ListBullet"/>
      </w:pPr>
      <w:r>
        <w:t xml:space="preserve">YouTube AST: </w:t>
      </w:r>
      <w:hyperlink r:id="rId14">
        <w:r>
          <w:rPr>
            <w:color w:val="245878"/>
            <w:u w:val="single"/>
          </w:rPr>
          <w:t>https://www.youtube.com/@asteducacao</w:t>
        </w:r>
      </w:hyperlink>
    </w:p>
    <w:p>
      <w:pPr>
        <w:pStyle w:val="ListBullet"/>
      </w:pPr>
      <w:r>
        <w:t xml:space="preserve">Hands-on: </w:t>
      </w:r>
      <w:hyperlink r:id="rId15">
        <w:r>
          <w:rPr>
            <w:color w:val="245878"/>
            <w:u w:val="single"/>
          </w:rPr>
          <w:t>https://www.handsoncreator.ai/pt-br</w:t>
        </w:r>
      </w:hyperlink>
    </w:p>
    <w:p>
      <w:pPr>
        <w:pStyle w:val="ListBullet"/>
      </w:pPr>
      <w:r>
        <w:t xml:space="preserve">YouTube Hands-on: </w:t>
      </w:r>
      <w:hyperlink r:id="rId16">
        <w:r>
          <w:rPr>
            <w:color w:val="245878"/>
            <w:u w:val="single"/>
          </w:rPr>
          <w:t>https://www.youtube.com/@hands-on-creator</w:t>
        </w:r>
      </w:hyperlink>
    </w:p>
    <w:p>
      <w:pPr>
        <w:keepNext/>
        <w:spacing w:before="160"/>
      </w:pPr>
      <w:r>
        <w:rPr>
          <w:b/>
          <w:sz w:val="20"/>
        </w:rPr>
        <w:t>DESTAQUE — Central de Ética</w:t>
      </w:r>
    </w:p>
    <w:p>
      <w:r>
        <w:t>A Asterisco mantém um canal para comunicar atos que ferem os princípios do Código de Conduta: etica@asteriscoeducacao.com.br. Se você vivenciou ou presenciou uma situação, comunique. O canal informa que garante sigilo aos denunciantes de boa-fé.</w:t>
      </w:r>
    </w:p>
    <w:p>
      <w:r>
        <w:rPr>
          <w:b/>
          <w:color w:val="555555"/>
          <w:sz w:val="20"/>
        </w:rPr>
        <w:t>Fonte:</w:t>
      </w:r>
      <w:r>
        <w:rPr>
          <w:color w:val="555555"/>
          <w:sz w:val="20"/>
        </w:rPr>
        <w:t xml:space="preserve"> curso de integração e print do cartão Institucional enviado por Marianne. Não solicitar esse print novamente.</w:t>
      </w:r>
    </w:p>
    <w:p>
      <w:pPr>
        <w:pStyle w:val="Heading3"/>
      </w:pPr>
      <w:r>
        <w:t>Formatos de peças</w:t>
      </w:r>
    </w:p>
    <w:p>
      <w:r>
        <w:rPr>
          <w:b/>
        </w:rPr>
        <w:t>Imagem de apoio G02: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Um projeto pode combinar diferentes materiais. O formato faz parte do escopo e orienta tanto a escrita quanto a produção.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 que produzimos</w:t>
      </w:r>
    </w:p>
    <w:p>
      <w:r>
        <w:t>Comando: “Clique em cada formato para conhecer sua função.”</w:t>
      </w:r>
    </w:p>
    <w:p>
      <w:pPr>
        <w:pStyle w:val="ListBullet"/>
      </w:pPr>
      <w:r>
        <w:t>One Page: experiência de aprendizagem organizada em uma página, com seções, mídias e interações.</w:t>
      </w:r>
    </w:p>
    <w:p>
      <w:pPr>
        <w:pStyle w:val="ListBullet"/>
      </w:pPr>
      <w:r>
        <w:t>Storyline: curso construído na ferramenta de autoria, com telas, estados, variáveis e interações conforme o projeto.</w:t>
      </w:r>
    </w:p>
    <w:p>
      <w:pPr>
        <w:pStyle w:val="ListBullet"/>
      </w:pPr>
      <w:r>
        <w:t>Animação: vídeo que organiza a mensagem por cenas, com imagens, movimentos, textos e áudio.</w:t>
      </w:r>
    </w:p>
    <w:p>
      <w:pPr>
        <w:pStyle w:val="ListBullet"/>
      </w:pPr>
      <w:r>
        <w:t>Flipbook: publicação digital com navegação entre páginas, usada para apresentar materiais de leitura.</w:t>
      </w:r>
    </w:p>
    <w:p>
      <w:pPr>
        <w:pStyle w:val="ListBullet"/>
      </w:pPr>
      <w:r>
        <w:t>Podcast: conteúdo em áudio, com narração, conversa ou entrevista planejada.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usar um exemplo interno aprovado por formato. E-books e infográficos podem aparecer como peças complementares na seção de projetos, sem substituir a lista original.</w:t>
      </w:r>
    </w:p>
    <w:p>
      <w:pPr>
        <w:pStyle w:val="Heading3"/>
      </w:pPr>
      <w:r>
        <w:t>Sistemas</w:t>
      </w:r>
    </w:p>
    <w:p>
      <w:r>
        <w:rPr>
          <w:b/>
        </w:rPr>
        <w:t>Imagem de apoio G03: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Cada sistema responde a uma pergunta da rotina. Antes de abrir uma ferramenta, pense no que você precisa fazer.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Onde resolvo cada coisa</w:t>
      </w:r>
    </w:p>
    <w:p>
      <w:pPr>
        <w:pStyle w:val="ListBullet"/>
      </w:pPr>
      <w:r>
        <w:t>Harvest: quanto tempo trabalhei em cada projeto?</w:t>
      </w:r>
    </w:p>
    <w:p>
      <w:pPr>
        <w:pStyle w:val="ListBullet"/>
      </w:pPr>
      <w:r>
        <w:t>Forecast: qual é minha programação de atividades?</w:t>
      </w:r>
    </w:p>
    <w:p>
      <w:pPr>
        <w:pStyle w:val="ListBullet"/>
      </w:pPr>
      <w:r>
        <w:t>Slack: onde converso e registro os alinhamentos?</w:t>
      </w:r>
    </w:p>
    <w:p>
      <w:pPr>
        <w:pStyle w:val="ListBullet"/>
      </w:pPr>
      <w:r>
        <w:t>Google Drive: onde encontro e salvo os arquivos de trabalho?</w:t>
      </w:r>
    </w:p>
    <w:p>
      <w:pPr>
        <w:pStyle w:val="ListBullet"/>
      </w:pPr>
      <w:r>
        <w:t>Fortime: onde registro minha jornada?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apresentar os sistemas nessa ordem, conforme a tabela e o curso iniciado. O OneDrive aparece como complemento do fluxo de arquivos e entregas.</w:t>
      </w:r>
    </w:p>
    <w:p>
      <w:pPr>
        <w:pStyle w:val="Heading4"/>
      </w:pPr>
      <w:r>
        <w:t>Harvest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Harvest registra o tempo dedicado a cada projeto. Esses apontamentos ajudam a equipe a acompanhar o esforço e a gestão dos trabalhos.</w:t>
      </w:r>
    </w:p>
    <w:p>
      <w:r>
        <w:t xml:space="preserve">Ao começar uma atividade, acesse </w:t>
      </w:r>
      <w:hyperlink r:id="rId17">
        <w:r>
          <w:rPr>
            <w:color w:val="245878"/>
            <w:u w:val="single"/>
          </w:rPr>
          <w:t>https://asterisco.harvestapp.com/welcome</w:t>
        </w:r>
      </w:hyperlink>
      <w:r>
        <w:t>.</w:t>
      </w:r>
      <w:r>
        <w:t xml:space="preserve"> Em “Track time”, selecione o projeto e a tarefa correspondentes, inclua a descrição necessária e inicie o timer. Ao trocar de atividade, confira se o apontamento acompanha a mudança.</w:t>
      </w:r>
    </w:p>
    <w:p>
      <w:r>
        <w:t>Na sexta-feira, ou no início da segunda-feira, revise a semana e envie os registros para aprovação em “Submit week for approval”.</w:t>
      </w:r>
    </w:p>
    <w:p>
      <w:pPr>
        <w:keepNext/>
        <w:spacing w:before="160"/>
      </w:pPr>
      <w:r>
        <w:rPr>
          <w:b/>
          <w:sz w:val="20"/>
        </w:rPr>
        <w:t>DESTAQUE — Confira a identificação</w:t>
      </w:r>
    </w:p>
    <w:p>
      <w:r>
        <w:t>Use a ID do projeto para evitar lançamentos em demandas com nomes semelhantes. Nos projetos internos ou gerais, confirme com a GP qual identificação e tarefa usar. A lista de IDs pode mudar.</w:t>
      </w:r>
    </w:p>
    <w:p>
      <w:r>
        <w:rPr>
          <w:b/>
        </w:rPr>
        <w:t>Demonstração:</w:t>
      </w:r>
      <w:r>
        <w:t xml:space="preserve"> registrar uma atividade fictícia em ambiente de treinamento, mostrando projeto, tarefa, descrição, timer e envio da semana. Não usar dados reais de produtividade de colaboradores.</w:t>
      </w:r>
    </w:p>
    <w:p>
      <w:pPr>
        <w:pStyle w:val="Heading4"/>
      </w:pPr>
      <w:r>
        <w:t>Forecast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Forecast mostra sua programação de atividades e a distribuição prevista do tempo. Consulte-o antes de iniciar o dia e sempre que houver uma mudança na sua demanda.</w:t>
      </w:r>
    </w:p>
    <w:p>
      <w:r>
        <w:t xml:space="preserve">Acesse </w:t>
      </w:r>
      <w:hyperlink r:id="rId18">
        <w:r>
          <w:rPr>
            <w:color w:val="245878"/>
            <w:u w:val="single"/>
          </w:rPr>
          <w:t>https://id.getharvest.com/forecast/sign_in</w:t>
        </w:r>
      </w:hyperlink>
      <w:r>
        <w:t>,</w:t>
      </w:r>
      <w:r>
        <w:t xml:space="preserve"> use o acesso orientado pela equipe e localize seu nome em “Team”. Confira o projeto, a atividade e as informações da programação.</w:t>
      </w:r>
    </w:p>
    <w:p>
      <w:r>
        <w:t>Se identificar conflito de prioridade, falta de informação ou risco para o prazo, fale com a GP. Mudanças no planejamento precisam ser alinhadas, pois podem afetar outras pessoas.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demonstrar o acesso vigente sem exibir credenciais. A orientação de login e uso de janela anônima deve acompanhar a configuração adotada pela equipe.</w:t>
      </w:r>
    </w:p>
    <w:p>
      <w:pPr>
        <w:pStyle w:val="Heading4"/>
      </w:pPr>
      <w:r>
        <w:t>Slack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Slack concentra nossa comunicação interna. Escolher o canal certo ajuda a manter o histórico e permite que as pessoas envolvidas acompanhem a conversa.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Canais da rotina</w:t>
      </w:r>
    </w:p>
    <w:p>
      <w:pPr>
        <w:pStyle w:val="ListBullet"/>
      </w:pPr>
      <w:r>
        <w:t>Ast_Asterisco: avisos gerais. Sinalize o início do expediente, a saída para o almoço e o encerramento. Atualize seu status durante as pausas.</w:t>
      </w:r>
    </w:p>
    <w:p>
      <w:pPr>
        <w:pStyle w:val="ListBullet"/>
      </w:pPr>
      <w:r>
        <w:t>Ast_Dicas_Incriveis: dicas, sugestões e conteúdos de interesse da equipe.</w:t>
      </w:r>
    </w:p>
    <w:p>
      <w:pPr>
        <w:pStyle w:val="ListBullet"/>
      </w:pPr>
      <w:r>
        <w:t>Ast_Forecast_Avisos: ausências e imprevistos que podem impactar a produção. Avise sobre o intervalo e mantenha o status atualizado.</w:t>
      </w:r>
    </w:p>
    <w:p>
      <w:pPr>
        <w:pStyle w:val="ListBullet"/>
      </w:pPr>
      <w:r>
        <w:t>Ast_Pao_Quentinho: pautas e projetos apresentados nas reuniões do Pão Quentinho.</w:t>
      </w:r>
    </w:p>
    <w:p>
      <w:pPr>
        <w:pStyle w:val="ListBullet"/>
      </w:pPr>
      <w:r>
        <w:t>Ast_Presencial_SP: comunicações sobre o espaço presencial Dot Hub.</w:t>
      </w:r>
    </w:p>
    <w:p>
      <w:pPr>
        <w:pStyle w:val="ListBullet"/>
      </w:pPr>
      <w:r>
        <w:t>ID_do_projeto: alinhamentos, arquivos e entregas da demanda correspondente.</w:t>
      </w:r>
    </w:p>
    <w:p>
      <w:pPr>
        <w:pStyle w:val="ListBullet"/>
      </w:pPr>
      <w:r>
        <w:t>Cliente_DNA: atualizações sobre a identidade e as orientações do cliente.</w:t>
      </w:r>
    </w:p>
    <w:p>
      <w:pPr>
        <w:keepNext/>
        <w:spacing w:before="160"/>
      </w:pPr>
      <w:r>
        <w:rPr>
          <w:b/>
          <w:sz w:val="20"/>
        </w:rPr>
        <w:t>DESTAQUE — Dê contexto à mensagem</w:t>
      </w:r>
    </w:p>
    <w:p>
      <w:r>
        <w:t>Ao pedir ajuda, informe o projeto, a atividade, o ponto da dúvida e o que já verificou. Em uma entrega, identifique o material e marque a pessoa responsável pelo próximo passo.</w:t>
      </w:r>
    </w:p>
    <w:p>
      <w:pPr>
        <w:pStyle w:val="Heading4"/>
      </w:pPr>
      <w:r>
        <w:t>Google Drive e OneDrive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No Google Drive, utilizamos os drives compartilhados para os arquivos da empresa. Se faltar acesso à pasta de um cliente ou projeto, solicite apoio à GP.</w:t>
      </w:r>
    </w:p>
    <w:p>
      <w:r>
        <w:t>As pastas “nomedocliente_DNA” reúnem identidade visual, logos, brandbook e orientações da marca. As pastas “nomedocliente_PA” reúnem os projetos, identificados pela ID e pelo nome, como “0645_14_Simplesmente_Vida”. A ID também ajuda a localizar a demanda em outros sistemas.</w:t>
      </w:r>
    </w:p>
    <w:p>
      <w:r>
        <w:t>Você pode usar o Drive para computador para acessar essas pastas pelo Explorador de Arquivos. Na configuração, utilize a conta corporativa e siga as orientações da equipe para os drives compartilhados.</w:t>
      </w:r>
    </w:p>
    <w:p>
      <w:r>
        <w:t>O OneDrive é utilizado no fluxo de compartilhamento das entregas finais com clientes, após validação do DI. Depois do upload autorizado, publique o link no canal do projeto e marque a GP responsável.</w:t>
      </w:r>
    </w:p>
    <w:p>
      <w:pPr>
        <w:keepNext/>
        <w:spacing w:before="160"/>
      </w:pPr>
      <w:r>
        <w:rPr>
          <w:b/>
          <w:sz w:val="20"/>
        </w:rPr>
        <w:t>DESTAQUE — Arquivo compartilhado é trabalho da equipe</w:t>
      </w:r>
    </w:p>
    <w:p>
      <w:r>
        <w:t>Mover, renomear ou excluir um arquivo pode afetar outras pessoas. Antes de reorganizar uma pasta existente, confira o padrão e alinhe a mudança.</w:t>
      </w:r>
    </w:p>
    <w:p>
      <w:pPr>
        <w:pStyle w:val="Heading4"/>
      </w:pPr>
      <w:r>
        <w:t>Fortime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Fortime é utilizado para o registro de ponto: entrada, saída para almoço, retorno e término do expediente. A plataforma também permite solicitar ajustes e encaminhar documentos conforme a orientação do Departamento Pessoal.</w:t>
      </w:r>
    </w:p>
    <w:p>
      <w:r>
        <w:t xml:space="preserve">Acesse </w:t>
      </w:r>
      <w:hyperlink r:id="rId19">
        <w:r>
          <w:rPr>
            <w:color w:val="245878"/>
            <w:u w:val="single"/>
          </w:rPr>
          <w:t>https://go.fortime.com.br/login</w:t>
        </w:r>
      </w:hyperlink>
      <w:r>
        <w:t xml:space="preserve"> e confira com o DP como funciona o registro aplicável à sua rotina.</w:t>
      </w:r>
    </w:p>
    <w:p>
      <w:pPr>
        <w:pStyle w:val="Heading3"/>
      </w:pPr>
      <w:r>
        <w:t>Padrões de e-mails</w:t>
      </w:r>
    </w:p>
    <w:p>
      <w:r>
        <w:rPr>
          <w:b/>
        </w:rPr>
        <w:t>Imagem de apoio G04: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Nossa comunicação por e-mail também precisa ser clara e consistente. Configure sua assinatura e conheça os modelos de aviso antes de precisar utilizá-los.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Configurações e modelos</w:t>
      </w:r>
    </w:p>
    <w:p>
      <w:pPr>
        <w:pStyle w:val="ListBullet"/>
      </w:pPr>
      <w:r>
        <w:t xml:space="preserve">Assinatura: abra as configurações do Gmail, localize a área de assinatura, utilize o modelo corporativo e substitua nome, cargo e telefone. Confira os links e o uso em novas mensagens e respostas. Modelo: </w:t>
      </w:r>
      <w:hyperlink r:id="rId20">
        <w:r>
          <w:rPr>
            <w:color w:val="245878"/>
            <w:u w:val="single"/>
          </w:rPr>
          <w:t>https://drive.google.com/open?id=1N9XDJTC5uNtfeXJ_TQbqw6pkOoSKDcVE&amp;usp=drive_fs</w:t>
        </w:r>
      </w:hyperlink>
    </w:p>
    <w:p>
      <w:pPr>
        <w:pStyle w:val="ListBullet"/>
      </w:pPr>
      <w:r>
        <w:t>Aviso de ausência: defina período, data de retorno e orientação de contato, usando o modelo aplicável. Revise a mensagem e desative ou atualize a resposta automática no retorno.</w:t>
      </w:r>
    </w:p>
    <w:p>
      <w:pPr>
        <w:pStyle w:val="ListBullet"/>
      </w:pPr>
      <w:r>
        <w:t>Férias, feriados e recesso: consulte o texto correspondente antes de configurar o envio. Confira nomes, datas e hiperlinks.</w:t>
      </w:r>
    </w:p>
    <w:p>
      <w:pPr>
        <w:pStyle w:val="ListBullet"/>
      </w:pPr>
      <w:r>
        <w:t>Ausências e ponto: formalize compensações e atestados conforme o fluxo do DP, além dos avisos operacionais nos canais da equipe.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inserir os modelos corporativos confirmados nos prints. Não reproduzir a duplicação do título “Ausências — Registro de Ponto” presente no curso iniciado. Contatos e destinatários de DP devem ser confirmados antes da publicação.</w:t>
      </w:r>
    </w:p>
    <w:p>
      <w:pPr>
        <w:pStyle w:val="Heading3"/>
      </w:pPr>
      <w:r>
        <w:t>Projetos</w:t>
      </w:r>
    </w:p>
    <w:p>
      <w:r>
        <w:rPr>
          <w:b/>
        </w:rPr>
        <w:t>Imagem de apoio G05: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Uma demanda pode envolver uma OP, vídeos, infográficos e outros materiais. Antes de começar, entenda o conjunto: o que será produzido, quais referências usar, qual prazo foi combinado e quem recebe sua entrega.</w:t>
      </w:r>
    </w:p>
    <w:p>
      <w:r>
        <w:t>O escopo orienta o trabalho. Se surgir uma mudança de conteúdo, formato ou esforço, sinalize à GP para avaliar o impacto no cronograma e na produção.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Antes de produzir</w:t>
      </w:r>
    </w:p>
    <w:p>
      <w:pPr>
        <w:pStyle w:val="ListBullet"/>
      </w:pPr>
      <w:r>
        <w:t>O que fazer: conferir escopo, formato e entrega esperada.</w:t>
      </w:r>
    </w:p>
    <w:p>
      <w:pPr>
        <w:pStyle w:val="ListBullet"/>
      </w:pPr>
      <w:r>
        <w:t>Com que referência: localizar roteiro, DNA, modelo e materiais aprovados.</w:t>
      </w:r>
    </w:p>
    <w:p>
      <w:pPr>
        <w:pStyle w:val="ListBullet"/>
      </w:pPr>
      <w:r>
        <w:t>Até quando: conferir programação e sinalizar riscos assim que aparecerem.</w:t>
      </w:r>
    </w:p>
    <w:p>
      <w:pPr>
        <w:pStyle w:val="ListBullet"/>
      </w:pPr>
      <w:r>
        <w:t>Com quem alinhar: identificar GP, DI e demais responsáveis pelo projeto.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inserir o fluxo oficial de etapas a partir dos slides 1 e 2 de “Integração_time”. Como proposta de leitura, mostrar briefing, roteiro, produção, revisão, ajustes e entrega; validar a sequência e os responsáveis internos antes de publicar.</w:t>
      </w:r>
    </w:p>
    <w:p>
      <w:pPr>
        <w:pStyle w:val="Heading2"/>
      </w:pPr>
      <w:r>
        <w:t>Capacitação</w:t>
      </w:r>
    </w:p>
    <w:p>
      <w:pPr>
        <w:pStyle w:val="Heading3"/>
      </w:pPr>
      <w:r>
        <w:t>Cursos obrigatórios AST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 integração também inclui conteúdos sobre proteção de dados, diversidade e responsabilidade. Reserve tempo para percorrer os cursos e alinhe com a equipe como registrar sua conclusão.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Acessar os cursos</w:t>
      </w:r>
    </w:p>
    <w:p>
      <w:pPr>
        <w:pStyle w:val="ListBullet"/>
      </w:pPr>
      <w:r>
        <w:t xml:space="preserve">LGPD: </w:t>
      </w:r>
      <w:hyperlink r:id="rId21">
        <w:r>
          <w:rPr>
            <w:color w:val="245878"/>
            <w:u w:val="single"/>
          </w:rPr>
          <w:t>https://cliente.asteriscoeducacao.com.br/AST/catalogo/LGPD/index.html</w:t>
        </w:r>
      </w:hyperlink>
    </w:p>
    <w:p>
      <w:pPr>
        <w:pStyle w:val="ListBullet"/>
      </w:pPr>
      <w:r>
        <w:t xml:space="preserve">Equidade Racial: </w:t>
      </w:r>
      <w:hyperlink r:id="rId22">
        <w:r>
          <w:rPr>
            <w:color w:val="245878"/>
            <w:u w:val="single"/>
          </w:rPr>
          <w:t>https://cliente.asteriscoeducacao.com.br/AST/catalogo/Equidade_Racial</w:t>
        </w:r>
      </w:hyperlink>
    </w:p>
    <w:p>
      <w:pPr>
        <w:pStyle w:val="ListBullet"/>
      </w:pPr>
      <w:r>
        <w:t xml:space="preserve">Equidade de Gênero: </w:t>
      </w:r>
      <w:hyperlink r:id="rId23">
        <w:r>
          <w:rPr>
            <w:color w:val="245878"/>
            <w:u w:val="single"/>
          </w:rPr>
          <w:t>https://cliente.asteriscoeducacao.com.br/AST/catalogo/Equidade_de_Genero</w:t>
        </w:r>
      </w:hyperlink>
    </w:p>
    <w:p>
      <w:pPr>
        <w:pStyle w:val="ListBullet"/>
      </w:pPr>
      <w:r>
        <w:t xml:space="preserve">LGBTI+: </w:t>
      </w:r>
      <w:hyperlink r:id="rId24">
        <w:r>
          <w:rPr>
            <w:color w:val="245878"/>
            <w:u w:val="single"/>
          </w:rPr>
          <w:t>https://cliente.asteriscoeducacao.com.br/AST/catalogo/LGBTI/index.html</w:t>
        </w:r>
      </w:hyperlink>
    </w:p>
    <w:p>
      <w:pPr>
        <w:pStyle w:val="ListBullet"/>
      </w:pPr>
      <w:r>
        <w:t xml:space="preserve">Estratégia ESG: </w:t>
      </w:r>
      <w:hyperlink r:id="rId25">
        <w:r>
          <w:rPr>
            <w:color w:val="245878"/>
            <w:u w:val="single"/>
          </w:rPr>
          <w:t>https://cliente.asteriscoeducacao.com.br/AST/catalogo/ESG/index.html</w:t>
        </w:r>
      </w:hyperlink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conservar a lista do curso iniciado e confirmar com a gestão a obrigatoriedade, os prazos e a forma de comprovação vigentes. Abrir os links em nova aba e testar o acesso antes da publicação.</w:t>
      </w:r>
    </w:p>
    <w:p>
      <w:pPr>
        <w:pStyle w:val="Heading3"/>
      </w:pPr>
      <w:r>
        <w:t>Glossário AST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Algumas siglas aparecem o tempo todo nas conversas. Consulte este glossário quando encontrar uma delas.</w:t>
      </w:r>
    </w:p>
    <w:p>
      <w:pPr>
        <w:keepNext/>
        <w:spacing w:before="160"/>
      </w:pPr>
      <w:r>
        <w:rPr>
          <w:b/>
          <w:color w:val="5B4878"/>
          <w:sz w:val="20"/>
        </w:rPr>
        <w:t>PALAVRAS INTERATIVAS</w:t>
      </w:r>
    </w:p>
    <w:p>
      <w:pPr>
        <w:pStyle w:val="ListBullet"/>
      </w:pPr>
      <w:r>
        <w:t>OP: One Page, formato de curso organizado em uma página com diferentes seções.</w:t>
      </w:r>
    </w:p>
    <w:p>
      <w:pPr>
        <w:pStyle w:val="ListBullet"/>
      </w:pPr>
      <w:r>
        <w:t>SB: Storyboard, planejamento que relaciona conteúdo, cenas e representação visual.</w:t>
      </w:r>
    </w:p>
    <w:p>
      <w:pPr>
        <w:pStyle w:val="ListBullet"/>
      </w:pPr>
      <w:r>
        <w:t>DI: Designer Instrucional, responsável pelo planejamento e pela organização pedagógica do conteúdo.</w:t>
      </w:r>
    </w:p>
    <w:p>
      <w:pPr>
        <w:pStyle w:val="ListBullet"/>
      </w:pPr>
      <w:r>
        <w:t>DG: Designer Gráfico, profissional que transforma o roteiro em uma experiência visual e funcional, conforme o escopo.</w:t>
      </w:r>
    </w:p>
    <w:p>
      <w:pPr>
        <w:pStyle w:val="ListBullet"/>
      </w:pPr>
      <w:r>
        <w:t>GP: Gerente de Projetos, responsável pelos alinhamentos de gestão e cronograma.</w:t>
      </w:r>
    </w:p>
    <w:p>
      <w:pPr>
        <w:pStyle w:val="ListBullet"/>
      </w:pPr>
      <w:r>
        <w:t>DNA: conjunto de referências de identidade e padrões do cliente.</w:t>
      </w:r>
    </w:p>
    <w:p>
      <w:pPr>
        <w:pStyle w:val="ListBullet"/>
      </w:pPr>
      <w:r>
        <w:t>LMS: sistema que disponibiliza cursos e acompanha a aprendizagem, conforme seus recursos.</w:t>
      </w:r>
    </w:p>
    <w:p>
      <w:pPr>
        <w:pStyle w:val="ListBullet"/>
      </w:pPr>
      <w:r>
        <w:t>LXP: plataforma voltada à experiência e à descoberta de conteúdos de aprendizagem.</w:t>
      </w:r>
    </w:p>
    <w:p>
      <w:pPr>
        <w:pStyle w:val="ListBullet"/>
      </w:pPr>
      <w:r>
        <w:t>SCORM: padrão de comunicação e empacotamento de cursos para ambientes compatíveis.</w:t>
      </w:r>
    </w:p>
    <w:p>
      <w:pPr>
        <w:pStyle w:val="ListBullet"/>
      </w:pPr>
      <w:r>
        <w:t>FTP: protocolo de transferência de arquivos, utilizado quando esse fluxo é previsto no projeto.</w:t>
      </w:r>
    </w:p>
    <w:p>
      <w:pPr>
        <w:pStyle w:val="ListBullet"/>
      </w:pPr>
      <w:r>
        <w:t>Repositório: local que reúne arquivos e histórico de alterações de um projeto.</w:t>
      </w:r>
    </w:p>
    <w:p>
      <w:pPr>
        <w:pStyle w:val="ListBullet"/>
      </w:pPr>
      <w:r>
        <w:t>Homologação: verificação do material e de seu funcionamento no ambiente previsto para entrega.</w:t>
      </w:r>
    </w:p>
    <w:p>
      <w:pPr>
        <w:pStyle w:val="Heading2"/>
      </w:pPr>
      <w:r>
        <w:t>Acessos e ferramentas de produção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da primeira demanda, confira se você consegue acessar os sistemas e as pastas necessários à sua função. Se alguma liberação estiver pendente, sinalize o nome da ferramenta e o projeto em que ela será usada.</w:t>
      </w:r>
    </w:p>
    <w:p>
      <w:pPr>
        <w:keepNext/>
        <w:spacing w:before="160"/>
      </w:pPr>
      <w:r>
        <w:rPr>
          <w:b/>
          <w:sz w:val="20"/>
        </w:rPr>
        <w:t>CHECKLIST — Primeiro acesso</w:t>
      </w:r>
    </w:p>
    <w:p>
      <w:pPr>
        <w:pStyle w:val="ListBullet"/>
      </w:pPr>
      <w:r>
        <w:t>E-mail corporativo e assinatura.</w:t>
      </w:r>
    </w:p>
    <w:p>
      <w:pPr>
        <w:pStyle w:val="ListBullet"/>
      </w:pPr>
      <w:r>
        <w:t>Slack e canais da equipe e dos projetos.</w:t>
      </w:r>
    </w:p>
    <w:p>
      <w:pPr>
        <w:pStyle w:val="ListBullet"/>
      </w:pPr>
      <w:r>
        <w:t>Harvest, Forecast e Fortime, quando aplicáveis à função.</w:t>
      </w:r>
    </w:p>
    <w:p>
      <w:pPr>
        <w:pStyle w:val="ListBullet"/>
      </w:pPr>
      <w:r>
        <w:t>Drive compartilhado e pastas de trabalho.</w:t>
      </w:r>
    </w:p>
    <w:p>
      <w:pPr>
        <w:pStyle w:val="ListBullet"/>
      </w:pPr>
      <w:r>
        <w:t>Ferramentas de produção e repositórios necessários à demanda.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incluir o caminho interno de solicitação a partir do Trello. Não publicar senhas, tokens ou chaves na OP. O objetivo deste bloco é orientar como solicitar acesso. A definição de quais ferramentas entram aqui acompanha a lista de softwares aprovada pela equipe.</w:t>
      </w:r>
    </w:p>
    <w:p>
      <w:pPr>
        <w:pStyle w:val="Heading2"/>
        <w:pageBreakBefore/>
      </w:pPr>
      <w:r>
        <w:t>DG Ambientação</w:t>
      </w:r>
    </w:p>
    <w:p>
      <w:pPr>
        <w:pStyle w:val="Heading3"/>
      </w:pPr>
      <w:r>
        <w:t>Ferramentas para sincronização da máquina</w:t>
      </w:r>
    </w:p>
    <w:p>
      <w:r>
        <w:rPr>
          <w:b/>
        </w:rPr>
        <w:t>Imagem de apoio G06: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produzir, entenda onde o arquivo de trabalho fica e como ele chega ao local compartilhado. Drive, SharePoint, FTP e Git têm funções e procedimentos diferentes. Use o fluxo indicado para o projeto.</w:t>
      </w:r>
    </w:p>
    <w:p>
      <w:r>
        <w:t>No Drive, confira o acesso às pastas compartilhadas. Em projetos com Git, confira o repositório e o estado dos arquivos antes de começar. SharePoint e FTP devem seguir as orientações específicas de envio e recebimento.</w:t>
      </w:r>
    </w:p>
    <w:p>
      <w:pPr>
        <w:keepNext/>
        <w:spacing w:before="160"/>
      </w:pPr>
      <w:r>
        <w:rPr>
          <w:b/>
          <w:sz w:val="20"/>
        </w:rPr>
        <w:t>DESTAQUE — Sincronização também precisa ser conferida</w:t>
      </w:r>
    </w:p>
    <w:p>
      <w:r>
        <w:t>Um arquivo salvo apenas na sua máquina pode não estar disponível para a próxima pessoa. Antes de encerrar, verifique se o material chegou ao local combinado e se abre corretamente.</w:t>
      </w:r>
    </w:p>
    <w:p>
      <w:r>
        <w:rPr>
          <w:b/>
        </w:rPr>
        <w:t>Demonstração:</w:t>
      </w:r>
      <w:r>
        <w:t xml:space="preserve"> mostrar um exemplo de sincronização e um de acesso ao repositório. Inserir os tutoriais específicos após receber os prints do quadro de integração.</w:t>
      </w:r>
    </w:p>
    <w:p>
      <w:pPr>
        <w:pStyle w:val="Heading3"/>
      </w:pPr>
      <w:r>
        <w:t>Orientações básicas para produção de peças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Comece pelo roteiro e pelas referências do projeto. Identifique o que é texto para o participante, locução, instrução de interação e nota de produção. Cada elemento tem uma função e não precisa aparecer da mesma forma na tela.</w:t>
      </w:r>
    </w:p>
    <w:p>
      <w:r>
        <w:t>Antes de adaptar um material existente, confira sua identificação. Título, ID, imagens, links e configurações de publicação precisam corresponder ao projeto atual.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Preparar a produção</w:t>
      </w:r>
    </w:p>
    <w:p>
      <w:pPr>
        <w:pStyle w:val="ListBullet"/>
      </w:pPr>
      <w:r>
        <w:t>Ler o roteiro completo e localizar mídias e interações previstas.</w:t>
      </w:r>
    </w:p>
    <w:p>
      <w:pPr>
        <w:pStyle w:val="ListBullet"/>
      </w:pPr>
      <w:r>
        <w:t>Conferir identidade visual e materiais aprovados do cliente.</w:t>
      </w:r>
    </w:p>
    <w:p>
      <w:pPr>
        <w:pStyle w:val="ListBullet"/>
      </w:pPr>
      <w:r>
        <w:t>Identificar o modelo de partida e a versão que deve ser utilizada.</w:t>
      </w:r>
    </w:p>
    <w:p>
      <w:pPr>
        <w:pStyle w:val="ListBullet"/>
      </w:pPr>
      <w:r>
        <w:t>Listar dependências, como imagens, vídeos, locuções e validações.</w:t>
      </w:r>
    </w:p>
    <w:p>
      <w:pPr>
        <w:pStyle w:val="ListBullet"/>
      </w:pPr>
      <w:r>
        <w:t>Conferir ID e título no arquivo e no ambiente de autoria.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demonstrar a alteração de título e identificação na OP e no Storyline com exemplos reais aprovados. Não alterar identificadores de um curso já em uso sem avaliar o impacto com a equipe responsável.</w:t>
      </w:r>
    </w:p>
    <w:p>
      <w:pPr>
        <w:pStyle w:val="Heading3"/>
      </w:pPr>
      <w:r>
        <w:t>Como fazer uma OP com HTML e CSS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Produzir uma OP envolve preparar o ambiente, abrir a versão correta do projeto, configurar a compilação dos estilos, montar as telas e os componentes, conferir o resultado e gerar a entrega. Vamos acompanhar esse percurso na ordem em que ele acontece.</w:t>
      </w:r>
    </w:p>
    <w:p>
      <w:r>
        <w:t>O fluxo abaixo usa a estrutura local Hands-on documentada pela Asterisco. VS Code, terminal, Koala, editor Hands-on e navegador trabalham juntos. Você pode voltar diretamente à etapa de que precisar, sem responder exercícios.</w:t>
      </w:r>
    </w:p>
    <w:p>
      <w:pPr>
        <w:pStyle w:val="Heading4"/>
      </w:pPr>
      <w:r>
        <w:t>Passo 1 Preparar a máquina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Na primeira configuração da máquina, prepare Node.js e Yarn nas versões compatíveis com o projeto, Git for Windows, VS Code com a extensão PowerShell e Koala. Confira também o acesso à organização da Asterisco no GitHub e às pastas de trabalho.</w:t>
      </w:r>
    </w:p>
    <w:p>
      <w:r>
        <w:t>O PDF de setup descreve a habilitação do agente SSH, a geração das chaves e o cadastro da chave pública no GitHub. Essas configurações são feitas para viabilizar o acesso aos repositórios. Se ainda não tiver acesso ou se a configuração falhar, solicite apoio ao responsável antes de continuar.</w:t>
      </w:r>
    </w:p>
    <w:p>
      <w:r>
        <w:t>Configure no Git seu nome e e-mail profissionais. A autenticação do repositório e o Settings Sync do VS Code têm funções diferentes: sincronizar preferências do editor não envia os arquivos do projeto ao GitHub.</w:t>
      </w:r>
    </w:p>
    <w:p>
      <w:pPr>
        <w:keepNext/>
        <w:spacing w:before="160"/>
      </w:pPr>
      <w:r>
        <w:rPr>
          <w:b/>
          <w:sz w:val="20"/>
        </w:rPr>
        <w:t>DESTAQUE — Versões compatíveis</w:t>
      </w:r>
    </w:p>
    <w:p>
      <w:r>
        <w:t>O setup fornecido registra Node.js 22 com Yarn Classic como configuração de compatibilidade. Utilize as versões orientadas para o projeto; instalar a versão mais nova de cada ferramenta não garante que o conjunto funcione.</w:t>
      </w:r>
    </w:p>
    <w:p>
      <w:pPr>
        <w:keepNext/>
        <w:spacing w:before="160"/>
      </w:pPr>
      <w:r>
        <w:rPr>
          <w:b/>
          <w:sz w:val="20"/>
        </w:rPr>
        <w:t>IMAGENS OP01 e OP02 — Preparação</w:t>
      </w:r>
    </w:p>
    <w:p>
      <w:r>
        <w:t>OP01: visão das ferramentas utilizadas no fluxo, identificando VS Code, terminal, Koala e navegador. OP02: configuração de acesso ao GitHub e identificação do Git, com dados pessoais e chaves ocultos. Aproveitar as imagens de apoio do setup quando estiverem legíveis e atuais.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incluir o PDF HandsOn SETUP como botão de consulta. COLOCAR LINK COMPARTILHÁVEL DO PDF DE SETUP. Não inserir chaves ou credenciais no conteúdo da OP.</w:t>
      </w:r>
    </w:p>
    <w:p>
      <w:pPr>
        <w:pStyle w:val="Heading4"/>
      </w:pPr>
      <w:r>
        <w:t>Passo 2 Consultar a OP modelo de interações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 Asterisco tem um curso modelo que reúne interações para consulta. Utilize-o para conhecer os componentes e entender a estrutura antes de montar o recurso no projeto.</w:t>
      </w:r>
    </w:p>
    <w:p>
      <w:pPr>
        <w:keepNext/>
        <w:spacing w:before="160"/>
      </w:pPr>
      <w:r>
        <w:rPr>
          <w:b/>
          <w:sz w:val="20"/>
        </w:rPr>
        <w:t>BOTÃO — Baixar ou consultar o curso modelo de interações</w:t>
      </w:r>
    </w:p>
    <w:p>
      <w:hyperlink r:id="rId26">
        <w:r>
          <w:rPr>
            <w:color w:val="245878"/>
            <w:u w:val="single"/>
          </w:rPr>
          <w:t>https://github.com/asteriscoeducacao/hands-on-curso-modelo</w:t>
        </w:r>
      </w:hyperlink>
    </w:p>
    <w:p>
      <w:r>
        <w:t>No GitHub, o menu “Code” oferece os caminhos de obtenção disponíveis à sua conta, como o endereço de clonagem e o download ZIP. Para trabalhar com histórico e sincronização do projeto, siga o fluxo de repositório da equipe. Um ZIP de consulta não substitui esse histórico.</w:t>
      </w:r>
    </w:p>
    <w:p>
      <w:pPr>
        <w:keepNext/>
        <w:spacing w:before="160"/>
      </w:pPr>
      <w:r>
        <w:rPr>
          <w:b/>
          <w:sz w:val="20"/>
        </w:rPr>
        <w:t>DESTAQUE — Biblioteca e projeto têm papéis diferentes</w:t>
      </w:r>
    </w:p>
    <w:p>
      <w:r>
        <w:t>A biblioteca serve como referência. A produção acontece na pasta e no repositório indicados para a demanda. Não altere o modelo compartilhado para produzir um curso de cliente.</w:t>
      </w:r>
    </w:p>
    <w:p>
      <w:pPr>
        <w:keepNext/>
        <w:spacing w:before="160"/>
      </w:pPr>
      <w:r>
        <w:rPr>
          <w:b/>
          <w:sz w:val="20"/>
        </w:rPr>
        <w:t>IMAGENS OP03 e OP04 — Modelo de interações</w:t>
      </w:r>
    </w:p>
    <w:p>
      <w:r>
        <w:t>OP03: página do repositório e menu “Code”, mostrando onde copiar o endereço de clonagem e obter o ZIP. OP04: curso modelo aberto, com exemplos de abas, acordeão, slider, flipcard, vídeo e questão, sem exigir que o participante responda a uma atividade.</w:t>
      </w:r>
    </w:p>
    <w:p>
      <w:pPr>
        <w:pStyle w:val="Heading4"/>
      </w:pPr>
      <w:r>
        <w:t>Passo 3 Obter o repositório do projeto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Ao iniciar um piloto, comunique o administrador: é ele quem cria o novo repositório e libera as permissões do time. Utilize o endereço do projeto disponibilizado para você.</w:t>
      </w:r>
    </w:p>
    <w:p>
      <w:r>
        <w:t>Abra no VS Code a pasta em que ficará sua cópia de trabalho. No terminal PowerShell, execute a clonagem com o endereço correto: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git clone ENDERECO_DO_REPOSITORIO</w:t>
      </w:r>
    </w:p>
    <w:p>
      <w:r>
        <w:t>Depois da clonagem, abra no VS Code apenas a pasta do curso que será editado. Confira o nome do projeto antes de iniciar os comandos.</w:t>
      </w:r>
    </w:p>
    <w:p>
      <w:pPr>
        <w:keepNext/>
        <w:spacing w:before="160"/>
      </w:pPr>
      <w:r>
        <w:rPr>
          <w:b/>
          <w:sz w:val="20"/>
        </w:rPr>
        <w:t>IMAGEM OP05 — Clonagem e pasta correta</w:t>
      </w:r>
    </w:p>
    <w:p>
      <w:r>
        <w:t>Mostrar o comando de clonagem e, em seguida, a pasta do próprio curso aberta no Explorador do VS Code. Identificar a diferença entre a pasta que reúne os projetos e a raiz do projeto em edição. Referência: páginas 6 a 9 do setup.</w:t>
      </w:r>
    </w:p>
    <w:p>
      <w:pPr>
        <w:pStyle w:val="Heading4"/>
      </w:pPr>
      <w:r>
        <w:t>Passo 4 Abrir o curso pela primeira vez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Na primeira abertura de cada cópia recém-clonada, abra o terminal na pasta do curso e execute: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yarn dev</w:t>
      </w:r>
    </w:p>
    <w:p>
      <w:r>
        <w:t>Segundo o setup, esse comando prepara dependências, aplica as atualizações previstas no projeto e abre a interface. A primeira execução pode demorar mais. Aguarde a conclusão e confira se a interface do Hands-on foi aberta corretamente.</w:t>
      </w:r>
    </w:p>
    <w:p>
      <w:r>
        <w:t>Não feche o terminal do servidor enquanto estiver usando a edição local. Se aparecer uma mensagem de erro, registre o texto e confira a pasta, as versões e os acessos antes de tentar mudanças aleatórias.</w:t>
      </w:r>
    </w:p>
    <w:p>
      <w:pPr>
        <w:keepNext/>
        <w:spacing w:before="160"/>
      </w:pPr>
      <w:r>
        <w:rPr>
          <w:b/>
          <w:sz w:val="20"/>
        </w:rPr>
        <w:t>IMAGENS OP06 e OP07 — Primeira abertura</w:t>
      </w:r>
    </w:p>
    <w:p>
      <w:r>
        <w:t>OP06: terminal na raiz do curso com “yarn dev” e a conclusão da inicialização. OP07: interface Hands-on que se abre ao finalizar. Referência: páginas 9 e 10 do setup.</w:t>
      </w:r>
    </w:p>
    <w:p>
      <w:pPr>
        <w:pStyle w:val="Heading4"/>
      </w:pPr>
      <w:r>
        <w:t>Passo 5 Reabrir uma cópia já preparada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Quando a cópia já estiver preparada e atualizada, o PDF de setup indica este comando para abrir a interface novamente: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yarn hands-on-server</w:t>
      </w:r>
    </w:p>
    <w:p>
      <w:r>
        <w:t>Esse comando tem a finalidade de abrir o editor. A geração do pacote final é outra etapa. Se outra pessoa alterou o projeto desde sua última sessão, confira a versão compartilhada e siga o fluxo de atualização antes de continuar a edição.</w:t>
      </w:r>
    </w:p>
    <w:p>
      <w:pPr>
        <w:keepNext/>
        <w:spacing w:before="160"/>
      </w:pPr>
      <w:r>
        <w:rPr>
          <w:b/>
          <w:sz w:val="20"/>
        </w:rPr>
        <w:t>IMAGEM OP08 — Reabertura</w:t>
      </w:r>
    </w:p>
    <w:p>
      <w:r>
        <w:t>Mostrar o comando de reabertura e uma legenda de comparação: primeira abertura da cópia com “yarn dev”; reabertura da cópia preparada com “yarn hands-on-server”; publicação com “yarn hands-on-build-dist”.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comandos transcritos das páginas 10, 14 e 15 do setup. A menção posterior a “hands on build” está pendente de confirmação; não substituir o comando de reabertura pelo de publicação sem esclarecer a finalidade.</w:t>
      </w:r>
    </w:p>
    <w:p>
      <w:pPr>
        <w:pStyle w:val="Heading4"/>
      </w:pPr>
      <w:r>
        <w:t>Passo 6 Abrir e preparar o Koala antes dos estilos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editar os estilos, abra o Koala e confira se ele está acompanhando a pasta do curso correto. Neste fluxo, os estilos de trabalho incluem arquivos SCSS, que precisam ser compilados para o CSS utilizado pela OP.</w:t>
      </w:r>
    </w:p>
    <w:p>
      <w:r>
        <w:t>Na primeira utilização do projeto no Koala, adicione a pasta de estilos conforme o padrão da equipe. Confira o arquivo de entrada, o destino do CSS e a configuração de compilação. Nas próximas sessões, confirme novamente o projeto ativo e deixe o Koala aberto durante a edição dos estilos.</w:t>
      </w:r>
    </w:p>
    <w:p>
      <w:r>
        <w:t>No modelo local consultado, “dist/css” contém “curso-custom.scss” e “curso-custom.css”, além de outros estilos. O arquivo SCSS importa “curso-var.scss”. Utilize os arquivos previstos no projeto e confirme o destino da compilação antes de editar.</w:t>
      </w:r>
    </w:p>
    <w:p>
      <w:pPr>
        <w:keepNext/>
        <w:spacing w:before="160"/>
      </w:pPr>
      <w:r>
        <w:rPr>
          <w:b/>
          <w:sz w:val="20"/>
        </w:rPr>
        <w:t>DESTAQUE — Abra o Koala antes de alterar os estilos</w:t>
      </w:r>
    </w:p>
    <w:p>
      <w:r>
        <w:t>Não basta modificar um SCSS no VS Code: a compilação precisa concluir e atualizar o CSS carregado pelo curso. Se você editar diretamente um CSS que é gerado pelo Koala, a alteração poderá ser substituída na próxima compilação.</w:t>
      </w:r>
    </w:p>
    <w:p>
      <w:pPr>
        <w:keepNext/>
        <w:spacing w:before="160"/>
      </w:pPr>
      <w:r>
        <w:rPr>
          <w:b/>
          <w:sz w:val="20"/>
        </w:rPr>
        <w:t>IMAGENS OP09 e OP10 — Koala</w:t>
      </w:r>
    </w:p>
    <w:p>
      <w:r>
        <w:t>OP09: Koala com a pasta correta adicionada e o SCSS selecionado. OP10: configuração real da compilação, destacando entrada, saída, modo automático ou manual utilizado pela equipe e indicação de sucesso.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etapa obrigatória incluída por orientação de Marianne. O PDF fornecido não mostra o Koala. Precisamos de prints dessa configuração para nomear com precisão os controles e registrar as opções adotadas. Não presumir formato de saída, modo automático ou configuração de source map sem verificar o projeto.</w:t>
      </w:r>
    </w:p>
    <w:p>
      <w:pPr>
        <w:pStyle w:val="Heading4"/>
      </w:pPr>
      <w:r>
        <w:t>Passo 7 Conhecer as pastas e localizar a tela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Nos exemplos consultados, as telas HTML ficam em “dist/_telas”, os estilos em “dist/css” e as mídias em “dist/midias”. Localize os arquivos correspondentes ao trecho do roteiro que será produzido.</w:t>
      </w:r>
    </w:p>
    <w:p>
      <w:r>
        <w:t>O HTML organiza o conteúdo da tela. O SCSS/CSS controla a apresentação. Os componentes Hands-on oferecem os comportamentos de navegação e interação. Arquivos gerados automaticamente, como o “src/data.ts” identificado no modelo, não devem ser usados para fazer alterações manuais que se perderão na próxima geração.</w:t>
      </w:r>
    </w:p>
    <w:p>
      <w:pPr>
        <w:keepNext/>
        <w:spacing w:before="160"/>
      </w:pPr>
      <w:r>
        <w:rPr>
          <w:b/>
          <w:sz w:val="20"/>
        </w:rPr>
        <w:t>IMAGEM OP11 — Estrutura da OP</w:t>
      </w:r>
    </w:p>
    <w:p>
      <w:r>
        <w:t>Print do Explorador do VS Code com as pastas de telas, estilos e mídias expandidas, sem mostrar arquivos desnecessários. Destacar um HTML, seu estilo e um asset relacionado.</w:t>
      </w:r>
    </w:p>
    <w:p>
      <w:pPr>
        <w:pStyle w:val="Heading4"/>
      </w:pPr>
      <w:r>
        <w:t>Passo 8 Montar e editar as telas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Na interface Hands-on, confira as telas, seus nomes e sua ordem. O setup apresenta recursos para adicionar e organizar seções, editar o menu e configurar os componentes. Clique em “Editar curso” para abrir a visualização de edição.</w:t>
      </w:r>
    </w:p>
    <w:p>
      <w:r>
        <w:t>Use a identificação da seção para relacionar o que aparece no navegador ao arquivo e ao trecho do roteiro. Ao editar HTML, preserve os atributos, os scripts e o registro de componentes necessários ao funcionamento da OP.</w:t>
      </w:r>
    </w:p>
    <w:p>
      <w:r>
        <w:t>No conteúdo HTML, títulos e parágrafos têm funções próprias. Veja um exemplo didático de estrutura: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&lt;div class="onb-exemplo"&gt;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&lt;h2&gt;Organização do projeto&lt;/h2&gt;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&lt;p&gt;Confira o roteiro antes de produzir.&lt;/p&gt;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&lt;/div&gt;</w:t>
      </w:r>
    </w:p>
    <w:p>
      <w:r>
        <w:t>A classe permite localizar e estilizar esse bloco. No projeto real, consulte os padrões existentes antes de criar uma classe nova. Não copie conteúdo do curso de referência para o curso do cliente.</w:t>
      </w:r>
    </w:p>
    <w:p>
      <w:pPr>
        <w:keepNext/>
        <w:spacing w:before="160"/>
      </w:pPr>
      <w:r>
        <w:rPr>
          <w:b/>
          <w:sz w:val="20"/>
        </w:rPr>
        <w:t>IMAGENS OP12 e OP13 — Edição de tela</w:t>
      </w:r>
    </w:p>
    <w:p>
      <w:r>
        <w:t>OP12: interface Hands-on com o botão “Editar curso” e a identificação da seção. OP13: HTML no VS Code e resultado correspondente no navegador, com o mesmo título destacado. Referência: página 11 do setup.</w:t>
      </w:r>
    </w:p>
    <w:p>
      <w:pPr>
        <w:pStyle w:val="Heading4"/>
      </w:pPr>
      <w:r>
        <w:t>Passo 9 Editar o estilo e conferir a compilação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Com o Koala aberto no projeto correto, localize o SCSS correspondente e faça o ajuste visual necessário. Uma regra simples pode controlar a largura, o espaço interno e a posição de um bloco: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.onb-exemplo {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max-width: 48rem;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margin: 0 auto;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padding: 1.5rem;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}</w:t>
      </w:r>
    </w:p>
    <w:p>
      <w:r>
        <w:t>Salve o arquivo, confira a compilação no Koala e verifique o resultado no navegador. Compare desktop e mobile. Um ajuste global pode alterar várias telas; uma regra localizada precisa ser aplicada ao elemento correto.</w:t>
      </w:r>
    </w:p>
    <w:p>
      <w:pPr>
        <w:keepNext/>
        <w:spacing w:before="160"/>
      </w:pPr>
      <w:r>
        <w:rPr>
          <w:b/>
          <w:sz w:val="20"/>
        </w:rPr>
        <w:t>DESTAQUE — Se a alteração não aparecer</w:t>
      </w:r>
    </w:p>
    <w:p>
      <w:r>
        <w:t>Confira a pasta ativa, o arquivo editado, o destino do CSS, o resultado da compilação e qual arquivo de estilo a tela carrega. Depois investigue a precedência das regras e o cache do navegador. Não conclua que o problema é apenas cache sem verificar a compilação.</w:t>
      </w:r>
    </w:p>
    <w:p>
      <w:pPr>
        <w:keepNext/>
        <w:spacing w:before="160"/>
      </w:pPr>
      <w:r>
        <w:rPr>
          <w:b/>
          <w:sz w:val="20"/>
        </w:rPr>
        <w:t>IMAGENS OP14 e OP15 — SCSS e resultado</w:t>
      </w:r>
    </w:p>
    <w:p>
      <w:r>
        <w:t>OP14: comparação entre SCSS salvo, sucesso no Koala e CSS de saída atualizado. OP15: antes e depois no desktop e no mobile, mostrando a alteração de composição.</w:t>
      </w:r>
    </w:p>
    <w:p>
      <w:pPr>
        <w:pStyle w:val="Heading4"/>
      </w:pPr>
      <w:r>
        <w:t>Passo 10 Inserir as interações e as mídias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Consulte a OP modelo para escolher o componente adequado ao roteiro. Reaproveite a estrutura compatível e adapte os conteúdos, preservando o comportamento do recurso.</w:t>
      </w:r>
    </w:p>
    <w:p>
      <w:r>
        <w:t>Para editar um componente no fluxo mostrado no setup, abra sua engrenagem na interface e ajuste os campos correspondentes. Confira títulos, textos, imagens e demais propriedades. Depois percorra todos os itens no navegador.</w:t>
      </w:r>
    </w:p>
    <w:p>
      <w:r>
        <w:t>Organize imagens, áudios, vídeos e downloads nos locais previstos. Confira os caminhos dos arquivos e teste a abertura no curso completo. Quando uma interação tiver regra de progresso, confira também sua integração com o comportamento nativo da OP.</w:t>
      </w:r>
    </w:p>
    <w:p>
      <w:pPr>
        <w:keepNext/>
        <w:spacing w:before="160"/>
      </w:pPr>
      <w:r>
        <w:rPr>
          <w:b/>
          <w:sz w:val="20"/>
        </w:rPr>
        <w:t>IMAGENS OP16 e OP17 — Componentes</w:t>
      </w:r>
    </w:p>
    <w:p>
      <w:r>
        <w:t>OP16: componente na biblioteca e sua engrenagem de edição. OP17: painel do componente com conteúdo preenchido e o resultado no curso. Usar um acordeão como primeiro exemplo, conforme páginas 12 e 13 do setup, e uma segunda composição da biblioteca para mostrar que cada componente tem seus campos.</w:t>
      </w:r>
    </w:p>
    <w:p>
      <w:pPr>
        <w:pStyle w:val="Heading4"/>
      </w:pPr>
      <w:r>
        <w:t>Passo 11 Salvar registrar e sincronizar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Depois de conferir a edição, abra o controle de versão do VS Code e revise os arquivos alterados. Registre um comentário que identifique o trabalho feito e execute o commit no fluxo adotado. Em seguida, sincronize as alterações com o repositório.</w:t>
      </w:r>
    </w:p>
    <w:p>
      <w:r>
        <w:t>Confira se a sincronização terminou e se os arquivos necessários estão no local compartilhado. Se houver conflito, alinhe a versão correta antes de continuar. Não descarte alterações válidas nem exclua a pasta do projeto para resolver uma dúvida de atualização.</w:t>
      </w:r>
    </w:p>
    <w:p>
      <w:pPr>
        <w:keepNext/>
        <w:spacing w:before="160"/>
      </w:pPr>
      <w:r>
        <w:rPr>
          <w:b/>
          <w:sz w:val="20"/>
        </w:rPr>
        <w:t>IMAGEM OP18 — Histórico e sincronização</w:t>
      </w:r>
    </w:p>
    <w:p>
      <w:r>
        <w:t>Mostrar os arquivos alterados, um comentário de exemplo e o resultado da sincronização. Diferenciar arquivo apenas salvo, commit registrado e alteração enviada ao repositório. Referência: páginas 13 e 14 do setup.</w:t>
      </w:r>
    </w:p>
    <w:p>
      <w:pPr>
        <w:pStyle w:val="Heading4"/>
      </w:pPr>
      <w:r>
        <w:t>Passo 12 Conferir e gerar o pacote final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Revise o curso completo antes de publicar: texto, menu, imagens, mídias, links, componentes e comportamento em desktop e mobile. Confira título, ID e formato de entrega. A geração do pacote não substitui essa revisão.</w:t>
      </w:r>
    </w:p>
    <w:p>
      <w:r>
        <w:t>O setup orienta encerrar o servidor no terminal com “Ctrl + C” e executar: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yarn hands-on-build-dist</w:t>
      </w:r>
    </w:p>
    <w:p>
      <w:r>
        <w:t>Confira o pacote gerado na raiz do projeto, renomeie conforme o padrão de entrega e siga a homologação prevista. Teste o arquivo publicado no ambiente correspondente, incluindo conclusão e retomada quando aplicáveis.</w:t>
      </w:r>
    </w:p>
    <w:p>
      <w:r>
        <w:t>Depois da entrega, o PDF orienta retirar o ZIP temporário da pasta de trabalho para não enviá-lo por engano ao repositório. Antes disso, confirme que a entrega foi preservada no destino correto e que os fontes necessários continuam organizados.</w:t>
      </w:r>
    </w:p>
    <w:p>
      <w:pPr>
        <w:keepNext/>
        <w:spacing w:before="160"/>
      </w:pPr>
      <w:r>
        <w:rPr>
          <w:b/>
          <w:sz w:val="20"/>
        </w:rPr>
        <w:t>IMAGENS OP19 e OP20 — Publicação</w:t>
      </w:r>
    </w:p>
    <w:p>
      <w:r>
        <w:t>OP19: término do servidor, comando de publicação e mensagem de conclusão. OP20: pacote gerado e identificação do arquivo que segue para homologação. Referência: página 15 do setup.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o tutorial termina com consulta e demonstração. Não solicitar exercício, envio de atividade, pontuação ou teste de aprendizagem. Usar os marcadores OP01 a OP20 no guia de imagens para controlar a produção dos prints.</w:t>
      </w:r>
    </w:p>
    <w:p>
      <w:pPr>
        <w:pStyle w:val="Heading3"/>
      </w:pPr>
      <w:r>
        <w:t>Como fazer uma OP com apoio do Claude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Claude pode ajudar a analisar e implementar a OP, mas precisa trabalhar no projeto certo, com roteiro, referências e limites claros. O resultado continua precisando de conferência no curso e no ambiente de entrega.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Prepare o contexto</w:t>
      </w:r>
    </w:p>
    <w:p>
      <w:pPr>
        <w:pStyle w:val="ListBullet"/>
      </w:pPr>
      <w:r>
        <w:t>Projeto: informar a pasta de trabalho e a OP ou módulo de referência.</w:t>
      </w:r>
    </w:p>
    <w:p>
      <w:pPr>
        <w:pStyle w:val="ListBullet"/>
      </w:pPr>
      <w:r>
        <w:t>Conteúdo: disponibilizar o roteiro completo e identificar a versão aprovada.</w:t>
      </w:r>
    </w:p>
    <w:p>
      <w:pPr>
        <w:pStyle w:val="ListBullet"/>
      </w:pPr>
      <w:r>
        <w:t>Identidade: indicar telas aprovadas, materiais do cliente e elementos que devem ser preservados.</w:t>
      </w:r>
    </w:p>
    <w:p>
      <w:pPr>
        <w:pStyle w:val="ListBullet"/>
      </w:pPr>
      <w:r>
        <w:t>Escopo: dizer se a tarefa é criar, continuar, ajustar, revisar ou corrigir o mobile.</w:t>
      </w:r>
    </w:p>
    <w:p>
      <w:pPr>
        <w:pStyle w:val="ListBullet"/>
      </w:pPr>
      <w:r>
        <w:t>Validação: pedir conferência do roteiro, dos componentes e do comportamento no curso real.</w:t>
      </w:r>
    </w:p>
    <w:p>
      <w:pPr>
        <w:pStyle w:val="ListBullet"/>
      </w:pPr>
      <w:r>
        <w:t>Estilos: informar o fluxo SCSS/CSS e abrir o Koala antes de alterar os estilos. O apoio do Claude precisa respeitar a mesma compilação e os arquivos do projeto.</w:t>
      </w:r>
    </w:p>
    <w:p>
      <w:pPr>
        <w:keepNext/>
        <w:spacing w:before="160"/>
      </w:pPr>
      <w:r>
        <w:rPr>
          <w:b/>
          <w:sz w:val="20"/>
        </w:rPr>
        <w:t>MODELO DE PEDIDO — Produzir uma OP</w:t>
      </w:r>
    </w:p>
    <w:p>
      <w:r>
        <w:t>“Trabalhe no projeto [caminho]. Use o roteiro [arquivo] e o módulo [referência]. Primeiro, identifique a arquitetura e os componentes existentes. Preserve os textos aprovados e as telas indicadas como concluídas. Implemente as telas previstas no roteiro, com HTML/CSS e componentes compatíveis com o projeto. Registre as imagens necessárias, integre os arquivos disponibilizados e verifique desktop, mobile, teclado e interações. Ao final, informe o que mudou e quais dependências permanecem.”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Comandos do fluxo local</w:t>
      </w:r>
    </w:p>
    <w:p>
      <w:r>
        <w:t>No ambiente em que a skill OP estiver instalada e configurada, o material local prevê:</w:t>
      </w:r>
    </w:p>
    <w:p>
      <w:pPr>
        <w:pStyle w:val="ListBullet"/>
      </w:pPr>
      <w:r>
        <w:t>“/op nova”: produzir uma nova OP a partir de roteiro e referência.</w:t>
      </w:r>
    </w:p>
    <w:p>
      <w:pPr>
        <w:pStyle w:val="ListBullet"/>
      </w:pPr>
      <w:r>
        <w:t>“/op roteiro”: analisar ou continuar o estado existente.</w:t>
      </w:r>
    </w:p>
    <w:p>
      <w:pPr>
        <w:pStyle w:val="ListBullet"/>
      </w:pPr>
      <w:r>
        <w:t>“/op mobile”: revisar e corrigir a experiência mobile.</w:t>
      </w:r>
    </w:p>
    <w:p>
      <w:pPr>
        <w:pStyle w:val="ListBullet"/>
      </w:pPr>
      <w:r>
        <w:t>“/op ajuste”: aplicar uma rodada de considerações do DI ou cliente.</w:t>
      </w:r>
    </w:p>
    <w:p>
      <w:pPr>
        <w:pStyle w:val="ListBullet"/>
      </w:pPr>
      <w:r>
        <w:t>“/op travar-interacao”: configurar a trava de uma interação pelo mecanismo nativo, quando solicitada.</w:t>
      </w:r>
    </w:p>
    <w:p>
      <w:pPr>
        <w:pStyle w:val="ListBullet"/>
      </w:pPr>
      <w:r>
        <w:t>“/op revisao”: comparar a OP com o roteiro e registrar divergências.</w:t>
      </w:r>
    </w:p>
    <w:p>
      <w:pPr>
        <w:keepNext/>
        <w:spacing w:before="160"/>
      </w:pPr>
      <w:r>
        <w:rPr>
          <w:b/>
          <w:sz w:val="20"/>
        </w:rPr>
        <w:t>DESTAQUE — Pedido claro facilita a revisão</w:t>
      </w:r>
    </w:p>
    <w:p>
      <w:r>
        <w:t>Em vez de “melhore a tela”, indique a tela, o problema e o resultado esperado. Exemplo: “Na tela 08, o texto corta no celular. Ajuste o layout preservando o texto e a interação.”</w:t>
      </w:r>
    </w:p>
    <w:p>
      <w:pPr>
        <w:keepNext/>
        <w:spacing w:before="160"/>
      </w:pPr>
      <w:r>
        <w:rPr>
          <w:b/>
          <w:sz w:val="20"/>
        </w:rPr>
        <w:t>IMAGENS CL01 a CL03 — OP com Claude</w:t>
      </w:r>
    </w:p>
    <w:p>
      <w:r>
        <w:t>CL01: projeto e roteiro disponibilizados ao Claude. CL02: pedido com contexto e referência, acompanhado dos arquivos alterados. CL03: resultado no curso, com o Koala e a compilação conferidos quando houver alteração de SCSS.</w:t>
      </w:r>
    </w:p>
    <w:p>
      <w:r>
        <w:rPr>
          <w:b/>
        </w:rPr>
        <w:t>Demonstração:</w:t>
      </w:r>
      <w:r>
        <w:t xml:space="preserve"> mostrar a abertura do projeto, o pedido inicial, a análise das alterações, a integração de uma imagem e a revisão no navegador. Os comandos “/op” pertencem à configuração local consultada; não são recursos universais de qualquer conta do Claude.</w:t>
      </w:r>
    </w:p>
    <w:p>
      <w:pPr>
        <w:pStyle w:val="Heading3"/>
      </w:pPr>
      <w:r>
        <w:t>Softwares por tipo de material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iniciar uma peça, confira qual ferramenta e qual formato de arquivo devem ser utilizados. O arquivo editável precisa ser compatível com o fluxo da equipe e com a continuidade da produção.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Ferramentas de produção</w:t>
      </w:r>
    </w:p>
    <w:p>
      <w:pPr>
        <w:pStyle w:val="ListBullet"/>
      </w:pPr>
      <w:r>
        <w:t>OP no fluxo local: VS Code, terminal, Koala e ambiente Hands-on. Confirmar as versões orientadas pela equipe; demais ferramentas específicas permanecem como COLOCAR SOFTWARE.</w:t>
      </w:r>
    </w:p>
    <w:p>
      <w:pPr>
        <w:pStyle w:val="ListBullet"/>
      </w:pPr>
      <w:r>
        <w:t>OP com IA: COLOCAR SOFTWARE e forma de acesso ao ambiente com Claude.</w:t>
      </w:r>
    </w:p>
    <w:p>
      <w:pPr>
        <w:pStyle w:val="ListBullet"/>
      </w:pPr>
      <w:r>
        <w:t>Cursos em telas e interações: COLOCAR SOFTWARE.</w:t>
      </w:r>
    </w:p>
    <w:p>
      <w:pPr>
        <w:pStyle w:val="ListBullet"/>
      </w:pPr>
      <w:r>
        <w:t>Imagens e tratamento: COLOCAR SOFTWARE.</w:t>
      </w:r>
    </w:p>
    <w:p>
      <w:pPr>
        <w:pStyle w:val="ListBullet"/>
      </w:pPr>
      <w:r>
        <w:t>Vetores e ilustrações: COLOCAR SOFTWARE.</w:t>
      </w:r>
    </w:p>
    <w:p>
      <w:pPr>
        <w:pStyle w:val="ListBullet"/>
      </w:pPr>
      <w:r>
        <w:t>Animação e edição de vídeo: COLOCAR SOFTWARE.</w:t>
      </w:r>
    </w:p>
    <w:p>
      <w:pPr>
        <w:pStyle w:val="ListBullet"/>
      </w:pPr>
      <w:r>
        <w:t>Storyboard: COLOCAR SOFTWARE e link do template aprovado.</w:t>
      </w:r>
    </w:p>
    <w:p>
      <w:pPr>
        <w:pStyle w:val="ListBullet"/>
      </w:pPr>
      <w:r>
        <w:t>Locução, edição e tratamento de áudio: COLOCAR SOFTWARE.</w:t>
      </w:r>
    </w:p>
    <w:p>
      <w:pPr>
        <w:pStyle w:val="ListBullet"/>
      </w:pPr>
      <w:r>
        <w:t>Vídeo com IA: COLOCAR SOFTWARE e fluxo autorizado de geração.</w:t>
      </w:r>
    </w:p>
    <w:p>
      <w:pPr>
        <w:pStyle w:val="ListBullet"/>
      </w:pPr>
      <w:r>
        <w:t>Flipbook e materiais de leitura: COLOCAR SOFTWARE.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preencher os marcadores após a definição interna. Para cada ferramenta, registrar finalidade, formato editável, formato de entrega e local de acesso ao tutorial.</w:t>
      </w:r>
    </w:p>
    <w:p>
      <w:pPr>
        <w:pStyle w:val="Heading3"/>
      </w:pPr>
      <w:r>
        <w:t>Storyline e formatos de publicação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formato de publicação depende do ambiente do cliente e dos requisitos do projeto. Confirme essa informação antes de fechar o curso e teste a retomada, a conclusão e a pontuação quando houver avaliação.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 que conferir</w:t>
      </w:r>
    </w:p>
    <w:p>
      <w:pPr>
        <w:pStyle w:val="ListBullet"/>
      </w:pPr>
      <w:r>
        <w:t>SCORM 1.2: tem um limite padrão de 4.096 caracteres para “suspend_data”, utilizado na retomada. Cursos com muitos estados podem exigir cuidados e testes específicos.</w:t>
      </w:r>
    </w:p>
    <w:p>
      <w:pPr>
        <w:pStyle w:val="ListBullet"/>
      </w:pPr>
      <w:r>
        <w:t>SCORM 2004: confirmar a edição. A 2ª edição prevê 4.000 caracteres; a 3ª e a 4ª preveem 64.000. Não tratar todas como equivalentes.</w:t>
      </w:r>
    </w:p>
    <w:p>
      <w:pPr>
        <w:pStyle w:val="ListBullet"/>
      </w:pPr>
      <w:r>
        <w:t>AICC: utilizar quando for um requisito do ambiente e estiver contemplado na ferramenta de autoria.</w:t>
      </w:r>
    </w:p>
    <w:p>
      <w:pPr>
        <w:pStyle w:val="ListBullet"/>
      </w:pPr>
      <w:r>
        <w:t>xAPI e cmi5: dependem de suporte e configuração do ambiente de aprendizagem. Não escolher apenas por serem alternativas mais recentes.</w:t>
      </w:r>
    </w:p>
    <w:p>
      <w:pPr>
        <w:keepNext/>
        <w:spacing w:before="160"/>
      </w:pPr>
      <w:r>
        <w:rPr>
          <w:b/>
          <w:sz w:val="20"/>
        </w:rPr>
        <w:t>DESTAQUE — Retomada precisa de teste real</w:t>
      </w:r>
    </w:p>
    <w:p>
      <w:r>
        <w:t>Se o curso perde progresso, registre as condições do problema e investigue com a equipe. Alterar o comportamento de retomada ou resetar telas pode afetar a experiência e exige validação no projeto.</w:t>
      </w:r>
    </w:p>
    <w:p>
      <w:r>
        <w:rPr>
          <w:b/>
          <w:color w:val="555555"/>
          <w:sz w:val="20"/>
        </w:rPr>
        <w:t>Fonte técnica:</w:t>
      </w:r>
      <w:r>
        <w:rPr>
          <w:color w:val="555555"/>
          <w:sz w:val="20"/>
        </w:rPr>
        <w:t xml:space="preserve"> Articulate, “Storyline Exceeding SCORM Suspend Data Limits”, </w:t>
      </w:r>
      <w:hyperlink r:id="rId27">
        <w:r>
          <w:rPr>
            <w:color w:val="245878"/>
            <w:u w:val="single"/>
          </w:rPr>
          <w:t>https://www.articulatesupport.com/article/exceeding-scorm-suspend-data-limits</w:t>
        </w:r>
      </w:hyperlink>
      <w:r>
        <w:rPr>
          <w:color w:val="555555"/>
          <w:sz w:val="20"/>
        </w:rPr>
        <w:t>.</w:t>
      </w:r>
      <w:r>
        <w:rPr>
          <w:color w:val="555555"/>
          <w:sz w:val="20"/>
        </w:rPr>
        <w:t xml:space="preserve"> Os limites informam o padrão e não substituem o teste no LMS do cliente.</w:t>
      </w:r>
    </w:p>
    <w:p>
      <w:pPr>
        <w:pStyle w:val="Heading2"/>
        <w:pageBreakBefore/>
      </w:pPr>
      <w:r>
        <w:t>DG Processos</w:t>
      </w:r>
    </w:p>
    <w:p>
      <w:pPr>
        <w:pStyle w:val="Heading3"/>
      </w:pPr>
      <w:r>
        <w:t>Organização de pastas DG</w:t>
      </w:r>
    </w:p>
    <w:p>
      <w:r>
        <w:rPr>
          <w:b/>
        </w:rPr>
        <w:t>Imagem de apoio G07: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Sua organização precisa permitir que outra pessoa encontre os arquivos e continue o trabalho. No início de um projeto, a GP copia a estrutura de pastas para o local compartilhado em que o desenvolvimento será realizado.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 que fica na pasta _DG</w:t>
      </w:r>
    </w:p>
    <w:p>
      <w:pPr>
        <w:pStyle w:val="ListBullet"/>
      </w:pPr>
      <w:r>
        <w:t>“_arquivos_brutos_baixados”: arquivos recebidos ou baixados de bancos, como imagens, footages e templates.</w:t>
      </w:r>
    </w:p>
    <w:p>
      <w:pPr>
        <w:pStyle w:val="ListBullet"/>
      </w:pPr>
      <w:r>
        <w:t>“_fonts”: fontes tipográficas utilizadas no projeto.</w:t>
      </w:r>
    </w:p>
    <w:p>
      <w:pPr>
        <w:pStyle w:val="ListBullet"/>
      </w:pPr>
      <w:r>
        <w:t>“op”: materiais de produção da One Page.</w:t>
      </w:r>
    </w:p>
    <w:p>
      <w:pPr>
        <w:pStyle w:val="ListBullet"/>
      </w:pPr>
      <w:r>
        <w:t>“storyline”: materiais do curso produzido nesse formato.</w:t>
      </w:r>
    </w:p>
    <w:p>
      <w:pPr>
        <w:pStyle w:val="ListBullet"/>
      </w:pPr>
      <w:r>
        <w:t>“video”: materiais de produção dos vídeos.</w:t>
      </w:r>
    </w:p>
    <w:p>
      <w:pPr>
        <w:pStyle w:val="ListBullet"/>
      </w:pPr>
      <w:r>
        <w:t>Outras mídias: quando o projeto incluir uma cartilha, por exemplo, criar a pasta “cartilha”, com seus “_assets”, arquivos vinculados e tratados e o arquivo editável correspondente.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Arquivos brutos de vídeo e Libras</w:t>
      </w:r>
    </w:p>
    <w:p>
      <w:pPr>
        <w:pStyle w:val="ListBullet"/>
      </w:pPr>
      <w:r>
        <w:t>Recebimento: a GP recebe os arquivos, salva na pasta de brutos e informa o DG responsável.</w:t>
      </w:r>
    </w:p>
    <w:p>
      <w:pPr>
        <w:pStyle w:val="ListBullet"/>
      </w:pPr>
      <w:r>
        <w:t>Desenvolvimento: o DG organiza os arquivos na pasta de assets do material e preserva uma origem recuperável durante o trabalho. Confira os vínculos e evite sobrescrever o original ao tratar uma mídia.</w:t>
      </w:r>
    </w:p>
    <w:p>
      <w:pPr>
        <w:pStyle w:val="ListBullet"/>
      </w:pPr>
      <w:r>
        <w:t>Encerramento: conferir organização, duplicidades e arquivos que não foram utilizados. A limpeza acontece depois de verificar o material necessário à continuidade do projeto.</w:t>
      </w:r>
    </w:p>
    <w:p>
      <w:pPr>
        <w:keepNext/>
        <w:spacing w:before="160"/>
      </w:pPr>
      <w:r>
        <w:rPr>
          <w:b/>
          <w:sz w:val="20"/>
        </w:rPr>
        <w:t>DESTAQUE — Antes de limpar</w:t>
      </w:r>
    </w:p>
    <w:p>
      <w:r>
        <w:t>Confira a versão editável e seus vínculos. Uma cópia que parece duplicada pode ser a origem usada por outro arquivo. Organize primeiro o material de trabalho e só depois aplique os critérios de encerramento.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apresentar a árvore de pastas com a imagem recebida. Fonte interna: orientação de organização atualizada em 30/11/2023 por Ariane Packer e prints dos cartões T03, T04 e T05. O texto original usa “mover” e também orienta preservar o original; na demonstração, esclarecer onde fica a origem durante o desenvolvimento e quando o duplicado pode ser removido.</w:t>
      </w:r>
    </w:p>
    <w:p>
      <w:pPr>
        <w:pStyle w:val="Heading4"/>
      </w:pPr>
      <w:r>
        <w:t>Nomenclatura dos arquivos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Os arquivos editáveis acompanham o nome do roteiro, com a extensão correspondente à ferramenta. As mídias são identificadas pela tela, pelo vídeo e, quando houver, pelo módulo.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Exemplos do padrão interno</w:t>
      </w:r>
    </w:p>
    <w:p>
      <w:pPr>
        <w:pStyle w:val="ListBullet"/>
      </w:pPr>
      <w:r>
        <w:t>Editáveis: “mesmo_nome_roteiro.ppt”, “mesmo_nome_roteiro.indd”, “mesmo_nome_roteiro.ai” e “mesmo_nome_roteiro.story”.</w:t>
      </w:r>
    </w:p>
    <w:p>
      <w:pPr>
        <w:pStyle w:val="ListBullet"/>
      </w:pPr>
      <w:r>
        <w:t>Photoshop: “telas.psd”, “m01.psd” ou “m02.psd”, conforme o material.</w:t>
      </w:r>
    </w:p>
    <w:p>
      <w:pPr>
        <w:pStyle w:val="ListBullet"/>
      </w:pPr>
      <w:r>
        <w:t>Imagens por tela: “tela_00.jpg”, “tela_01.jpg”, “tela_02.jpg”. Quando houver mais de uma imagem: “tela_00_img01.png”, “tela_00_img02.png”.</w:t>
      </w:r>
    </w:p>
    <w:p>
      <w:pPr>
        <w:pStyle w:val="ListBullet"/>
      </w:pPr>
      <w:r>
        <w:t>Vídeos: “video_01.prproj” para o editável e “video_01.mp4” para a exportação, seguindo a numeração dos vídeos.</w:t>
      </w:r>
    </w:p>
    <w:p>
      <w:pPr>
        <w:pStyle w:val="ListBullet"/>
      </w:pPr>
      <w:r>
        <w:t>Mais de um módulo: acrescentar o módulo, como “m01_video_01.prproj”, “m01_video_01.mp4” e “m02_video_01.mp4”.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exemplos transcritos do cartão T04. As extensões ilustram a nomenclatura fornecida; não constituem uma nova definição de softwares obrigatórios. Os campos “</w:t>
      </w:r>
      <w:r>
        <w:rPr>
          <w:b/>
          <w:highlight w:val="yellow"/>
        </w:rPr>
        <w:t>COLOCAR SOFTWARE</w:t>
      </w:r>
      <w:r>
        <w:t>” permanecem até a decisão da equipe.</w:t>
      </w:r>
    </w:p>
    <w:p>
      <w:pPr>
        <w:pStyle w:val="Heading4"/>
      </w:pPr>
      <w:r>
        <w:t>Limpeza antes do arquivamento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arquivar o projeto, organize a pasta “_DG” para permitir conferências e futuras alterações. A versão editável e os arquivos vinculados precisam continuar disponíveis.</w:t>
      </w:r>
    </w:p>
    <w:p>
      <w:pPr>
        <w:keepNext/>
        <w:spacing w:before="160"/>
      </w:pPr>
      <w:r>
        <w:rPr>
          <w:b/>
          <w:sz w:val="20"/>
        </w:rPr>
        <w:t>CHECKLIST — Conformidade da pasta _DG</w:t>
      </w:r>
    </w:p>
    <w:p>
      <w:pPr>
        <w:pStyle w:val="ListBullet"/>
      </w:pPr>
      <w:r>
        <w:t>Conferir qual é a última versão do arquivo editável.</w:t>
      </w:r>
    </w:p>
    <w:p>
      <w:pPr>
        <w:pStyle w:val="ListBullet"/>
      </w:pPr>
      <w:r>
        <w:t>Verificar os arquivos vinculados e se o projeto abre corretamente.</w:t>
      </w:r>
    </w:p>
    <w:p>
      <w:pPr>
        <w:pStyle w:val="ListBullet"/>
      </w:pPr>
      <w:r>
        <w:t>Remover duplicados dispensáveis e pastas de backup após conferir o que precisa ser preservado.</w:t>
      </w:r>
    </w:p>
    <w:p>
      <w:pPr>
        <w:pStyle w:val="ListBullet"/>
      </w:pPr>
      <w:r>
        <w:t>Remover o ZIP temporário de fontes enviado ao cliente, mantendo os arquivos fontes necessários ao projeto.</w:t>
      </w:r>
    </w:p>
    <w:p>
      <w:pPr>
        <w:pStyle w:val="ListBullet"/>
      </w:pPr>
      <w:r>
        <w:t>Conferir a saída final: “_PUB” para a estrutura publicada de OP/Storyline; “_render” para vídeos e podcasts; ou a raiz da pasta da mídia, conforme o padrão de PDF, e-book, cartilha, infográfico e folheto.</w:t>
      </w:r>
    </w:p>
    <w:p>
      <w:pPr>
        <w:pStyle w:val="ListBullet"/>
      </w:pPr>
      <w:r>
        <w:t>Quando não houver estrutura HTML no projeto, o cartão orienta remover a pasta “_PUB” que não se aplica ao material. Antes, conferir se ela não contém a única cópia de uma entrega necessária.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checklist do cartão T05. Demonstrar em uma cópia de treinamento e explicar a diferença entre remover arquivos temporários e preservar a produção que será arquivada.</w:t>
      </w:r>
    </w:p>
    <w:p>
      <w:pPr>
        <w:pStyle w:val="Heading3"/>
      </w:pPr>
      <w:r>
        <w:t>Tutorial Hands-on e GitHub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No fluxo local, o GitHub reúne o repositório do curso e seu histórico. O VS Code permite trabalhar nos arquivos, e o ambiente Hands-on oferece recursos de edição e visualização.</w:t>
      </w:r>
    </w:p>
    <w:p>
      <w:pPr>
        <w:keepNext/>
        <w:spacing w:before="160"/>
      </w:pPr>
      <w:r>
        <w:rPr>
          <w:b/>
          <w:sz w:val="20"/>
        </w:rPr>
        <w:t>DESTAQUE — Novo piloto passa pelo administrador</w:t>
      </w:r>
    </w:p>
    <w:p>
      <w:r>
        <w:t>Somente o administrador cria um novo repositório no GitHub. Ao iniciar um piloto, comunique a necessidade para que ele crie o repositório e providencie as permissões do time. Depois, utilize o repositório indicado para preparar sua cópia de trabalho.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Preparar o ambiente</w:t>
      </w:r>
    </w:p>
    <w:p>
      <w:pPr>
        <w:pStyle w:val="ListBullet"/>
      </w:pPr>
      <w:r>
        <w:t>Confirmar as versões de Node.js e Yarn compatíveis com o projeto. O material de setup registra uma configuração com Node.js 22 e Yarn Classic; a versão de trabalho deve ser confirmada pela equipe.</w:t>
      </w:r>
    </w:p>
    <w:p>
      <w:pPr>
        <w:pStyle w:val="ListBullet"/>
      </w:pPr>
      <w:r>
        <w:t>Configurar Git e a identificação de autoria com seus dados profissionais.</w:t>
      </w:r>
    </w:p>
    <w:p>
      <w:pPr>
        <w:pStyle w:val="ListBullet"/>
      </w:pPr>
      <w:r>
        <w:t>Habilitar o acesso ao repositório pelo método definido. Se usar SSH, cadastrar a chave pública e preservar a chave privada.</w:t>
      </w:r>
    </w:p>
    <w:p>
      <w:pPr>
        <w:pStyle w:val="ListBullet"/>
      </w:pPr>
      <w:r>
        <w:t>Abrir o repositório correto no VS Code e conferir o estado dos arquivos.</w:t>
      </w:r>
    </w:p>
    <w:p>
      <w:pPr>
        <w:pStyle w:val="ListBullet"/>
      </w:pPr>
      <w:r>
        <w:t>Iniciar o ambiente pelo comando indicado no projeto e conferir o curso no navegador.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Comandos presentes no setup</w:t>
      </w:r>
    </w:p>
    <w:p>
      <w:pPr>
        <w:pStyle w:val="ListBullet"/>
      </w:pPr>
      <w:r>
        <w:t>“yarn dev”: no projeto consultado, instala dependências, atualiza pacotes Hands-on e inicia o servidor. Como inclui atualização de dependências, usar conforme a orientação de manutenção do projeto.</w:t>
      </w:r>
    </w:p>
    <w:p>
      <w:pPr>
        <w:pStyle w:val="ListBullet"/>
      </w:pPr>
      <w:r>
        <w:t>“yarn hands-on-server”: utilizado no setup para abrir a interface quando o ambiente já está preparado. Confirmar sua disponibilidade no repositório.</w:t>
      </w:r>
    </w:p>
    <w:p>
      <w:pPr>
        <w:pStyle w:val="ListBullet"/>
      </w:pPr>
      <w:r>
        <w:t>“yarn hands-on-build-dist”: indicado no setup para gerar o pacote de distribuição. Conferir a saída efetivamente gerada antes de encaminhar.</w:t>
      </w:r>
    </w:p>
    <w:p>
      <w:r>
        <w:rPr>
          <w:b/>
        </w:rPr>
        <w:t>Demonstração:</w:t>
      </w:r>
      <w:r>
        <w:t xml:space="preserve"> clone em ambiente de treinamento, abertura da pasta correta, inicialização, edição de um componente, comparação dos arquivos, commit descritivo e sincronização. Settings Sync do VS Code não equivale à sincronização do repositório.</w:t>
      </w:r>
    </w:p>
    <w:p>
      <w:pPr>
        <w:keepNext/>
        <w:spacing w:before="160"/>
      </w:pPr>
      <w:r>
        <w:rPr>
          <w:b/>
          <w:sz w:val="20"/>
        </w:rPr>
        <w:t>DESTAQUE — Antes de encerrar</w:t>
      </w:r>
    </w:p>
    <w:p>
      <w:r>
        <w:t>Confira quais alterações foram registradas e enviadas. Se houver conflito ou dúvida sobre a versão correta, peça apoio antes de substituir arquivos. Não adote a exclusão da pasta como procedimento automático de atualização.</w:t>
      </w:r>
    </w:p>
    <w:p>
      <w:pPr>
        <w:keepNext/>
        <w:spacing w:before="160"/>
      </w:pPr>
      <w:r>
        <w:rPr>
          <w:b/>
          <w:sz w:val="20"/>
        </w:rPr>
        <w:t>MATERIAIS DE APOIO — Abrir os tutoriais</w:t>
      </w:r>
    </w:p>
    <w:p>
      <w:pPr>
        <w:pStyle w:val="ListBullet"/>
      </w:pPr>
      <w:r>
        <w:t>Instalação e edição Hands-on com VS Code: COLOCAR LINK COPIADO DO CARTÃO T06.</w:t>
      </w:r>
    </w:p>
    <w:p>
      <w:pPr>
        <w:pStyle w:val="ListBullet"/>
      </w:pPr>
      <w:r>
        <w:t>Vídeo sobre início de piloto no GitHub: COLOCAR LINK COPIADO DO CARTÃO T06.</w:t>
      </w:r>
    </w:p>
    <w:p>
      <w:pPr>
        <w:pStyle w:val="ListBullet"/>
      </w:pPr>
      <w:r>
        <w:t>Informações importantes para desenvolvimento da OP no Notion: COLOCAR LINK COPIADO DO CARTÃO T06.</w:t>
      </w:r>
    </w:p>
    <w:p>
      <w:pPr>
        <w:pStyle w:val="ListBullet"/>
      </w:pPr>
      <w:r>
        <w:t>Biblioteca de classes indicada no cartão: “Drives compartilhados/AST_DG/Hand-in-Hand/dist”. Conferir a disponibilidade atual para a equipe.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o cartão T06 foi recebido e incorporado. Os três links externos precisam ser fornecidos em texto para preservar os endereços exatos. Criar botões com rótulos claros, abrindo em nova aba e indicando quando o acesso depende da conta corporativa. Conferir o conteúdo e as permissões antes de publicar.</w:t>
      </w:r>
    </w:p>
    <w:p>
      <w:pPr>
        <w:pStyle w:val="Heading4"/>
      </w:pPr>
      <w:r>
        <w:t>Edição simplificada para o cliente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cartão de edição simplificada apresenta um leia-me do aplicativo Hands-on destinado ao cliente que recebe os arquivos fontes. Consulte esse material quando a entrega incluir orientação de edição ao cliente.</w:t>
      </w:r>
    </w:p>
    <w:p>
      <w:pPr>
        <w:keepNext/>
        <w:spacing w:before="160"/>
      </w:pPr>
      <w:r>
        <w:rPr>
          <w:b/>
          <w:sz w:val="20"/>
        </w:rPr>
        <w:t>BOTÃO — Consultar o leia-me de edição para o cliente</w:t>
      </w:r>
    </w:p>
    <w:p>
      <w:hyperlink r:id="rId28">
        <w:r>
          <w:rPr>
            <w:color w:val="245878"/>
            <w:u w:val="single"/>
          </w:rPr>
          <w:t>https://drive.google.com/file/d/1CisVOuIA99gyG-WPip4XamAFRl1zRkt1/view</w:t>
        </w:r>
      </w:hyperlink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o cartão T07 e o endereço do anexo foram recebidos. O documento exige login nesta sessão, e seu conteúdo ainda precisa ser consultado. Preservar sua finalidade de orientação ao cliente; não apresentá-lo como substituto do setup interno do DG. O anexo aparece no cartão como “leia-me-cliente.pdf”.</w:t>
      </w:r>
    </w:p>
    <w:p>
      <w:pPr>
        <w:pStyle w:val="Heading3"/>
      </w:pPr>
      <w:r>
        <w:t>Fechamento do pacote SCORM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fechamento reúne configuração, publicação e teste. Antes de gerar o pacote, confirme o padrão exigido, a identificação do curso, os critérios de conclusão e o estado das mídias.</w:t>
      </w:r>
    </w:p>
    <w:p>
      <w:pPr>
        <w:keepNext/>
        <w:spacing w:before="160"/>
      </w:pPr>
      <w:r>
        <w:rPr>
          <w:b/>
          <w:sz w:val="20"/>
        </w:rPr>
        <w:t>CHECKLIST — Pacote pronto para homologar</w:t>
      </w:r>
    </w:p>
    <w:p>
      <w:pPr>
        <w:pStyle w:val="ListBullet"/>
      </w:pPr>
      <w:r>
        <w:t>Título e identificação correspondem ao projeto.</w:t>
      </w:r>
    </w:p>
    <w:p>
      <w:pPr>
        <w:pStyle w:val="ListBullet"/>
      </w:pPr>
      <w:r>
        <w:t>Formato e edição de publicação atendem ao requisito do cliente.</w:t>
      </w:r>
    </w:p>
    <w:p>
      <w:pPr>
        <w:pStyle w:val="ListBullet"/>
      </w:pPr>
      <w:r>
        <w:t>Mídias, links e interações estão incluídos e funcionam.</w:t>
      </w:r>
    </w:p>
    <w:p>
      <w:pPr>
        <w:pStyle w:val="ListBullet"/>
      </w:pPr>
      <w:r>
        <w:t>Conclusão, nota e retomada foram testadas quando aplicáveis.</w:t>
      </w:r>
    </w:p>
    <w:p>
      <w:pPr>
        <w:pStyle w:val="ListBullet"/>
      </w:pPr>
      <w:r>
        <w:t>Arquivo gerado está nomeado e localizado conforme o padrão interno.</w:t>
      </w:r>
    </w:p>
    <w:p>
      <w:pPr>
        <w:pStyle w:val="ListBullet"/>
      </w:pPr>
      <w:r>
        <w:t>O pacote publicado não foi confundido com os arquivos fontes.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incorporar o procedimento do cartão T08. No fluxo Hands-on, demonstrar o comando do setup apenas no projeto compatível. Validar o pacote no ambiente de homologação antes de considerá-lo entregue.</w:t>
      </w:r>
    </w:p>
    <w:p>
      <w:pPr>
        <w:pStyle w:val="Heading3"/>
      </w:pPr>
      <w:r>
        <w:t>ID AST nos pacotes</w:t>
      </w:r>
    </w:p>
    <w:p>
      <w:r>
        <w:rPr>
          <w:b/>
        </w:rPr>
        <w:t>Imagem de apoio G08: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 identificação do projeto precisa acompanhar os arquivos de produção e a publicação. Ao reaproveitar uma base, confira se ficaram títulos, IDs ou outros dados do curso anterior.</w:t>
      </w:r>
    </w:p>
    <w:p>
      <w:r>
        <w:rPr>
          <w:b/>
        </w:rPr>
        <w:t>Demonstração:</w:t>
      </w:r>
      <w:r>
        <w:t xml:space="preserve"> mostrar os campos de identificação na OP, no Storyline e no pacote publicado. Apresentar um exemplo correto do padrão AST e onde ele é conferido.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COLOCAR PADRÃO DE ID AST, campos exatos e prints. Diferenciar nome do arquivo, ID interna do projeto e identificador técnico do pacote. A mudança de um identificador em curso já publicado deve ser avaliada no ambiente do cliente.</w:t>
      </w:r>
    </w:p>
    <w:p>
      <w:pPr>
        <w:pStyle w:val="Heading3"/>
      </w:pPr>
      <w:r>
        <w:t>Envio de arquivos fontes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arquivo fonte permite continuar e ajustar a produção. Antes de encaminhá-lo, confira se os materiais vinculados estão disponíveis e se a pessoa que recebe consegue abrir a versão correta.</w:t>
      </w:r>
    </w:p>
    <w:p>
      <w:pPr>
        <w:keepNext/>
        <w:spacing w:before="160"/>
      </w:pPr>
      <w:r>
        <w:rPr>
          <w:b/>
          <w:sz w:val="20"/>
        </w:rPr>
        <w:t>CHECKLIST — Antes de compartilhar</w:t>
      </w:r>
    </w:p>
    <w:p>
      <w:pPr>
        <w:pStyle w:val="ListBullet"/>
      </w:pPr>
      <w:r>
        <w:t>Arquivo editável correspondente à entrega revisada.</w:t>
      </w:r>
    </w:p>
    <w:p>
      <w:pPr>
        <w:pStyle w:val="ListBullet"/>
      </w:pPr>
      <w:r>
        <w:t>Mídias e dependências organizadas no local combinado.</w:t>
      </w:r>
    </w:p>
    <w:p>
      <w:pPr>
        <w:pStyle w:val="ListBullet"/>
      </w:pPr>
      <w:r>
        <w:t>Identificação e nomenclatura corretas.</w:t>
      </w:r>
    </w:p>
    <w:p>
      <w:pPr>
        <w:pStyle w:val="ListBullet"/>
      </w:pPr>
      <w:r>
        <w:t>Link e permissão de acesso conferidos.</w:t>
      </w:r>
    </w:p>
    <w:p>
      <w:pPr>
        <w:pStyle w:val="ListBullet"/>
      </w:pPr>
      <w:r>
        <w:t>Registro no canal do projeto, com o contexto da entrega.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incluir os destinos, formatos e procedimento oficial do cartão T09.</w:t>
      </w:r>
    </w:p>
    <w:p>
      <w:pPr>
        <w:pStyle w:val="Heading3"/>
      </w:pPr>
      <w:r>
        <w:t>Otimização de imagens</w:t>
      </w:r>
    </w:p>
    <w:p>
      <w:r>
        <w:rPr>
          <w:b/>
        </w:rPr>
        <w:t>Imagem de apoio G09: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Uma imagem precisa ter qualidade suficiente para o uso e tamanho adequado para o carregamento. Antes de exportar, confira a dimensão em que ela aparecerá, o recorte, a transparência e o formato aceito no projeto.</w:t>
      </w:r>
    </w:p>
    <w:p>
      <w:r>
        <w:rPr>
          <w:b/>
        </w:rPr>
        <w:t>Demonstração:</w:t>
      </w:r>
      <w:r>
        <w:t xml:space="preserve"> abrir uma imagem, conferir dimensões, preparar o arquivo de saída, comparar peso e qualidade e testar no curso em desktop e mobile. Manter o arquivo editável quando fizer parte da entrega.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</w:t>
      </w:r>
      <w:r>
        <w:rPr>
          <w:b/>
          <w:highlight w:val="yellow"/>
        </w:rPr>
        <w:t>COLOCAR SOFTWARE</w:t>
      </w:r>
      <w:r>
        <w:t>. Complementar com as configurações do tutorial de otimização no Photoshop, cartão T10. Não fixar um peso ou qualidade universal para todos os materiais.</w:t>
      </w:r>
    </w:p>
    <w:p>
      <w:pPr>
        <w:pStyle w:val="Heading3"/>
      </w:pPr>
      <w:r>
        <w:t>Flipbook scormizado</w:t>
      </w:r>
    </w:p>
    <w:p>
      <w:r>
        <w:rPr>
          <w:b/>
        </w:rPr>
        <w:t>Imagem de apoio G09: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Quando um flipbook precisar ser entregue como SCORM, confirme como o projeto registra conclusão e como o material será acessado no LMS. Transformar um arquivo em pacote não comprova, por si só, que o rastreamento está funcionando.</w:t>
      </w:r>
    </w:p>
    <w:p>
      <w:r>
        <w:rPr>
          <w:b/>
        </w:rPr>
        <w:t>Demonstração:</w:t>
      </w:r>
      <w:r>
        <w:t xml:space="preserve"> apresentar o arquivo de entrada, a ferramenta, a configuração de conclusão e o teste no ambiente previsto. Conferir leitura, navegação entre páginas e retomada, quando contratada.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</w:t>
      </w:r>
      <w:r>
        <w:rPr>
          <w:b/>
          <w:highlight w:val="yellow"/>
        </w:rPr>
        <w:t>COLOCAR SOFTWARE</w:t>
      </w:r>
      <w:r>
        <w:t>. Incorporar o passo a passo do cartão T11 e manter o tutorial detalhado como material de consulta.</w:t>
      </w:r>
    </w:p>
    <w:p>
      <w:pPr>
        <w:pStyle w:val="Heading3"/>
      </w:pPr>
      <w:r>
        <w:t>Homologação OP</w:t>
      </w:r>
    </w:p>
    <w:p>
      <w:r>
        <w:rPr>
          <w:b/>
        </w:rPr>
        <w:t>Imagem de apoio G10: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enviar uma OP para validação, percorra o material como participante. Compare com o roteiro e teste os caminhos previstos, inclusive respostas incorretas, retornos e encerramento.</w:t>
      </w:r>
    </w:p>
    <w:p>
      <w:pPr>
        <w:keepNext/>
        <w:spacing w:before="160"/>
      </w:pPr>
      <w:r>
        <w:rPr>
          <w:b/>
          <w:sz w:val="20"/>
        </w:rPr>
        <w:t>CHECKLIST — Revisão da OP</w:t>
      </w:r>
    </w:p>
    <w:p>
      <w:pPr>
        <w:pStyle w:val="ListBullet"/>
      </w:pPr>
      <w:r>
        <w:t>Menu, títulos e ordem acompanham o roteiro.</w:t>
      </w:r>
    </w:p>
    <w:p>
      <w:pPr>
        <w:pStyle w:val="ListBullet"/>
      </w:pPr>
      <w:r>
        <w:t>Textos, destaques e feedbacks estão completos.</w:t>
      </w:r>
    </w:p>
    <w:p>
      <w:pPr>
        <w:pStyle w:val="ListBullet"/>
      </w:pPr>
      <w:r>
        <w:t>Vídeos, áudios, imagens e downloads abrem corretamente.</w:t>
      </w:r>
    </w:p>
    <w:p>
      <w:pPr>
        <w:pStyle w:val="ListBullet"/>
      </w:pPr>
      <w:r>
        <w:t>Interações funcionam com mouse, teclado e toque, conforme o recurso.</w:t>
      </w:r>
    </w:p>
    <w:p>
      <w:pPr>
        <w:pStyle w:val="ListBullet"/>
      </w:pPr>
      <w:r>
        <w:t>Layout se adapta ao desktop e ao mobile sem cortes ou sobreposição.</w:t>
      </w:r>
    </w:p>
    <w:p>
      <w:pPr>
        <w:pStyle w:val="ListBullet"/>
      </w:pPr>
      <w:r>
        <w:t>Requisitos de acessibilidade foram conferidos.</w:t>
      </w:r>
    </w:p>
    <w:p>
      <w:pPr>
        <w:pStyle w:val="ListBullet"/>
      </w:pPr>
      <w:r>
        <w:t>Conclusão e retomada funcionam no ambiente de publicação quando previstas.</w:t>
      </w:r>
    </w:p>
    <w:p>
      <w:pPr>
        <w:pStyle w:val="ListBullet"/>
      </w:pPr>
      <w:r>
        <w:t>Não restaram placeholders, dados de outro cliente ou arquivos ausentes.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complementar com o procedimento e os critérios do cartão T12. Separar a revisão interna da homologação técnica no ambiente do cliente, conforme o fluxo da equipe.</w:t>
      </w:r>
    </w:p>
    <w:p>
      <w:pPr>
        <w:pStyle w:val="Heading3"/>
      </w:pPr>
      <w:r>
        <w:t>Vídeos interativos</w:t>
      </w:r>
    </w:p>
    <w:p>
      <w:r>
        <w:rPr>
          <w:b/>
        </w:rPr>
        <w:t>Imagem de apoio G11: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Em um vídeo interativo, o participante toma decisões que direcionam a experiência. Planeje a pergunta, as alternativas, as consequências e os pontos de retorno antes de produzir os clipes.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Do roteiro ao teste</w:t>
      </w:r>
    </w:p>
    <w:p>
      <w:pPr>
        <w:pStyle w:val="ListBullet"/>
      </w:pPr>
      <w:r>
        <w:t>Mapear todos os caminhos e identificar o destino de cada alternativa.</w:t>
      </w:r>
    </w:p>
    <w:p>
      <w:pPr>
        <w:pStyle w:val="ListBullet"/>
      </w:pPr>
      <w:r>
        <w:t>Numerar cenas e ramificações sem perder a relação com o roteiro.</w:t>
      </w:r>
    </w:p>
    <w:p>
      <w:pPr>
        <w:pStyle w:val="ListBullet"/>
      </w:pPr>
      <w:r>
        <w:t>Separar o vídeo das perguntas, botões e textos da interface.</w:t>
      </w:r>
    </w:p>
    <w:p>
      <w:pPr>
        <w:pStyle w:val="ListBullet"/>
      </w:pPr>
      <w:r>
        <w:t>Integrar clipes e escolhas no recurso previsto no projeto.</w:t>
      </w:r>
    </w:p>
    <w:p>
      <w:pPr>
        <w:pStyle w:val="ListBullet"/>
      </w:pPr>
      <w:r>
        <w:t>Testar cada caminho, os retornos, a continuidade e a regra de conclusão.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Qual entrega será feita no Camtasia</w:t>
      </w:r>
    </w:p>
    <w:p>
      <w:pPr>
        <w:pStyle w:val="ListBullet"/>
      </w:pPr>
      <w:r>
        <w:t>Vídeo incorporado à OP: consultar o tutorial de integração para inserir o vídeo interativo dentro da One Page e testar o funcionamento no curso completo.</w:t>
      </w:r>
    </w:p>
    <w:p>
      <w:pPr>
        <w:pStyle w:val="ListBullet"/>
      </w:pPr>
      <w:r>
        <w:t>Pacote simples: consultar o tutorial de exportação do vídeo interativo que será entregue separado, sem incorporação à OP. Testar o pacote no ambiente previsto para essa entrega.</w:t>
      </w:r>
    </w:p>
    <w:p>
      <w:pPr>
        <w:keepNext/>
        <w:spacing w:before="160"/>
      </w:pPr>
      <w:r>
        <w:rPr>
          <w:b/>
          <w:sz w:val="20"/>
        </w:rPr>
        <w:t>BOTÕES — Tutoriais de vídeo interativo</w:t>
      </w:r>
    </w:p>
    <w:p>
      <w:pPr>
        <w:pStyle w:val="ListBullet"/>
      </w:pPr>
      <w:r>
        <w:t>Como incorporar o vídeo interativo na OP: COLOCAR LINK COPIADO DO CARTÃO T13.</w:t>
      </w:r>
    </w:p>
    <w:p>
      <w:pPr>
        <w:pStyle w:val="ListBullet"/>
      </w:pPr>
      <w:r>
        <w:t>Como exportar o vídeo interativo como pacote simples: COLOCAR LINK COPIADO DO CARTÃO T13.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cartão “Vídeos Interativos Camtasia” recebido, atualizado em 12/01/2026 por Will. Os dois documentos vinculados precisam dos endereços copiados e de consulta ao conteúdo. Não confundir os dois tipos de entrega nem presumir formato SCORM apenas pelo termo “pacote simples”. O uso de Camtasia identifica o tutorial existente; a lista geral de softwares segue pendente de definição. O processo de preparação das cenas está detalhado no próximo tópico.</w:t>
      </w:r>
    </w:p>
    <w:p>
      <w:pPr>
        <w:pStyle w:val="Heading3"/>
      </w:pPr>
      <w:r>
        <w:t>Storyboard e pré-produção de vídeos com IA</w:t>
      </w:r>
    </w:p>
    <w:p>
      <w:r>
        <w:rPr>
          <w:b/>
        </w:rPr>
        <w:t>Imagem de apoio G12: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gerar imagens ou animar cenas, transforme o roteiro em um plano de produção. É nessa etapa que você identifica o que cada cena precisa mostrar e quais referências devem permanecer iguais ao longo do vídeo.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Etapas da pré-produção</w:t>
      </w:r>
    </w:p>
    <w:p>
      <w:pPr>
        <w:ind w:left="283" w:hanging="283"/>
      </w:pPr>
      <w:r>
        <w:t>1. Entender o briefing. Confirmar objetivo, público, formato, duração, proporção e se o vídeo é linear ou interativo. Dúvidas que alteram o sentido ou um procedimento real precisam ser resolvidas antes da cena correspondente.</w:t>
      </w:r>
    </w:p>
    <w:p>
      <w:pPr>
        <w:ind w:left="283" w:hanging="283"/>
      </w:pPr>
      <w:r>
        <w:t>2. Dividir o roteiro. Preservar o conteúdo aprovado e organizar cenas por unidade narrativa e duração compatível. Não quebrar o texto de forma arbitrária.</w:t>
      </w:r>
    </w:p>
    <w:p>
      <w:pPr>
        <w:ind w:left="283" w:hanging="283"/>
      </w:pPr>
      <w:r>
        <w:t>3. Planejar a representação visual. Descrever o que pode ser visto: personagem, ação, ambiente, posição e enquadramento. Evitar inventar objetos ou procedimentos apenas para ilustrar uma frase.</w:t>
      </w:r>
    </w:p>
    <w:p>
      <w:pPr>
        <w:ind w:left="283" w:hanging="283"/>
      </w:pPr>
      <w:r>
        <w:t>4. Consolidar personagens e cenários. Identificar quem e o que se repete. Criar referências canônicas para preservar aparência, figurino, iluminação e geografia.</w:t>
      </w:r>
    </w:p>
    <w:p>
      <w:pPr>
        <w:ind w:left="283" w:hanging="283"/>
      </w:pPr>
      <w:r>
        <w:t>5. Montar o storyboard de pré-produção. Usar o template fornecido, com texto, descrição e placeholder de imagem. Preservar fontes, caixas e proporções do modelo.</w:t>
      </w:r>
    </w:p>
    <w:p>
      <w:pPr>
        <w:ind w:left="283" w:hanging="283"/>
      </w:pPr>
      <w:r>
        <w:t>6. Produzir e aprovar as referências. Registrar o que está aprovado e o que continua pendente. Substituir os placeholders pelas imagens correspondentes no storyboard visual.</w:t>
      </w:r>
    </w:p>
    <w:p>
      <w:pPr>
        <w:ind w:left="283" w:hanging="283"/>
      </w:pPr>
      <w:r>
        <w:t>7. Planejar a animação. Definir ação dominante, atuação, câmera e continuidade. Gerar um piloto representativo antes de escalar cenas com o mesmo padrão.</w:t>
      </w:r>
    </w:p>
    <w:p>
      <w:pPr>
        <w:ind w:left="283" w:hanging="283"/>
      </w:pPr>
      <w:r>
        <w:t>8. Preparar a passagem para edição. Reunir storyboard, referências, clipes, locuções e orientações de montagem com identificação consistente.</w:t>
      </w:r>
    </w:p>
    <w:p>
      <w:pPr>
        <w:keepNext/>
        <w:spacing w:before="160"/>
      </w:pPr>
      <w:r>
        <w:rPr>
          <w:b/>
          <w:sz w:val="20"/>
        </w:rPr>
        <w:t>MODELO — Registro por cena</w:t>
      </w:r>
    </w:p>
    <w:p>
      <w:r>
        <w:t>Cena | Duração aproximada | Locução ou conteúdo | Sugestão de cena.</w:t>
      </w:r>
    </w:p>
    <w:p>
      <w:r>
        <w:t>Exemplo de nomenclatura para um vídeo interativo: Cena01, Cena02, Cena02_A01, Cena02_B01, Cena03. Pergunta e alternativas podem formar uma única cena de interface quando apresentadas juntas. A duração depende do conteúdo e dos limites da ferramenta utilizada.</w:t>
      </w:r>
    </w:p>
    <w:p>
      <w:pPr>
        <w:keepNext/>
        <w:spacing w:before="160"/>
      </w:pPr>
      <w:r>
        <w:rPr>
          <w:b/>
          <w:sz w:val="20"/>
        </w:rPr>
        <w:t>DESTAQUE — Descreva o que aparece</w:t>
      </w:r>
    </w:p>
    <w:p>
      <w:r>
        <w:t>“A pessoa reconhece a importância da decisão” é uma ideia. Para planejar a imagem, descreva o comportamento observável, como uma pausa, um olhar atento ou a consulta de uma informação, desde que seja coerente com o roteiro.</w:t>
      </w:r>
    </w:p>
    <w:p>
      <w:r>
        <w:rPr>
          <w:b/>
        </w:rPr>
        <w:t>Demonstração:</w:t>
      </w:r>
      <w:r>
        <w:t xml:space="preserve"> usar um roteiro curto de treinamento. Mostrar a divisão em cenas, uma ramificação, a seleção do layout do template e a troca de um placeholder por uma referência aprovada. Não gerar novas imagens para este tutorial antes de definir o exemplo e os critérios de aprovação.</w:t>
      </w:r>
    </w:p>
    <w:p>
      <w:r>
        <w:rPr>
          <w:b/>
          <w:color w:val="555555"/>
          <w:sz w:val="20"/>
        </w:rPr>
        <w:t>Materiais de apoio:</w:t>
      </w:r>
      <w:r>
        <w:rPr>
          <w:color w:val="555555"/>
          <w:sz w:val="20"/>
        </w:rPr>
        <w:t xml:space="preserve"> Guia_PreProducao_VideoIA.md; Guia_BoasPraticas_VEO.md; Template_Storyboard_IA.pptx contido no pacote Storyboarder.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</w:t>
      </w:r>
      <w:r>
        <w:rPr>
          <w:b/>
          <w:highlight w:val="yellow"/>
        </w:rPr>
        <w:t>COLOCAR SOFTWARE</w:t>
      </w:r>
      <w:r>
        <w:t>. O Storyboarder é um recurso de apoio fornecido, não uma instalação obrigatória para todos. Disponibilizar o template e os guias no repositório de capacitação definido pela equipe.</w:t>
      </w:r>
    </w:p>
    <w:p>
      <w:pPr>
        <w:pStyle w:val="Heading3"/>
      </w:pPr>
      <w:r>
        <w:t>Referências e animação no VEO ou Flow</w:t>
      </w:r>
    </w:p>
    <w:p>
      <w:r>
        <w:rPr>
          <w:b/>
        </w:rPr>
        <w:t>Imagem de apoio G12: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Uma referência visual ajuda a orientar a geração, mas pode ser reinterpretada durante a animação. Quanto mais clara for a cena, menos decisões o modelo precisará inventar.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Preparar uma cena estável</w:t>
      </w:r>
    </w:p>
    <w:p>
      <w:pPr>
        <w:pStyle w:val="ListBullet"/>
      </w:pPr>
      <w:r>
        <w:t>Uma ação principal por clipe: dividir ações longas quando isso facilitar a produção.</w:t>
      </w:r>
    </w:p>
    <w:p>
      <w:pPr>
        <w:pStyle w:val="ListBullet"/>
      </w:pPr>
      <w:r>
        <w:t>Personagens distinguíveis: usar referências aprovadas e manter separação física entre os corpos.</w:t>
      </w:r>
    </w:p>
    <w:p>
      <w:pPr>
        <w:pStyle w:val="ListBullet"/>
      </w:pPr>
      <w:r>
        <w:t>Objetos necessários: retirar detalhes sem função narrativa, especialmente objetos pequenos e manipulações complexas.</w:t>
      </w:r>
    </w:p>
    <w:p>
      <w:pPr>
        <w:pStyle w:val="ListBullet"/>
      </w:pPr>
      <w:r>
        <w:t>Câmera com função: preferir movimentos simples quando a atuação já exigir mais do modelo.</w:t>
      </w:r>
    </w:p>
    <w:p>
      <w:pPr>
        <w:pStyle w:val="ListBullet"/>
      </w:pPr>
      <w:r>
        <w:t>Continuidade: conferir rosto, cabelo, roupa, cenário, iluminação, posições e direção do olhar.</w:t>
      </w:r>
    </w:p>
    <w:p>
      <w:pPr>
        <w:pStyle w:val="ListBullet"/>
      </w:pPr>
      <w:r>
        <w:t>Textos fora da geração: inserir lettering, legendas, perguntas e botões na etapa de edição ou na interface.</w:t>
      </w:r>
    </w:p>
    <w:p>
      <w:pPr>
        <w:keepNext/>
        <w:spacing w:before="160"/>
      </w:pPr>
      <w:r>
        <w:rPr>
          <w:b/>
          <w:sz w:val="20"/>
        </w:rPr>
        <w:t>MODELO — Prompt de animação</w:t>
      </w:r>
    </w:p>
    <w:p>
      <w:r>
        <w:t>“Contexto: [situação mínima]. Ação: [uma ação dominante]. Atuação: [comportamento observável]. Câmera: [enquadramento e movimento]. Continuidade: [o que deve permanecer igual]. Restrições: [riscos concretos a evitar].”</w:t>
      </w:r>
    </w:p>
    <w:p>
      <w:pPr>
        <w:keepNext/>
        <w:spacing w:before="160"/>
      </w:pPr>
      <w:r>
        <w:rPr>
          <w:b/>
          <w:sz w:val="20"/>
        </w:rPr>
        <w:t>DESTAQUE — Corrigir com diagnóstico</w:t>
      </w:r>
    </w:p>
    <w:p>
      <w:r>
        <w:t>Se o resultado falhar, identifique a variável principal: referência, ação, câmera, anatomia ou continuidade. Ajuste esse ponto e compare com a referência aprovada. Aumentar o prompt sem diagnóstico pode manter o problema.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demonstrar um exemplo aprovado e um erro técnico, sem associá-los a pessoas reais. Apresentar a decisão de aprovar, usar um trecho com corte, regenerar, redesenhar a cena ou criar nova referência. </w:t>
      </w:r>
      <w:r>
        <w:rPr>
          <w:b/>
          <w:highlight w:val="yellow"/>
        </w:rPr>
        <w:t>COLOCAR SOFTWARE</w:t>
      </w:r>
      <w:r>
        <w:t xml:space="preserve"> e configurações vigentes.</w:t>
      </w:r>
    </w:p>
    <w:p>
      <w:pPr>
        <w:pStyle w:val="Heading3"/>
      </w:pPr>
      <w:r>
        <w:t>Como gerar locuções</w:t>
      </w:r>
    </w:p>
    <w:p>
      <w:r>
        <w:rPr>
          <w:b/>
        </w:rPr>
        <w:t>Imagem de apoio G13: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 locução começa no texto aprovado. Antes de gerar, confira o que deve ser falado, quem fala, o idioma, a pronúncia de nomes e siglas e o tom esperado. Instruções de produção e lettering não entram automaticamente no áudio.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Fluxo de locução</w:t>
      </w:r>
    </w:p>
    <w:p>
      <w:pPr>
        <w:ind w:left="283" w:hanging="283"/>
      </w:pPr>
      <w:r>
        <w:t>1. Separar os trechos por vídeo ou cena, preservando o texto do roteiro.</w:t>
      </w:r>
    </w:p>
    <w:p>
      <w:pPr>
        <w:ind w:left="283" w:hanging="283"/>
      </w:pPr>
      <w:r>
        <w:t>2. Definir uma voz ou distribuir as falas entre os personagens.</w:t>
      </w:r>
    </w:p>
    <w:p>
      <w:pPr>
        <w:ind w:left="283" w:hanging="283"/>
      </w:pPr>
      <w:r>
        <w:t>3. Preparar a orientação de leitura: tom, ritmo, pausas e pronúncias importantes.</w:t>
      </w:r>
    </w:p>
    <w:p>
      <w:pPr>
        <w:ind w:left="283" w:hanging="283"/>
      </w:pPr>
      <w:r>
        <w:t>4. Gerar um trecho de teste e ouvir antes de produzir o restante.</w:t>
      </w:r>
    </w:p>
    <w:p>
      <w:pPr>
        <w:ind w:left="283" w:hanging="283"/>
      </w:pPr>
      <w:r>
        <w:t>5. Gerar os áudios e conferir integralmente com o texto aprovado.</w:t>
      </w:r>
    </w:p>
    <w:p>
      <w:pPr>
        <w:ind w:left="283" w:hanging="283"/>
      </w:pPr>
      <w:r>
        <w:t>6. Corrigir omissões, palavras trocadas, cortes, ruídos ou diferenças de voz.</w:t>
      </w:r>
    </w:p>
    <w:p>
      <w:pPr>
        <w:ind w:left="283" w:hanging="283"/>
      </w:pPr>
      <w:r>
        <w:t>7. Salvar no local combinado, identificar a versão e avisar a pessoa que utilizará o áudio.</w:t>
      </w:r>
    </w:p>
    <w:p>
      <w:pPr>
        <w:keepNext/>
        <w:spacing w:before="160"/>
      </w:pPr>
      <w:r>
        <w:rPr>
          <w:b/>
          <w:sz w:val="20"/>
        </w:rPr>
        <w:t>Demonstração — Google AI Studio</w:t>
      </w:r>
    </w:p>
    <w:p>
      <w:r>
        <w:t>O material de DI apresenta o Google AI Studio como uma opção de geração: selecionar o recurso de voz disponível, escolher o modo de uma ou mais vozes, configurar as vozes e as instruções, inserir o texto e gerar o áudio. Baixar, ouvir e salvar na pasta “_locucoes_IA”. Demonstrar os nomes dos controles na interface vigente.</w:t>
      </w:r>
    </w:p>
    <w:p>
      <w:pPr>
        <w:keepNext/>
        <w:spacing w:before="160"/>
      </w:pPr>
      <w:r>
        <w:rPr>
          <w:b/>
          <w:sz w:val="20"/>
        </w:rPr>
        <w:t>MODELO — Orientação de leitura</w:t>
      </w:r>
    </w:p>
    <w:p>
      <w:r>
        <w:t>“Leia em português do Brasil, com tom claro e acolhedor, ritmo moderado e pausas naturais. Preserve o texto. Pronuncie [termo] como [orientação]. Não leia instruções de produção.”</w:t>
      </w:r>
    </w:p>
    <w:p>
      <w:pPr>
        <w:keepNext/>
        <w:spacing w:before="160"/>
      </w:pPr>
      <w:r>
        <w:rPr>
          <w:b/>
          <w:sz w:val="20"/>
        </w:rPr>
        <w:t>DESTAQUE — Áudio gerado precisa de revisão</w:t>
      </w:r>
    </w:p>
    <w:p>
      <w:r>
        <w:t>Não aprove apenas os primeiros segundos. Ouça todo o arquivo e compare com o roteiro. Se o texto não couber, alinhe a divisão ou a edição; não corte conteúdo aprovado para ajustar a duração.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</w:t>
      </w:r>
      <w:r>
        <w:rPr>
          <w:b/>
          <w:highlight w:val="yellow"/>
        </w:rPr>
        <w:t>COLOCAR SOFTWARE</w:t>
      </w:r>
      <w:r>
        <w:t xml:space="preserve"> para geração e tratamento de áudio. Reutilizar o tutorial de DI sem duplicar arquivos de orientação. A conferência editorial do texto e a integração do áudio devem seguir a divisão de responsabilidades do projeto.</w:t>
      </w:r>
    </w:p>
    <w:p>
      <w:pPr>
        <w:pStyle w:val="Heading2"/>
      </w:pPr>
      <w:r>
        <w:t>DG Soluções de problemas</w:t>
      </w:r>
    </w:p>
    <w:p>
      <w:pPr>
        <w:pStyle w:val="Heading3"/>
      </w:pPr>
      <w:r>
        <w:t>iOS e backgrounds</w:t>
      </w:r>
    </w:p>
    <w:p>
      <w:r>
        <w:rPr>
          <w:b/>
        </w:rPr>
        <w:t>Imagem de apoio G14: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padrão interno registrado no cartão orienta retirar o efeito de parallax das capas e evitar “background-attachment: fixed” nas telas que precisam de uma versão de fundo para mobile. Planeje a imagem e o enquadramento para a tela menor e confira o resultado no iPhone ou iPad.</w:t>
      </w:r>
    </w:p>
    <w:p>
      <w:r>
        <w:t>Se um background apresentar comportamento diferente, registre o dispositivo, a versão do sistema, o navegador e a tela afetada. Compare com o comportamento esperado antes de alterar estilos gerais do curso.</w:t>
      </w:r>
    </w:p>
    <w:p>
      <w:r>
        <w:rPr>
          <w:b/>
        </w:rPr>
        <w:t>Demonstração:</w:t>
      </w:r>
      <w:r>
        <w:t xml:space="preserve"> apresentar problema, diagnóstico, correção orientada pelo tutorial e reteste no dispositivo. Conferir também se a alteração afetou outras telas.</w:t>
      </w:r>
    </w:p>
    <w:p>
      <w:pPr>
        <w:keepNext/>
        <w:spacing w:before="160"/>
      </w:pPr>
      <w:r>
        <w:rPr>
          <w:b/>
          <w:sz w:val="20"/>
        </w:rPr>
        <w:t>BOTÃO — Referência sobre background fixo no iOS</w:t>
      </w:r>
    </w:p>
    <w:p>
      <w:r>
        <w:t>COLOCAR LINK DA REFERÊNCIA “background-image fixed no iOS” DO CARTÃO T14.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procedimento do cartão T14 recebido. Apresentar como orientação interna para esse comportamento, evitando afirmar que toda animação ou todo background é incompatível com iOS. Falta o endereço da referência externa, oculto pelo rótulo no print.</w:t>
      </w:r>
    </w:p>
    <w:p>
      <w:pPr>
        <w:pStyle w:val="Heading3"/>
      </w:pPr>
      <w:r>
        <w:t>iOS e bullets</w:t>
      </w:r>
    </w:p>
    <w:p>
      <w:r>
        <w:rPr>
          <w:b/>
        </w:rPr>
        <w:t>Imagem de apoio G14: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Quando os marcadores de uma lista não aparecerem, confira o HTML, o estilo aplicado e o comportamento no navegador afetado. O teste precisa verificar tanto o marcador quanto a leitura e a organização dos itens.</w:t>
      </w:r>
    </w:p>
    <w:p>
      <w:pPr>
        <w:keepNext/>
        <w:spacing w:before="160"/>
      </w:pPr>
      <w:r>
        <w:rPr>
          <w:b/>
          <w:sz w:val="20"/>
        </w:rPr>
        <w:t>Demonstração — Marcador de lista como imagem</w:t>
      </w:r>
    </w:p>
    <w:p>
      <w:r>
        <w:t>O cartão apresenta uma correção para a classe “lista-legada”: criar a imagem do marcador, disponibilizá-la na pasta de mídias e indicá-la na regra CSS. O HTML continua sendo uma lista com seus itens.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ul.lista-legada li {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list-style-image: url("../midias/imagens/bullet.png");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}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&lt;ul class="lista-legada"&gt;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&lt;li&gt;Primeiro item do conteúdo aprovado.&lt;/li&gt;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 xml:space="preserve">  &lt;li&gt;Segundo item do conteúdo aprovado.&lt;/li&gt;</w:t>
      </w:r>
    </w:p>
    <w:p>
      <w:pPr>
        <w:keepNext/>
        <w:spacing w:after="20"/>
        <w:ind w:left="227"/>
      </w:pPr>
      <w:r>
        <w:rPr>
          <w:rFonts w:ascii="Consolas" w:hAnsi="Consolas"/>
          <w:sz w:val="20"/>
        </w:rPr>
        <w:t>&lt;/ul&gt;</w:t>
      </w:r>
    </w:p>
    <w:p>
      <w:pPr>
        <w:keepNext/>
        <w:spacing w:before="160"/>
      </w:pPr>
      <w:r>
        <w:rPr>
          <w:b/>
          <w:sz w:val="20"/>
        </w:rPr>
        <w:t>BOTÃO — Consultar o projeto com a correção</w:t>
      </w:r>
    </w:p>
    <w:p>
      <w:hyperlink r:id="rId29">
        <w:r>
          <w:rPr>
            <w:color w:val="245878"/>
            <w:u w:val="single"/>
          </w:rPr>
          <w:t>https://github.com/asteriscoeducacao/NAT_0699_Biodiversidade.git</w:t>
        </w:r>
      </w:hyperlink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cartão T15 recebido. “bullet.png” é um nome didático e deve ser substituído pelo asset real; o nome completo do arquivo original está cortado no print. A solução é uma correção do caso documentado, não requisito para toda lista no iOS. Conferir o carregamento da imagem, a estrutura da lista e a leitura com tecnologia assistiva, além do resultado visual.</w:t>
      </w:r>
    </w:p>
    <w:p>
      <w:pPr>
        <w:pStyle w:val="Heading2"/>
      </w:pPr>
      <w:r>
        <w:t>DG Acessibilidade</w:t>
      </w:r>
    </w:p>
    <w:p>
      <w:pPr>
        <w:pStyle w:val="Heading3"/>
      </w:pPr>
      <w:r>
        <w:t>Audiodescrição</w:t>
      </w:r>
    </w:p>
    <w:p>
      <w:r>
        <w:rPr>
          <w:b/>
        </w:rPr>
        <w:t>Imagem de apoio G15: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Informações visuais essenciais precisam ter uma forma de acesso compatível com o recurso e com os requisitos de acessibilidade do projeto. Planeje isso desde o roteiro e confira o que já é comunicado pela locução, pelo texto e pela própria interação.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 que precisa ser conferido</w:t>
      </w:r>
    </w:p>
    <w:p>
      <w:pPr>
        <w:pStyle w:val="ListBullet"/>
      </w:pPr>
      <w:r>
        <w:t>Função da imagem ou da cena no conteúdo.</w:t>
      </w:r>
    </w:p>
    <w:p>
      <w:pPr>
        <w:pStyle w:val="ListBullet"/>
      </w:pPr>
      <w:r>
        <w:t>Informação relevante que não está disponível em outro formato.</w:t>
      </w:r>
    </w:p>
    <w:p>
      <w:pPr>
        <w:pStyle w:val="ListBullet"/>
      </w:pPr>
      <w:r>
        <w:t>Texto alternativo, descrição ou recurso de audiodescrição adequado ao material.</w:t>
      </w:r>
    </w:p>
    <w:p>
      <w:pPr>
        <w:pStyle w:val="ListBullet"/>
      </w:pPr>
      <w:r>
        <w:t>Relação entre o conteúdo descrito, o tempo de apresentação e a navegação.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incluir o procedimento aprovado do cartão T16. Distinguir texto alternativo de imagem, descrição longa e audiodescrição de vídeo; um recurso não substitui automaticamente o outro.</w:t>
      </w:r>
    </w:p>
    <w:p>
      <w:pPr>
        <w:pStyle w:val="Heading3"/>
      </w:pPr>
      <w:r>
        <w:t>Imagemap na Hands-on</w:t>
      </w:r>
    </w:p>
    <w:p>
      <w:r>
        <w:rPr>
          <w:b/>
        </w:rPr>
        <w:t>Imagem de apoio G15: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Em um imagemap, o participante precisa localizar e acionar pontos de uma imagem. Verifique se os pontos têm identificação compreensível, se podem ser acessados por teclado e se o conteúdo continua disponível no mobile e nas tecnologias assistivas previstas no projeto.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demonstrar configuração, ordem de navegação, rótulos e alternativa de acesso de acordo com o cartão T17. Não depender apenas de cor ou posição visual para identificar a informação.</w:t>
      </w:r>
    </w:p>
    <w:p>
      <w:pPr>
        <w:pStyle w:val="Heading3"/>
      </w:pPr>
      <w:r>
        <w:t>PDF e descrição acessível</w:t>
      </w:r>
    </w:p>
    <w:p>
      <w:r>
        <w:rPr>
          <w:b/>
        </w:rPr>
        <w:t>Imagem de apoio G15: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Um PDF visualmente organizado também precisa ter leitura e navegação verificadas. Confira títulos, ordem de leitura, textos, imagens, links e as descrições necessárias.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Preparar e verificar o PDF</w:t>
      </w:r>
    </w:p>
    <w:p>
      <w:pPr>
        <w:pStyle w:val="ListBullet"/>
      </w:pPr>
      <w:r>
        <w:t>Trabalhar a estrutura e as descrições no arquivo de origem sempre que possível.</w:t>
      </w:r>
    </w:p>
    <w:p>
      <w:pPr>
        <w:pStyle w:val="ListBullet"/>
      </w:pPr>
      <w:r>
        <w:t>Exportar preservando os recursos de acessibilidade disponíveis na ferramenta.</w:t>
      </w:r>
    </w:p>
    <w:p>
      <w:pPr>
        <w:pStyle w:val="ListBullet"/>
      </w:pPr>
      <w:r>
        <w:t>Conferir se o texto está acessível, se a ordem de leitura é coerente e se títulos, listas, tabelas, figuras e links têm estrutura adequada ao conteúdo.</w:t>
      </w:r>
    </w:p>
    <w:p>
      <w:pPr>
        <w:pStyle w:val="ListBullet"/>
      </w:pPr>
      <w:r>
        <w:t>Revisar descrições alternativas e conteúdo de tabelas e gráficos.</w:t>
      </w:r>
    </w:p>
    <w:p>
      <w:pPr>
        <w:pStyle w:val="ListBullet"/>
      </w:pPr>
      <w:r>
        <w:t>Após qualquer alteração do arquivo fonte e nova exportação, repetir as verificações e reaplicar correções necessárias.</w:t>
      </w:r>
    </w:p>
    <w:p>
      <w:pPr>
        <w:pStyle w:val="ListBullet"/>
      </w:pPr>
      <w:r>
        <w:t>Testar a leitura e corrigir as pendências do arquivo final antes de entregá-lo.</w:t>
      </w:r>
    </w:p>
    <w:p>
      <w:pPr>
        <w:keepNext/>
        <w:spacing w:before="160"/>
      </w:pPr>
      <w:r>
        <w:rPr>
          <w:b/>
          <w:sz w:val="20"/>
        </w:rPr>
        <w:t>BOTÃO — Consultar o exemplo de PDF do cartão</w:t>
      </w:r>
    </w:p>
    <w:p>
      <w:r>
        <w:t>COLOCAR LINK DO ARQUIVO “infografico_tabelas.pdf” DO CARTÃO T18.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</w:t>
      </w:r>
      <w:r>
        <w:rPr>
          <w:b/>
          <w:highlight w:val="yellow"/>
        </w:rPr>
        <w:t>COLOCAR SOFTWARE</w:t>
      </w:r>
      <w:r>
        <w:t>. Cartão T18 recebido em dois prints iguais; contabilizar uma única referência. O procedimento documentado propõe exportar a prancha como imagem com 150 dpi ou mais, inserir no PowerPoint, acrescentar texto alternativo e exportar novamente. Registrar esse fluxo como procedimento específico a avaliar, sem ensiná-lo como garantia de PDF acessível: a imagem da página não preserva, por si só, texto, estrutura de tabela, títulos ou links. A resolução da imagem não comprova acessibilidade. Criar a gravação prevista na tabela após validar o exemplo e o fluxo final.</w:t>
      </w:r>
    </w:p>
    <w:p>
      <w:r>
        <w:rPr>
          <w:b/>
          <w:color w:val="555555"/>
          <w:sz w:val="20"/>
        </w:rPr>
        <w:t>Fonte técnica:</w:t>
      </w:r>
      <w:r>
        <w:rPr>
          <w:color w:val="555555"/>
          <w:sz w:val="20"/>
        </w:rPr>
        <w:t xml:space="preserve"> Adobe, “Create and verify PDF accessibility”, </w:t>
      </w:r>
      <w:hyperlink r:id="rId30">
        <w:r>
          <w:rPr>
            <w:color w:val="245878"/>
            <w:u w:val="single"/>
          </w:rPr>
          <w:t>https://helpx.adobe.com/acrobat/using/create-verify-pdf-accessibility.html</w:t>
        </w:r>
      </w:hyperlink>
      <w:r>
        <w:rPr>
          <w:color w:val="555555"/>
          <w:sz w:val="20"/>
        </w:rPr>
        <w:t>.</w:t>
      </w:r>
      <w:r>
        <w:rPr>
          <w:color w:val="555555"/>
          <w:sz w:val="20"/>
        </w:rPr>
        <w:t xml:space="preserve"> Conferir texto, marcações e ordem de leitura e complementar o verificador automático com revisão manual.</w:t>
      </w:r>
    </w:p>
    <w:p>
      <w:pPr>
        <w:pStyle w:val="Heading3"/>
      </w:pPr>
      <w:r>
        <w:t>Vídeos com Libras e legendas</w:t>
      </w:r>
    </w:p>
    <w:p>
      <w:r>
        <w:rPr>
          <w:b/>
        </w:rPr>
        <w:t>Imagem de apoio G15: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Prepare os recursos de acessibilidade junto com a edição. Confira se as legendas correspondem ao áudio, se estão sincronizadas e legíveis e se a área destinada à Libras preserva a visualização do conteúdo.</w:t>
      </w:r>
    </w:p>
    <w:p>
      <w:pPr>
        <w:keepNext/>
        <w:spacing w:before="160"/>
      </w:pPr>
      <w:r>
        <w:rPr>
          <w:b/>
          <w:sz w:val="20"/>
        </w:rPr>
        <w:t>DESTAQUE — O template acompanha o cliente</w:t>
      </w:r>
    </w:p>
    <w:p>
      <w:r>
        <w:t>Busque o template de vídeo acessível na pasta do cliente. As orientações específicas são registradas no DNA e precisam ser respeitadas. Se o cliente atualizar o padrão, o template correspondente também precisa ser atualizado.</w:t>
      </w:r>
    </w:p>
    <w:p>
      <w:pPr>
        <w:keepNext/>
        <w:spacing w:before="160"/>
      </w:pPr>
      <w:r>
        <w:rPr>
          <w:b/>
          <w:sz w:val="20"/>
        </w:rPr>
        <w:t>CHECKLIST — Antes de fechar o vídeo</w:t>
      </w:r>
    </w:p>
    <w:p>
      <w:pPr>
        <w:pStyle w:val="ListBullet"/>
      </w:pPr>
      <w:r>
        <w:t>Texto da legenda conferido com o áudio final.</w:t>
      </w:r>
    </w:p>
    <w:p>
      <w:pPr>
        <w:pStyle w:val="ListBullet"/>
      </w:pPr>
      <w:r>
        <w:t>Sincronização e tempo de leitura verificados.</w:t>
      </w:r>
    </w:p>
    <w:p>
      <w:pPr>
        <w:pStyle w:val="ListBullet"/>
      </w:pPr>
      <w:r>
        <w:t>Legibilidade e contraste adequados.</w:t>
      </w:r>
    </w:p>
    <w:p>
      <w:pPr>
        <w:pStyle w:val="ListBullet"/>
      </w:pPr>
      <w:r>
        <w:t>Libras sem cortes ou sobreposição de elementos importantes.</w:t>
      </w:r>
    </w:p>
    <w:p>
      <w:pPr>
        <w:pStyle w:val="ListBullet"/>
      </w:pPr>
      <w:r>
        <w:t>Formato de entrega e funcionamento no player confirmados.</w:t>
      </w:r>
    </w:p>
    <w:p>
      <w:pPr>
        <w:keepNext/>
        <w:spacing w:before="160"/>
      </w:pPr>
      <w:r>
        <w:rPr>
          <w:b/>
          <w:sz w:val="20"/>
        </w:rPr>
        <w:t>BOTÃO — Consultar o template de vídeo acessível</w:t>
      </w:r>
    </w:p>
    <w:p>
      <w:r>
        <w:t>COLOCAR LINK DO EXEMPLO DO CARTÃO T19 e indicar a pasta do template do cliente do projeto.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cartão T19 recebido. Falta o link copiado do exemplo para preservar seu endereço exato. Não transformar o template de um cliente em regra visual universal. </w:t>
      </w:r>
      <w:r>
        <w:rPr>
          <w:b/>
          <w:highlight w:val="yellow"/>
        </w:rPr>
        <w:t>COLOCAR SOFTWARE</w:t>
      </w:r>
      <w:r>
        <w:t>.</w:t>
      </w:r>
    </w:p>
    <w:p>
      <w:pPr>
        <w:pStyle w:val="Heading2"/>
      </w:pPr>
      <w:r>
        <w:t>DG Catálogos</w:t>
      </w:r>
    </w:p>
    <w:p>
      <w:pPr>
        <w:pStyle w:val="Heading3"/>
      </w:pPr>
      <w:r>
        <w:t>Padrão dos cursos criados na Hands-on</w:t>
      </w:r>
    </w:p>
    <w:p>
      <w:r>
        <w:rPr>
          <w:b/>
        </w:rPr>
        <w:t>Imagem de apoio G16: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Os cursos de catálogo precisam manter consistência entre conteúdo, identidade e publicação. Antes de produzir, consulte o template, as orientações sobre imagens e a aplicação da marca AST.</w:t>
      </w:r>
    </w:p>
    <w:p>
      <w:pPr>
        <w:keepNext/>
        <w:spacing w:before="160"/>
      </w:pPr>
      <w:r>
        <w:rPr>
          <w:b/>
          <w:sz w:val="20"/>
        </w:rPr>
        <w:t>CHECKLIST — Entrega final dos catálogos Hands-on</w:t>
      </w:r>
    </w:p>
    <w:p>
      <w:pPr>
        <w:pStyle w:val="ListBullet"/>
      </w:pPr>
      <w:r>
        <w:t>Incluir o logo da Asterisco no header do curso.</w:t>
      </w:r>
    </w:p>
    <w:p>
      <w:pPr>
        <w:pStyle w:val="ListBullet"/>
      </w:pPr>
      <w:r>
        <w:t>Testar o curso nos formatos previstos, com atenção aos títulos na versão mobile.</w:t>
      </w:r>
    </w:p>
    <w:p>
      <w:pPr>
        <w:pStyle w:val="ListBullet"/>
      </w:pPr>
      <w:r>
        <w:t>No padrão de catálogo descrito neste cartão, retirar o widget VLibras. Outras exigências de acessibilidade seguem o escopo do material.</w:t>
      </w:r>
    </w:p>
    <w:p>
      <w:pPr>
        <w:pStyle w:val="ListBullet"/>
      </w:pPr>
      <w:r>
        <w:t>Após a aprovação final, remover do título no header indicações temporárias como “[revisão DG]”.</w:t>
      </w:r>
    </w:p>
    <w:p>
      <w:pPr>
        <w:pStyle w:val="ListBullet"/>
      </w:pPr>
      <w:r>
        <w:t>Manter todas as seções desbloqueadas na entrega final desses catálogos.</w:t>
      </w:r>
    </w:p>
    <w:p>
      <w:pPr>
        <w:pStyle w:val="ListBullet"/>
      </w:pPr>
      <w:r>
        <w:t>Realizar a entrega final via FTP, com a nomenclatura padrão da empresa, para disponibilização no portfólio comercial.</w:t>
      </w:r>
    </w:p>
    <w:p>
      <w:pPr>
        <w:pStyle w:val="ListBullet"/>
      </w:pPr>
      <w:r>
        <w:t>Enquanto o curso estiver em validação, manter o fluxo correspondente a essa etapa; o cartão não exige antecipar a troca para o link de entrega final.</w:t>
      </w:r>
    </w:p>
    <w:p>
      <w:pPr>
        <w:keepNext/>
        <w:spacing w:before="160"/>
      </w:pPr>
      <w:r>
        <w:rPr>
          <w:b/>
          <w:sz w:val="20"/>
        </w:rPr>
        <w:t>MATERIAL DE APOIO — Checklist completo de catálogo</w:t>
      </w:r>
    </w:p>
    <w:p>
      <w:r>
        <w:t>Caminho informado: “G:\Drives compartilhados\AST_DG_QA\cursos_catalogos\Checklist_catalogo.xlsx”.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cartão T20 recebido. A lista repetia “Testes Formatos”; manter apenas uma ocorrência. O caminho de unidade pode variar entre máquinas: COLOCAR LINK COMPARTILHÁVEL DO CHECKLIST para o botão da OP. Falta consultar a planilha completa. O padrão de FTP e seções desbloqueadas se aplica a este fluxo de catálogo, sem substituir automaticamente outros fluxos de entrega. A observação da tabela sobre imagens geradas por IA continua pendente de detalhamento.</w:t>
      </w:r>
    </w:p>
    <w:p>
      <w:pPr>
        <w:pStyle w:val="Heading2"/>
      </w:pPr>
      <w:r>
        <w:t>DG Marketing</w:t>
      </w:r>
    </w:p>
    <w:p>
      <w:pPr>
        <w:pStyle w:val="Heading3"/>
      </w:pPr>
      <w:r>
        <w:t>Peças AST e Hands-on</w:t>
      </w:r>
    </w:p>
    <w:p>
      <w:r>
        <w:rPr>
          <w:b/>
        </w:rPr>
        <w:t>Imagem de apoio G16: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Antes de criar uma peça para divulgação, confira o briefing, a marca, o canal e o formato solicitado. Utilize os materiais visuais aprovados e prepare o arquivo editável e a saída de acordo com a finalidade.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COLOCAR PADRÃO DE CRIAÇÃO DE PEÇAS AST/HANDS-ON. </w:t>
      </w:r>
      <w:r>
        <w:rPr>
          <w:b/>
          <w:highlight w:val="yellow"/>
        </w:rPr>
        <w:t>COLOCAR SOFTWARE</w:t>
      </w:r>
      <w:r>
        <w:t>. Acrescentar tamanhos, templates, formatos, responsável pela aprovação e local de entrega após definição interna.</w:t>
      </w:r>
    </w:p>
    <w:p>
      <w:pPr>
        <w:pStyle w:val="Heading2"/>
        <w:pageBreakBefore/>
      </w:pPr>
      <w:r>
        <w:t>DI Processos</w:t>
      </w:r>
    </w:p>
    <w:p>
      <w:pPr>
        <w:pStyle w:val="Heading3"/>
      </w:pPr>
      <w:r>
        <w:t>Mapa instrucional e roteiro</w:t>
      </w:r>
    </w:p>
    <w:p>
      <w:r>
        <w:rPr>
          <w:b/>
        </w:rPr>
        <w:t>Imagem de apoio G17: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mapa instrucional organiza o planejamento do curso. O roteiro desenvolve o conteúdo que será produzido. Os dois precisam conversar: estrutura, objetivos e recursos definidos no mapa orientam o que aparece no roteiro.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 que compõe o mapa</w:t>
      </w:r>
    </w:p>
    <w:p>
      <w:pPr>
        <w:pStyle w:val="ListBullet"/>
      </w:pPr>
      <w:r>
        <w:t>Contexto: para que serve o curso e em qual cenário será aplicado.</w:t>
      </w:r>
    </w:p>
    <w:p>
      <w:pPr>
        <w:pStyle w:val="ListBullet"/>
      </w:pPr>
      <w:r>
        <w:t>Público alvo: quem participa e o que precisa aprender.</w:t>
      </w:r>
    </w:p>
    <w:p>
      <w:pPr>
        <w:pStyle w:val="ListBullet"/>
      </w:pPr>
      <w:r>
        <w:t>Linguagem: tom e registro de comunicação.</w:t>
      </w:r>
    </w:p>
    <w:p>
      <w:pPr>
        <w:pStyle w:val="ListBullet"/>
      </w:pPr>
      <w:r>
        <w:t>Carga horária: estimativa de duração.</w:t>
      </w:r>
    </w:p>
    <w:p>
      <w:pPr>
        <w:pStyle w:val="ListBullet"/>
      </w:pPr>
      <w:r>
        <w:t>Estrutura: menu, unidades, subtítulos e recursos.</w:t>
      </w:r>
    </w:p>
    <w:p>
      <w:pPr>
        <w:pStyle w:val="ListBullet"/>
      </w:pPr>
      <w:r>
        <w:t>Nomenclaturas: como escrever termos e nomes ao longo do material.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Como organizar o roteiro</w:t>
      </w:r>
    </w:p>
    <w:p>
      <w:pPr>
        <w:pStyle w:val="ListBullet"/>
      </w:pPr>
      <w:r>
        <w:t>Boas-vindas: apresentar o curso e os objetivos de aprendizagem, com verbos no infinitivo.</w:t>
      </w:r>
    </w:p>
    <w:p>
      <w:pPr>
        <w:pStyle w:val="ListBullet"/>
      </w:pPr>
      <w:r>
        <w:t>Unidades e tópicos: desenvolver os conteúdos na sequência do mapa.</w:t>
      </w:r>
    </w:p>
    <w:p>
      <w:pPr>
        <w:pStyle w:val="ListBullet"/>
      </w:pPr>
      <w:r>
        <w:t>Vídeos: separar lettering e locução ou legenda.</w:t>
      </w:r>
    </w:p>
    <w:p>
      <w:pPr>
        <w:pStyle w:val="ListBullet"/>
      </w:pPr>
      <w:r>
        <w:t>Interações: apresentar comando, conteúdos e comportamento esperado.</w:t>
      </w:r>
    </w:p>
    <w:p>
      <w:pPr>
        <w:pStyle w:val="ListBullet"/>
      </w:pPr>
      <w:r>
        <w:t>Exercícios: apresentar questão, alternativas, resposta correta e feedbacks.</w:t>
      </w:r>
    </w:p>
    <w:p>
      <w:pPr>
        <w:pStyle w:val="ListBullet"/>
      </w:pPr>
      <w:r>
        <w:t>Encerramento: retomar a aprendizagem e orientar o próximo passo.</w:t>
      </w:r>
    </w:p>
    <w:p>
      <w:r>
        <w:rPr>
          <w:b/>
          <w:color w:val="555555"/>
          <w:sz w:val="20"/>
        </w:rPr>
        <w:t>Referência:</w:t>
      </w:r>
      <w:r>
        <w:rPr>
          <w:color w:val="555555"/>
          <w:sz w:val="20"/>
        </w:rPr>
        <w:t xml:space="preserve"> tutorial de DI e template em </w:t>
      </w:r>
      <w:hyperlink r:id="rId31">
        <w:r>
          <w:rPr>
            <w:color w:val="245878"/>
            <w:u w:val="single"/>
          </w:rPr>
          <w:t>https://docs.google.com/document/d/1_2pigryCKX3RAXXqbAwYg_zE83xvrVGb?rtpof=true&amp;usp=drive_fs</w:t>
        </w:r>
      </w:hyperlink>
    </w:p>
    <w:p>
      <w:pPr>
        <w:pStyle w:val="Heading3"/>
      </w:pPr>
      <w:r>
        <w:t>Ajustes e atualizações de conteúdo</w:t>
      </w:r>
    </w:p>
    <w:p>
      <w:r>
        <w:rPr>
          <w:b/>
        </w:rPr>
        <w:t>Imagem de apoio G17: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Em uma rodada de ajustes, confira as considerações do cliente, localize o trecho correspondente e mantenha claro o que precisa ser alterado. Para orientar a produção, o material de DI utiliza um documento em PowerPoint salvo em “_consideracoes_internas”.</w:t>
      </w:r>
    </w:p>
    <w:p>
      <w:r>
        <w:t>Cada slide pode reunir os ajustes de uma mesma tela: print da tela e comentários objetivos indicando o que deve mudar. Não descreva apenas “corrigir”; mostre o ponto e a orientação correspondente.</w:t>
      </w:r>
    </w:p>
    <w:p>
      <w:r>
        <w:rPr>
          <w:b/>
        </w:rPr>
        <w:t>Demonstração:</w:t>
      </w:r>
      <w:r>
        <w:t xml:space="preserve"> montar um slide de ajuste com print, localização e comentário; salvar com a nomenclatura interna; compartilhar o caminho com a equipe. Incluir comparação após aplicação.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complementar os casos de atualização de conteúdo que não estiverem cobertos pelo tutorial. Confirmar o fluxo de aprovação para alterações de roteiro durante a produção.</w:t>
      </w:r>
    </w:p>
    <w:p>
      <w:pPr>
        <w:pStyle w:val="Heading3"/>
      </w:pPr>
      <w:r>
        <w:t>Locução com IA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Ao preparar a locução, separe o texto falado das instruções visuais. Confira vozes, termos e pronúncias e mantenha a relação entre áudio e roteiro.</w:t>
      </w:r>
    </w:p>
    <w:p>
      <w:r>
        <w:t>No tutorial de DI, os arquivos são salvos em “_locucoes_IA”, com nomes como “locucao_google_nomedavoz” ou “locucao_google_nomedavoz1_nomedavoz2”. Se houver mais de um áudio, identifique também a cena ou o vídeo conforme o padrão do projeto.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</w:r>
      <w:r>
        <w:t xml:space="preserve"> remeter ao tutorial “Como gerar locuções” já incluído nesta OP, com uma única fonte de atualização. </w:t>
      </w:r>
      <w:r>
        <w:rPr>
          <w:b/>
          <w:highlight w:val="yellow"/>
        </w:rPr>
        <w:t>COLOCAR SOFTWARE</w:t>
      </w:r>
      <w:r>
        <w:t xml:space="preserve"> quando a equipe definir a ferramenta padrão.</w:t>
      </w:r>
    </w:p>
    <w:p>
      <w:pPr>
        <w:pStyle w:val="Heading3"/>
      </w:pPr>
      <w:r>
        <w:t>Organização da pasta DI</w:t>
      </w:r>
    </w:p>
    <w:p>
      <w:r>
        <w:rPr>
          <w:b/>
        </w:rPr>
        <w:t>Imagem de apoio G17: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 pasta “_DI” concentra o trabalho do Designer Instrucional. O curso de processos apresenta esta organização: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Onde fica cada arquivo</w:t>
      </w:r>
    </w:p>
    <w:p>
      <w:pPr>
        <w:pStyle w:val="ListBullet"/>
      </w:pPr>
      <w:r>
        <w:t>Raiz: roteiro atual. O tutorial orienta manter um único arquivo de roteiro e utilizar o versionamento do Drive.</w:t>
      </w:r>
    </w:p>
    <w:p>
      <w:pPr>
        <w:pStyle w:val="ListBullet"/>
      </w:pPr>
      <w:r>
        <w:t>“_consideracoes_clientes”: considerações de validação e pedidos de ajuste recebidos do cliente, disponibilizados pela GP.</w:t>
      </w:r>
    </w:p>
    <w:p>
      <w:pPr>
        <w:pStyle w:val="ListBullet"/>
      </w:pPr>
      <w:r>
        <w:t>“_consideracoes_internas”: orientações do DI para os ajustes do DG. Exemplo de nome: “01_internas_11MAR”, incrementando o número nas rodadas seguintes.</w:t>
      </w:r>
    </w:p>
    <w:p>
      <w:pPr>
        <w:pStyle w:val="ListBullet"/>
      </w:pPr>
      <w:r>
        <w:t>“_locucoes_IA”: arquivos de áudio disponibilizados para a produção.</w:t>
      </w:r>
    </w:p>
    <w:p>
      <w:pPr>
        <w:keepNext/>
        <w:spacing w:before="160"/>
      </w:pPr>
      <w:r>
        <w:rPr>
          <w:b/>
          <w:sz w:val="20"/>
        </w:rPr>
        <w:t>DESTAQUE — Padrões têm contexto</w:t>
      </w:r>
    </w:p>
    <w:p>
      <w:r>
        <w:t>A regra de um roteiro atual na pasta DI não elimina a necessidade de controlar versões de referências, imagens e clipes. Cada material segue o padrão definido para seu fluxo.</w:t>
      </w:r>
    </w:p>
    <w:p>
      <w:pPr>
        <w:pStyle w:val="Heading2"/>
      </w:pPr>
      <w:r>
        <w:t>DI Catálogos</w:t>
      </w:r>
    </w:p>
    <w:p>
      <w:pPr>
        <w:pStyle w:val="Heading3"/>
      </w:pPr>
      <w:r>
        <w:t>Ementa e geração de roteiros com IA</w:t>
      </w:r>
    </w:p>
    <w:p>
      <w:r>
        <w:rPr>
          <w:b/>
        </w:rPr>
        <w:t>Imagem de apoio G18: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fluxo de catálogo apresentado no material de DI combina planejamento, geração e revisão. A IA ajuda a preparar o conteúdo, mas o material precisa ser conferido antes de seguir para produção.</w:t>
      </w:r>
    </w:p>
    <w:p>
      <w:pPr>
        <w:keepNext/>
        <w:spacing w:before="160"/>
      </w:pPr>
      <w:r>
        <w:rPr>
          <w:b/>
          <w:color w:val="5B4878"/>
          <w:sz w:val="20"/>
        </w:rPr>
        <w:t>INTERAÇÃO — Etapas do fluxo</w:t>
      </w:r>
    </w:p>
    <w:p>
      <w:pPr>
        <w:ind w:left="283" w:hanging="283"/>
      </w:pPr>
      <w:r>
        <w:t>1. Gerar a ementa com o formulário de referência, definindo tema, objetivo, público, idioma, complexidade, tópicos e tom.</w:t>
      </w:r>
    </w:p>
    <w:p>
      <w:pPr>
        <w:ind w:left="283" w:hanging="283"/>
      </w:pPr>
      <w:r>
        <w:t>2. Criar o curso na Hands-on com as informações da ementa, seguindo o recurso disponível na plataforma.</w:t>
      </w:r>
    </w:p>
    <w:p>
      <w:pPr>
        <w:ind w:left="283" w:hanging="283"/>
      </w:pPr>
      <w:r>
        <w:t>3. Revisar o conteúdo para corrigir erros, reduzir redundâncias, equilibrar teoria e prática e conferir a adequação ao público.</w:t>
      </w:r>
    </w:p>
    <w:p>
      <w:pPr>
        <w:ind w:left="283" w:hanging="283"/>
      </w:pPr>
      <w:r>
        <w:t>4. Checar afirmações e fontes. Não incluir estatísticas sem referência verificável.</w:t>
      </w:r>
    </w:p>
    <w:p>
      <w:pPr>
        <w:ind w:left="283" w:hanging="283"/>
      </w:pPr>
      <w:r>
        <w:t>5. Substituir os textos na plataforma, seção por seção, e conferir o resultado montado.</w:t>
      </w:r>
    </w:p>
    <w:p>
      <w:pPr>
        <w:keepNext/>
        <w:spacing w:before="160"/>
      </w:pPr>
      <w:r>
        <w:rPr>
          <w:b/>
          <w:color w:val="555555"/>
          <w:sz w:val="20"/>
        </w:rPr>
        <w:t>Referências:</w:t>
      </w:r>
    </w:p>
    <w:p>
      <w:pPr>
        <w:pStyle w:val="ListBullet"/>
      </w:pPr>
      <w:r>
        <w:t xml:space="preserve">Formulário de ementa: </w:t>
      </w:r>
      <w:hyperlink r:id="rId32">
        <w:r>
          <w:rPr>
            <w:color w:val="245878"/>
            <w:u w:val="single"/>
          </w:rPr>
          <w:t>https://docs.google.com/document/d/1XqDyjGPRqKyX0IJZleAUV2wdoIRvgiMZ?rtpof=true&amp;usp=drive_fs</w:t>
        </w:r>
      </w:hyperlink>
    </w:p>
    <w:p>
      <w:pPr>
        <w:pStyle w:val="ListBullet"/>
      </w:pPr>
      <w:r>
        <w:t xml:space="preserve">Prompt de revisão: </w:t>
      </w:r>
      <w:hyperlink r:id="rId33">
        <w:r>
          <w:rPr>
            <w:color w:val="245878"/>
            <w:u w:val="single"/>
          </w:rPr>
          <w:t>https://docs.google.com/document/d/1PVyaD6r4344p24JWs1BY4XoePVk8PDhj?rtpof=true&amp;usp=drive_fs</w:t>
        </w:r>
      </w:hyperlink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conferir os documentos vinculados e a interface vigente antes de gravar a demonstração.</w:t>
      </w:r>
    </w:p>
    <w:p>
      <w:pPr>
        <w:pStyle w:val="Heading2"/>
      </w:pPr>
      <w:r>
        <w:t>DI Marketing</w:t>
      </w:r>
    </w:p>
    <w:p>
      <w:pPr>
        <w:pStyle w:val="Heading3"/>
      </w:pPr>
      <w:r>
        <w:t>Conteúdo e postagem nas redes sociais</w:t>
      </w:r>
    </w:p>
    <w:p>
      <w:r>
        <w:rPr>
          <w:b/>
        </w:rPr>
        <w:t>Imagem de apoio G18:</w:t>
      </w:r>
      <w:r>
        <w:t xml:space="preserve"> consultar a captura e o ponto de inserção no Mapa de imagens e prints do onboarding.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O conteúdo de divulgação precisa acompanhar o objetivo da peça, o canal e a voz da marca. Antes de escrever, confira o briefing e o fluxo de revisão e aprovação.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COLOCAR PADRÃO DE CRIAÇÃO DE CONTEÚDO E PROCESSO DE POSTAGEM. Incluir briefing, calendário, formato de texto, revisão, aprovação, publicação e registro. Não atribuir responsáveis ou permissões de postagem sem definição da equipe.</w:t>
      </w:r>
    </w:p>
    <w:p>
      <w:pPr>
        <w:pStyle w:val="Heading2"/>
      </w:pPr>
      <w:r>
        <w:t>Encerramento</w:t>
      </w:r>
    </w:p>
    <w:p>
      <w:pPr>
        <w:keepNext/>
        <w:spacing w:before="160"/>
      </w:pPr>
      <w:r>
        <w:rPr>
          <w:b/>
          <w:sz w:val="20"/>
        </w:rPr>
        <w:t>Texto na tela</w:t>
      </w:r>
    </w:p>
    <w:p>
      <w:r>
        <w:t>Agora você tem um ponto de partida para se orientar na Asterisco. Já sabe onde consultar sua programação, registrar o trabalho, conversar com a equipe e encontrar os materiais de um projeto.</w:t>
      </w:r>
    </w:p>
    <w:p>
      <w:r>
        <w:t>Use os tutoriais conforme a etapa do trabalho e mantenha o roteiro e as referências do projeto disponíveis para consulta.</w:t>
      </w:r>
    </w:p>
    <w:p>
      <w:r>
        <w:t>Se surgir uma dúvida, consulte este material e converse com a equipe. Sua experiência também pode ajudar a melhorar os tutoriais e tornar a chegada das próximas pessoas mais simples.</w:t>
      </w:r>
    </w:p>
    <w:p>
      <w:pPr>
        <w:keepNext/>
        <w:spacing w:before="160"/>
      </w:pPr>
      <w:r>
        <w:rPr>
          <w:b/>
          <w:sz w:val="20"/>
        </w:rPr>
        <w:t>CHECKLIST — Minha primeira demanda</w:t>
      </w:r>
    </w:p>
    <w:p>
      <w:pPr>
        <w:pStyle w:val="ListBullet"/>
      </w:pPr>
      <w:r>
        <w:t>Acessos necessários disponíveis.</w:t>
      </w:r>
    </w:p>
    <w:p>
      <w:pPr>
        <w:pStyle w:val="ListBullet"/>
      </w:pPr>
      <w:r>
        <w:t>Projeto e arquivos corretos identificados.</w:t>
      </w:r>
    </w:p>
    <w:p>
      <w:pPr>
        <w:pStyle w:val="ListBullet"/>
      </w:pPr>
      <w:r>
        <w:t>Escopo, roteiro e referências conferidos.</w:t>
      </w:r>
    </w:p>
    <w:p>
      <w:pPr>
        <w:pStyle w:val="ListBullet"/>
      </w:pPr>
      <w:r>
        <w:t>Prazo e responsáveis pelo próximo passo conhecidos.</w:t>
      </w:r>
    </w:p>
    <w:p>
      <w:pPr>
        <w:pStyle w:val="ListBullet"/>
      </w:pPr>
      <w:r>
        <w:t>Tutoriais da área localizados.</w:t>
      </w:r>
    </w:p>
    <w:p>
      <w:pPr>
        <w:pStyle w:val="ListBullet"/>
      </w:pPr>
      <w:r>
        <w:t>Revisão e fluxo de entrega compreendidos.</w:t>
      </w:r>
    </w:p>
    <w:p>
      <w:r>
        <w:rPr>
          <w:b/>
          <w:color w:val="555555"/>
          <w:sz w:val="20"/>
        </w:rPr>
        <w:t>Produção:</w:t>
      </w:r>
      <w:r>
        <w:rPr>
          <w:color w:val="555555"/>
          <w:sz w:val="20"/>
        </w:rPr>
        <w:t xml:space="preserve"> checklist para consulta, sem envio de atividade. Manter pendências de acesso visíveis.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ASTERISCO  |  Roteiro de onboarding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60"/>
      <w:outlineLvl w:val="4"/>
    </w:pPr>
    <w:rPr>
      <w:rFonts w:asciiTheme="majorHAnsi" w:eastAsiaTheme="majorEastAsia" w:hAnsiTheme="majorHAnsi" w:cstheme="majorBidi" w:ascii="Calibri" w:hAnsi="Calibri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4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after="8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after="8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teriscoeducacao.com.br/" TargetMode="External"/><Relationship Id="rId12" Type="http://schemas.openxmlformats.org/officeDocument/2006/relationships/hyperlink" Target="https://www.instagram.com/asteducacao/" TargetMode="External"/><Relationship Id="rId13" Type="http://schemas.openxmlformats.org/officeDocument/2006/relationships/hyperlink" Target="https://www.linkedin.com/company/asteducacao/" TargetMode="External"/><Relationship Id="rId14" Type="http://schemas.openxmlformats.org/officeDocument/2006/relationships/hyperlink" Target="https://www.youtube.com/@asteducacao" TargetMode="External"/><Relationship Id="rId15" Type="http://schemas.openxmlformats.org/officeDocument/2006/relationships/hyperlink" Target="https://www.handsoncreator.ai/pt-br" TargetMode="External"/><Relationship Id="rId16" Type="http://schemas.openxmlformats.org/officeDocument/2006/relationships/hyperlink" Target="https://www.youtube.com/@hands-on-creator" TargetMode="External"/><Relationship Id="rId17" Type="http://schemas.openxmlformats.org/officeDocument/2006/relationships/hyperlink" Target="https://asterisco.harvestapp.com/welcome" TargetMode="External"/><Relationship Id="rId18" Type="http://schemas.openxmlformats.org/officeDocument/2006/relationships/hyperlink" Target="https://id.getharvest.com/forecast/sign_in" TargetMode="External"/><Relationship Id="rId19" Type="http://schemas.openxmlformats.org/officeDocument/2006/relationships/hyperlink" Target="https://go.fortime.com.br/login" TargetMode="External"/><Relationship Id="rId20" Type="http://schemas.openxmlformats.org/officeDocument/2006/relationships/hyperlink" Target="https://drive.google.com/open?id=1N9XDJTC5uNtfeXJ_TQbqw6pkOoSKDcVE&amp;usp=drive_fs" TargetMode="External"/><Relationship Id="rId21" Type="http://schemas.openxmlformats.org/officeDocument/2006/relationships/hyperlink" Target="https://cliente.asteriscoeducacao.com.br/AST/catalogo/LGPD/index.html" TargetMode="External"/><Relationship Id="rId22" Type="http://schemas.openxmlformats.org/officeDocument/2006/relationships/hyperlink" Target="https://cliente.asteriscoeducacao.com.br/AST/catalogo/Equidade_Racial" TargetMode="External"/><Relationship Id="rId23" Type="http://schemas.openxmlformats.org/officeDocument/2006/relationships/hyperlink" Target="https://cliente.asteriscoeducacao.com.br/AST/catalogo/Equidade_de_Genero" TargetMode="External"/><Relationship Id="rId24" Type="http://schemas.openxmlformats.org/officeDocument/2006/relationships/hyperlink" Target="https://cliente.asteriscoeducacao.com.br/AST/catalogo/LGBTI/index.html" TargetMode="External"/><Relationship Id="rId25" Type="http://schemas.openxmlformats.org/officeDocument/2006/relationships/hyperlink" Target="https://cliente.asteriscoeducacao.com.br/AST/catalogo/ESG/index.html" TargetMode="External"/><Relationship Id="rId26" Type="http://schemas.openxmlformats.org/officeDocument/2006/relationships/hyperlink" Target="https://github.com/asteriscoeducacao/hands-on-curso-modelo" TargetMode="External"/><Relationship Id="rId27" Type="http://schemas.openxmlformats.org/officeDocument/2006/relationships/hyperlink" Target="https://www.articulatesupport.com/article/exceeding-scorm-suspend-data-limits" TargetMode="External"/><Relationship Id="rId28" Type="http://schemas.openxmlformats.org/officeDocument/2006/relationships/hyperlink" Target="https://drive.google.com/file/d/1CisVOuIA99gyG-WPip4XamAFRl1zRkt1/view" TargetMode="External"/><Relationship Id="rId29" Type="http://schemas.openxmlformats.org/officeDocument/2006/relationships/hyperlink" Target="https://github.com/asteriscoeducacao/NAT_0699_Biodiversidade.git" TargetMode="External"/><Relationship Id="rId30" Type="http://schemas.openxmlformats.org/officeDocument/2006/relationships/hyperlink" Target="https://helpx.adobe.com/acrobat/using/create-verify-pdf-accessibility.html" TargetMode="External"/><Relationship Id="rId31" Type="http://schemas.openxmlformats.org/officeDocument/2006/relationships/hyperlink" Target="https://docs.google.com/document/d/1_2pigryCKX3RAXXqbAwYg_zE83xvrVGb?rtpof=true&amp;usp=drive_fs" TargetMode="External"/><Relationship Id="rId32" Type="http://schemas.openxmlformats.org/officeDocument/2006/relationships/hyperlink" Target="https://docs.google.com/document/d/1XqDyjGPRqKyX0IJZleAUV2wdoIRvgiMZ?rtpof=true&amp;usp=drive_fs" TargetMode="External"/><Relationship Id="rId33" Type="http://schemas.openxmlformats.org/officeDocument/2006/relationships/hyperlink" Target="https://docs.google.com/document/d/1PVyaD6r4344p24JWs1BY4XoePVk8PDhj?rtpof=true&amp;usp=drive_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Asterisco</dc:title>
  <dc:subject>Roteiro para One Page de integração e processos de DG e DI</dc:subject>
  <dc:creator>Asterisco Educação</dc:creator>
  <cp:keywords>onboarding, roteiro, OP, DG, DI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