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5B803">
      <w:pPr>
        <w:rPr>
          <w:rFonts w:hint="eastAsia"/>
          <w:lang w:val="en-US" w:eastAsia="zh-CN"/>
        </w:rPr>
      </w:pPr>
      <w:r>
        <w:rPr>
          <w:rFonts w:hint="eastAsia"/>
          <w:lang w:val="en-US" w:eastAsia="zh-CN"/>
        </w:rPr>
        <w:t>Framework for Uncovering Enterprise Risk Exposure</w:t>
      </w:r>
    </w:p>
    <w:p w14:paraId="6096AABC">
      <w:pPr>
        <w:rPr>
          <w:rFonts w:hint="eastAsia"/>
          <w:lang w:val="en-US" w:eastAsia="zh-CN"/>
        </w:rPr>
      </w:pPr>
    </w:p>
    <w:p w14:paraId="5C5455D7">
      <w:pPr>
        <w:rPr>
          <w:rFonts w:hint="eastAsia"/>
          <w:lang w:val="en-US" w:eastAsia="zh-CN"/>
        </w:rPr>
      </w:pPr>
      <w:r>
        <w:rPr>
          <w:rFonts w:hint="eastAsia"/>
          <w:lang w:val="en-US" w:eastAsia="zh-CN"/>
        </w:rPr>
        <w:t>This section introduce a framework of uncovering enterprise risk exposure with overviews and details explained.</w:t>
      </w:r>
    </w:p>
    <w:p w14:paraId="6458E30F">
      <w:pPr>
        <w:rPr>
          <w:rFonts w:hint="eastAsia"/>
          <w:lang w:val="en-US" w:eastAsia="zh-CN"/>
        </w:rPr>
      </w:pPr>
    </w:p>
    <w:p w14:paraId="00C2B5CF">
      <w:pPr>
        <w:numPr>
          <w:ilvl w:val="0"/>
          <w:numId w:val="1"/>
        </w:numPr>
        <w:rPr>
          <w:rFonts w:hint="default"/>
          <w:lang w:val="en-US" w:eastAsia="zh-CN"/>
        </w:rPr>
      </w:pPr>
      <w:r>
        <w:rPr>
          <w:rFonts w:hint="eastAsia"/>
          <w:lang w:val="en-US" w:eastAsia="zh-CN"/>
        </w:rPr>
        <w:t>Overview of the framework</w:t>
      </w:r>
    </w:p>
    <w:p w14:paraId="65A82711">
      <w:pPr>
        <w:numPr>
          <w:ilvl w:val="0"/>
          <w:numId w:val="0"/>
        </w:numPr>
        <w:ind w:firstLine="420" w:firstLineChars="200"/>
        <w:rPr>
          <w:rFonts w:hint="eastAsia"/>
          <w:u w:val="none"/>
          <w:lang w:val="en-US" w:eastAsia="zh-CN"/>
        </w:rPr>
      </w:pPr>
      <w:r>
        <w:rPr>
          <w:rFonts w:hint="eastAsia"/>
          <w:u w:val="none"/>
          <w:lang w:val="en-US" w:eastAsia="zh-CN"/>
        </w:rPr>
        <w:t>Risk exposure refers to underlying risk exposed by public information, such as materials like analysis reports, news and accounting reports. Etc. Accordingly, uncovering enterprise risk exposure requires textual analysis of information exposed on the market.  Therefore, the input data will be the monthly analysis reports of all listed companies on China</w:t>
      </w:r>
      <w:r>
        <w:rPr>
          <w:rFonts w:hint="default"/>
          <w:u w:val="none"/>
          <w:lang w:val="en-US" w:eastAsia="zh-CN"/>
        </w:rPr>
        <w:t>’</w:t>
      </w:r>
      <w:r>
        <w:rPr>
          <w:rFonts w:hint="eastAsia"/>
          <w:u w:val="none"/>
          <w:lang w:val="en-US" w:eastAsia="zh-CN"/>
        </w:rPr>
        <w:t>s market from 2005 to 2024 . Considering the size of input data, traditional textual analysis will have constrains, and we utilize advance AI and LLM technologies helping risk exposure of text.</w:t>
      </w:r>
    </w:p>
    <w:p w14:paraId="383A443D">
      <w:pPr>
        <w:numPr>
          <w:ilvl w:val="0"/>
          <w:numId w:val="0"/>
        </w:numPr>
        <w:ind w:firstLine="420" w:firstLineChars="200"/>
        <w:rPr>
          <w:rFonts w:hint="eastAsia"/>
          <w:u w:val="none"/>
          <w:lang w:val="en-US" w:eastAsia="zh-CN"/>
        </w:rPr>
      </w:pPr>
      <w:r>
        <w:rPr>
          <w:rFonts w:hint="eastAsia"/>
          <w:u w:val="none"/>
          <w:lang w:val="en-US" w:eastAsia="zh-CN"/>
        </w:rPr>
        <w:t>However, our further studies require quantitative data for probability and statistical analysis. To address this, we integrating LDA modeling and BERT-based semantic labeling to not only uncover certain type of risk but also give the quantitative data of each type of risk.</w:t>
      </w:r>
    </w:p>
    <w:p w14:paraId="1542F3AB">
      <w:pPr>
        <w:numPr>
          <w:ilvl w:val="0"/>
          <w:numId w:val="0"/>
        </w:numPr>
        <w:ind w:firstLine="420" w:firstLineChars="200"/>
        <w:rPr>
          <w:rFonts w:hint="eastAsia"/>
          <w:u w:val="none"/>
          <w:lang w:val="en-US" w:eastAsia="zh-CN"/>
        </w:rPr>
      </w:pPr>
    </w:p>
    <w:p w14:paraId="59BA9C52">
      <w:pPr>
        <w:numPr>
          <w:ilvl w:val="0"/>
          <w:numId w:val="0"/>
        </w:numPr>
        <w:rPr>
          <w:rFonts w:hint="eastAsia"/>
          <w:u w:val="none"/>
          <w:lang w:val="en-US" w:eastAsia="zh-CN"/>
        </w:rPr>
      </w:pPr>
      <w:r>
        <w:rPr>
          <w:rFonts w:hint="eastAsia"/>
          <w:u w:val="none"/>
          <w:lang w:val="en-US" w:eastAsia="zh-CN"/>
        </w:rPr>
        <w:t>2.1 Preparation of Data</w:t>
      </w:r>
    </w:p>
    <w:p w14:paraId="39AB7D6D">
      <w:pPr>
        <w:numPr>
          <w:ilvl w:val="0"/>
          <w:numId w:val="0"/>
        </w:numPr>
        <w:rPr>
          <w:rFonts w:hint="eastAsia"/>
          <w:u w:val="none"/>
          <w:lang w:val="en-US" w:eastAsia="zh-CN"/>
        </w:rPr>
      </w:pPr>
      <w:r>
        <w:rPr>
          <w:rFonts w:hint="eastAsia"/>
          <w:u w:val="none"/>
          <w:lang w:val="en-US" w:eastAsia="zh-CN"/>
        </w:rPr>
        <w:t xml:space="preserve">  The original data is based on market level and contains 19 industries, for convenience of processing data by program, we choose to process the yearly market report per industry thus match each industry with a code regarding the standard of Industrial classification for national economic activities (UNSD:2006 ,International standard industrial classification of all economic activities, NEQ). Next, the interference factors include subjective opinions, emotional expressions, and general risk describing words have to be removed for better capturing the specific risk. Moreover, as LDA is an unsupervised machine learning method, to guarantee the quality and relevance of the result, there</w:t>
      </w:r>
      <w:r>
        <w:rPr>
          <w:rFonts w:hint="default"/>
          <w:u w:val="none"/>
          <w:lang w:val="en-US" w:eastAsia="zh-CN"/>
        </w:rPr>
        <w:t>’</w:t>
      </w:r>
      <w:r>
        <w:rPr>
          <w:rFonts w:hint="eastAsia"/>
          <w:u w:val="none"/>
          <w:lang w:val="en-US" w:eastAsia="zh-CN"/>
        </w:rPr>
        <w:t xml:space="preserve">s a need to provide some sample risk types as a supervise data. </w:t>
      </w:r>
    </w:p>
    <w:p w14:paraId="322AF0E6">
      <w:pPr>
        <w:numPr>
          <w:ilvl w:val="0"/>
          <w:numId w:val="0"/>
        </w:numPr>
        <w:ind w:firstLine="210" w:firstLineChars="100"/>
        <w:rPr>
          <w:rFonts w:hint="default"/>
          <w:u w:val="none"/>
          <w:lang w:val="en-US" w:eastAsia="zh-CN"/>
        </w:rPr>
      </w:pPr>
      <w:r>
        <w:rPr>
          <w:rFonts w:hint="eastAsia"/>
          <w:u w:val="none"/>
          <w:lang w:val="en-US" w:eastAsia="zh-CN"/>
        </w:rPr>
        <w:t>Therefore, we generate a overall risk dictionary contains risk types and stop words by calling deepseek API: First, we let DeepSeek read yearly market analysis reports of each industry to generate specific risk types. Then, it will give corresponding stop words of each risk types, the risk types and their corresponding stop words together constitute a dictionary for one industry. Last, after 19 industries</w:t>
      </w:r>
      <w:r>
        <w:rPr>
          <w:rFonts w:hint="default"/>
          <w:u w:val="none"/>
          <w:lang w:val="en-US" w:eastAsia="zh-CN"/>
        </w:rPr>
        <w:t>’</w:t>
      </w:r>
      <w:r>
        <w:rPr>
          <w:rFonts w:hint="eastAsia"/>
          <w:u w:val="none"/>
          <w:lang w:val="en-US" w:eastAsia="zh-CN"/>
        </w:rPr>
        <w:t xml:space="preserve"> dictionaries are generated, they are merged into a overall risk dictionary.</w:t>
      </w:r>
    </w:p>
    <w:p w14:paraId="7546131C">
      <w:pPr>
        <w:numPr>
          <w:ilvl w:val="0"/>
          <w:numId w:val="0"/>
        </w:numPr>
        <w:ind w:firstLine="210" w:firstLineChars="100"/>
        <w:rPr>
          <w:rFonts w:hint="default"/>
          <w:u w:val="none"/>
          <w:lang w:val="en-US" w:eastAsia="zh-CN"/>
        </w:rPr>
      </w:pPr>
    </w:p>
    <w:p w14:paraId="2C3E1BC1">
      <w:pPr>
        <w:numPr>
          <w:ilvl w:val="0"/>
          <w:numId w:val="0"/>
        </w:numPr>
        <w:rPr>
          <w:rFonts w:hint="eastAsia"/>
          <w:u w:val="none"/>
          <w:lang w:val="en-US" w:eastAsia="zh-CN"/>
        </w:rPr>
      </w:pPr>
    </w:p>
    <w:p w14:paraId="702B8D0C">
      <w:pPr>
        <w:numPr>
          <w:ilvl w:val="0"/>
          <w:numId w:val="0"/>
        </w:numPr>
        <w:rPr>
          <w:rFonts w:hint="eastAsia"/>
          <w:u w:val="none"/>
          <w:lang w:val="en-US" w:eastAsia="zh-CN"/>
        </w:rPr>
      </w:pPr>
      <w:r>
        <w:rPr>
          <w:rFonts w:hint="eastAsia"/>
          <w:u w:val="none"/>
          <w:lang w:val="en-US" w:eastAsia="zh-CN"/>
        </w:rPr>
        <w:t>2.2 LDA Modeling</w:t>
      </w:r>
    </w:p>
    <w:p w14:paraId="42348E3F">
      <w:pPr>
        <w:numPr>
          <w:ilvl w:val="0"/>
          <w:numId w:val="0"/>
        </w:numPr>
        <w:rPr>
          <w:rFonts w:hint="eastAsia"/>
          <w:u w:val="none"/>
          <w:lang w:val="en-US" w:eastAsia="zh-CN"/>
        </w:rPr>
      </w:pPr>
      <w:r>
        <w:rPr>
          <w:rFonts w:hint="eastAsia"/>
          <w:u w:val="none"/>
          <w:lang w:val="en-US" w:eastAsia="zh-CN"/>
        </w:rPr>
        <w:t xml:space="preserve">  Supervised by overall risk dictionary, the LDA model will read yearly market report and give topics and labels for each industry.</w:t>
      </w:r>
    </w:p>
    <w:p w14:paraId="7412A6B3">
      <w:pPr>
        <w:numPr>
          <w:ilvl w:val="0"/>
          <w:numId w:val="0"/>
        </w:numPr>
        <w:rPr>
          <w:rFonts w:hint="eastAsia"/>
          <w:u w:val="none"/>
          <w:lang w:val="en-US" w:eastAsia="zh-CN"/>
        </w:rPr>
      </w:pPr>
      <w:r>
        <w:rPr>
          <w:rFonts w:hint="eastAsia"/>
          <w:u w:val="none"/>
          <w:lang w:val="en-US" w:eastAsia="zh-CN"/>
        </w:rPr>
        <w:t xml:space="preserve">  First, LDA will read firms</w:t>
      </w:r>
      <w:r>
        <w:rPr>
          <w:rFonts w:hint="default"/>
          <w:u w:val="none"/>
          <w:lang w:val="en-US" w:eastAsia="zh-CN"/>
        </w:rPr>
        <w:t>’</w:t>
      </w:r>
      <w:r>
        <w:rPr>
          <w:rFonts w:hint="eastAsia"/>
          <w:u w:val="none"/>
          <w:lang w:val="en-US" w:eastAsia="zh-CN"/>
        </w:rPr>
        <w:t xml:space="preserve"> monthly reports for each industry and generate 10 groups of 10 top words by calculating corresponding probabilities. During the process, words appearing in the stop words will be removed. Each group is defined as a topic and has a probability denoted by topic probability. The topics are numbered sequentially as topic_0~topic_9.</w:t>
      </w:r>
    </w:p>
    <w:p w14:paraId="3B660F3C">
      <w:pPr>
        <w:numPr>
          <w:ilvl w:val="0"/>
          <w:numId w:val="0"/>
        </w:numPr>
        <w:rPr>
          <w:rFonts w:hint="eastAsia"/>
          <w:u w:val="none"/>
          <w:lang w:val="en-US" w:eastAsia="zh-CN"/>
        </w:rPr>
      </w:pPr>
      <w:r>
        <w:rPr>
          <w:rFonts w:hint="eastAsia"/>
          <w:u w:val="none"/>
          <w:lang w:val="en-US" w:eastAsia="zh-CN"/>
        </w:rPr>
        <w:t xml:space="preserve"> Then, to further finding the general risk over industry based on the top words as well as  defining the more concise risks. The model will read 10 groups of top words generated and using BERT vectors to give labels shared by all stop words. Next, labels will be matched with pre-defined risk types obtained from industry risk dictionary and calculate similarity score. Finally labels whose similarity score is no less than 0.4 will be selected, each topic can have multiple risk labels depending on the similarity score. </w:t>
      </w:r>
    </w:p>
    <w:p w14:paraId="792E4BC7">
      <w:pPr>
        <w:numPr>
          <w:ilvl w:val="0"/>
          <w:numId w:val="0"/>
        </w:numPr>
        <w:rPr>
          <w:rFonts w:hint="eastAsia"/>
          <w:u w:val="none"/>
          <w:lang w:val="en-US" w:eastAsia="zh-CN"/>
        </w:rPr>
      </w:pPr>
    </w:p>
    <w:p w14:paraId="630CEE51">
      <w:pPr>
        <w:numPr>
          <w:ilvl w:val="0"/>
          <w:numId w:val="0"/>
        </w:numPr>
        <w:rPr>
          <w:rFonts w:hint="eastAsia"/>
          <w:u w:val="none"/>
          <w:lang w:val="en-US" w:eastAsia="zh-CN"/>
        </w:rPr>
      </w:pPr>
      <w:r>
        <w:rPr>
          <w:rFonts w:hint="eastAsia"/>
          <w:u w:val="none"/>
          <w:lang w:val="en-US" w:eastAsia="zh-CN"/>
        </w:rPr>
        <w:t>2.3 Calculating Risk Intensity</w:t>
      </w:r>
    </w:p>
    <w:p w14:paraId="736A5EFD">
      <w:pPr>
        <w:numPr>
          <w:ilvl w:val="0"/>
          <w:numId w:val="0"/>
        </w:numPr>
        <w:rPr>
          <w:rFonts w:hint="eastAsia"/>
          <w:u w:val="none"/>
          <w:lang w:val="en-US" w:eastAsia="zh-CN"/>
        </w:rPr>
      </w:pPr>
      <w:r>
        <w:rPr>
          <w:rFonts w:hint="eastAsia"/>
          <w:u w:val="none"/>
          <w:lang w:val="en-US" w:eastAsia="zh-CN"/>
        </w:rPr>
        <w:t xml:space="preserve">  After LDA modeling, we obtained two outputs, 1. topic0~topic9 and their corresponding labels with scores; 2. firms</w:t>
      </w:r>
      <w:r>
        <w:rPr>
          <w:rFonts w:hint="default"/>
          <w:u w:val="none"/>
          <w:lang w:val="en-US" w:eastAsia="zh-CN"/>
        </w:rPr>
        <w:t>’</w:t>
      </w:r>
      <w:r>
        <w:rPr>
          <w:rFonts w:hint="eastAsia"/>
          <w:u w:val="none"/>
          <w:lang w:val="en-US" w:eastAsia="zh-CN"/>
        </w:rPr>
        <w:t xml:space="preserve"> monthly probability of topic0~topic9. Since this process only get the quantitative results representing relationship between topics and labels, for the firm level it only shows the probability of 10 topics and the model cannot directly showing the relationship between firms and labels.In order give the firm level quantitative results of labels, we introduce a matrix calculation by transferring the table result into a matrix type.</w:t>
      </w:r>
    </w:p>
    <w:p w14:paraId="43ABF1E2">
      <w:pPr>
        <w:numPr>
          <w:ilvl w:val="0"/>
          <w:numId w:val="0"/>
        </w:numPr>
        <m:rPr/>
        <w:rPr>
          <w:rFonts w:hint="eastAsia" w:hAnsi="DejaVu Math TeX Gyre"/>
          <w:i w:val="0"/>
          <w:sz w:val="24"/>
          <w:szCs w:val="24"/>
          <w:lang w:val="en-US" w:eastAsia="zh-CN"/>
        </w:rPr>
      </w:pPr>
      <w:r>
        <w:rPr>
          <w:rFonts w:hint="eastAsia"/>
          <w:u w:val="none"/>
          <w:lang w:val="en-US" w:eastAsia="zh-CN"/>
        </w:rPr>
        <w:t xml:space="preserve">  The first matrix T is a n</w:t>
      </w:r>
      <w:r>
        <w:rPr>
          <w:rFonts w:hint="default" w:ascii="Arial" w:hAnsi="Arial" w:cs="Arial"/>
          <w:u w:val="none"/>
          <w:lang w:val="en-US" w:eastAsia="zh-CN"/>
        </w:rPr>
        <w:t>×</w:t>
      </w:r>
      <w:r>
        <w:rPr>
          <w:rFonts w:hint="eastAsia" w:cs="Arial"/>
          <w:u w:val="none"/>
          <w:lang w:val="en-US" w:eastAsia="zh-CN"/>
        </w:rPr>
        <w:t xml:space="preserve">10 matrix representing firm level topic probability with the row represents the firm and column represents topics. Thus we can use factor </w:t>
      </w:r>
      <m:oMath>
        <m:r>
          <m:rPr/>
          <w:rPr>
            <w:rFonts w:hint="default" w:ascii="DejaVu Math TeX Gyre" w:hAnsi="DejaVu Math TeX Gyre"/>
            <w:sz w:val="24"/>
            <w:szCs w:val="24"/>
          </w:rPr>
          <m:t>θ</m:t>
        </m:r>
      </m:oMath>
      <w:r>
        <m:rPr/>
        <w:rPr>
          <w:rFonts w:hint="eastAsia" w:hAnsi="DejaVu Math TeX Gyre"/>
          <w:i w:val="0"/>
          <w:sz w:val="24"/>
          <w:szCs w:val="24"/>
          <w:lang w:val="en-US" w:eastAsia="zh-CN"/>
        </w:rPr>
        <w:t xml:space="preserve"> to denote each firm</w:t>
      </w:r>
      <w:r>
        <m:rPr/>
        <w:rPr>
          <w:rFonts w:hint="default" w:hAnsi="DejaVu Math TeX Gyre"/>
          <w:i w:val="0"/>
          <w:sz w:val="24"/>
          <w:szCs w:val="24"/>
          <w:lang w:val="en-US" w:eastAsia="zh-CN"/>
        </w:rPr>
        <w:t>’</w:t>
      </w:r>
      <w:r>
        <m:rPr/>
        <w:rPr>
          <w:rFonts w:hint="eastAsia" w:hAnsi="DejaVu Math TeX Gyre"/>
          <w:i w:val="0"/>
          <w:sz w:val="24"/>
          <w:szCs w:val="24"/>
          <w:lang w:val="en-US" w:eastAsia="zh-CN"/>
        </w:rPr>
        <w:t>s probability of each topic</w:t>
      </w:r>
      <w:r>
        <m:rPr/>
        <w:rPr>
          <w:rFonts w:hint="default" w:hAnsi="DejaVu Math TeX Gyre"/>
          <w:i w:val="0"/>
          <w:sz w:val="24"/>
          <w:szCs w:val="24"/>
          <w:lang w:val="en-US" w:eastAsia="zh-CN"/>
        </w:rPr>
        <w:t>’</w:t>
      </w:r>
      <w:r>
        <m:rPr/>
        <w:rPr>
          <w:rFonts w:hint="eastAsia" w:hAnsi="DejaVu Math TeX Gyre"/>
          <w:i w:val="0"/>
          <w:sz w:val="24"/>
          <w:szCs w:val="24"/>
          <w:lang w:val="en-US" w:eastAsia="zh-CN"/>
        </w:rPr>
        <w:t xml:space="preserve">s probability, for example, </w:t>
      </w:r>
      <m:oMath>
        <m:sSub>
          <m:sSubPr>
            <m:ctrlPr>
              <m:rPr/>
              <w:rPr>
                <w:rFonts w:hint="default" w:ascii="DejaVu Math TeX Gyre" w:hAnsi="DejaVu Math TeX Gyre"/>
                <w:i/>
                <w:sz w:val="24"/>
                <w:szCs w:val="24"/>
              </w:rPr>
            </m:ctrlPr>
          </m:sSubPr>
          <m:e>
            <m:r>
              <m:rPr/>
              <w:rPr>
                <w:rFonts w:hint="default" w:ascii="DejaVu Math TeX Gyre" w:hAnsi="DejaVu Math TeX Gyre"/>
                <w:sz w:val="24"/>
                <w:szCs w:val="24"/>
              </w:rPr>
              <m:t>θ</m:t>
            </m:r>
            <m:ctrlPr>
              <m:rPr/>
              <w:rPr>
                <w:rFonts w:hint="default" w:ascii="DejaVu Math TeX Gyre" w:hAnsi="DejaVu Math TeX Gyre"/>
                <w:i/>
                <w:sz w:val="24"/>
                <w:szCs w:val="24"/>
              </w:rPr>
            </m:ctrlPr>
          </m:e>
          <m:sub>
            <m:r>
              <m:rPr/>
              <w:rPr>
                <w:rFonts w:hint="default" w:ascii="DejaVu Math TeX Gyre" w:hAnsi="DejaVu Math TeX Gyre"/>
                <w:sz w:val="24"/>
                <w:szCs w:val="24"/>
                <w:lang w:val="en-US" w:eastAsia="zh-CN"/>
              </w:rPr>
              <m:t>11</m:t>
            </m:r>
            <m:ctrlPr>
              <m:rPr/>
              <w:rPr>
                <w:rFonts w:hint="default" w:ascii="DejaVu Math TeX Gyre" w:hAnsi="DejaVu Math TeX Gyre"/>
                <w:i/>
                <w:sz w:val="24"/>
                <w:szCs w:val="24"/>
              </w:rPr>
            </m:ctrlPr>
          </m:sub>
        </m:sSub>
      </m:oMath>
      <w:r>
        <m:rPr/>
        <w:rPr>
          <w:rFonts w:hint="eastAsia" w:hAnsi="DejaVu Math TeX Gyre"/>
          <w:i w:val="0"/>
          <w:sz w:val="24"/>
          <w:szCs w:val="24"/>
          <w:lang w:val="en-US" w:eastAsia="zh-CN"/>
        </w:rPr>
        <w:t xml:space="preserve"> represents firm1</w:t>
      </w:r>
      <w:r>
        <m:rPr/>
        <w:rPr>
          <w:rFonts w:hint="default" w:hAnsi="DejaVu Math TeX Gyre"/>
          <w:i w:val="0"/>
          <w:sz w:val="24"/>
          <w:szCs w:val="24"/>
          <w:lang w:val="en-US" w:eastAsia="zh-CN"/>
        </w:rPr>
        <w:t>’</w:t>
      </w:r>
      <w:r>
        <m:rPr/>
        <w:rPr>
          <w:rFonts w:hint="eastAsia" w:hAnsi="DejaVu Math TeX Gyre"/>
          <w:i w:val="0"/>
          <w:sz w:val="24"/>
          <w:szCs w:val="24"/>
          <w:lang w:val="en-US" w:eastAsia="zh-CN"/>
        </w:rPr>
        <w:t>s topic1 probability. The matrix is as follows:</w:t>
      </w:r>
    </w:p>
    <w:p w14:paraId="60898667">
      <w:pPr>
        <w:numPr>
          <w:ilvl w:val="0"/>
          <w:numId w:val="0"/>
        </w:numPr>
        <m:rPr/>
        <w:rPr>
          <w:rFonts w:hint="default" w:hAnsi="DejaVu Math TeX Gyre" w:eastAsiaTheme="minorEastAsia"/>
          <w:b/>
          <w:i w:val="0"/>
          <w:sz w:val="24"/>
          <w:szCs w:val="24"/>
        </w:rPr>
      </w:pPr>
    </w:p>
    <w:p w14:paraId="62F4D64C">
      <w:pPr>
        <w:numPr>
          <w:ilvl w:val="0"/>
          <w:numId w:val="0"/>
        </w:numPr>
        <m:rPr/>
        <w:rPr>
          <w:rFonts w:hint="default" w:hAnsi="DejaVu Math TeX Gyre"/>
          <w:i w:val="0"/>
          <w:sz w:val="24"/>
          <w:szCs w:val="24"/>
          <w:lang w:val="en-US" w:eastAsia="zh-CN"/>
        </w:rPr>
      </w:pPr>
      <m:oMathPara>
        <m:oMath>
          <m:r>
            <m:rPr>
              <m:sty m:val="b"/>
            </m:rPr>
            <w:rPr>
              <w:rFonts w:hint="default" w:ascii="DejaVu Math TeX Gyre" w:hAnsi="DejaVu Math TeX Gyre" w:eastAsiaTheme="minorEastAsia"/>
              <w:sz w:val="24"/>
              <w:szCs w:val="24"/>
            </w:rPr>
            <m:t>T</m:t>
          </m:r>
          <m:r>
            <m:rPr/>
            <w:rPr>
              <w:rFonts w:hint="default" w:ascii="DejaVu Math TeX Gyre" w:hAnsi="DejaVu Math TeX Gyre" w:eastAsiaTheme="minorEastAsia"/>
              <w:sz w:val="24"/>
              <w:szCs w:val="24"/>
            </w:rPr>
            <m:t>=</m:t>
          </m:r>
          <m:d>
            <m:dPr>
              <m:begChr m:val="["/>
              <m:endChr m:val="]"/>
              <m:ctrlPr>
                <w:rPr>
                  <w:rFonts w:hint="default" w:ascii="DejaVu Math TeX Gyre" w:hAnsi="DejaVu Math TeX Gyre" w:eastAsiaTheme="minorEastAsia"/>
                  <w:i/>
                  <w:sz w:val="24"/>
                  <w:szCs w:val="24"/>
                </w:rPr>
              </m:ctrlPr>
            </m:dPr>
            <m:e>
              <m:m>
                <m:mPr>
                  <m:mcs>
                    <m:mc>
                      <m:mcPr>
                        <m:count m:val="4"/>
                        <m:mcJc m:val="center"/>
                      </m:mcPr>
                    </m:mc>
                  </m:mcs>
                  <m:plcHide m:val="1"/>
                  <m:ctrlPr>
                    <w:rPr>
                      <w:rFonts w:hint="default" w:ascii="DejaVu Math TeX Gyre" w:hAnsi="DejaVu Math TeX Gyre" w:eastAsiaTheme="minorEastAsia"/>
                      <w:i/>
                      <w:sz w:val="24"/>
                      <w:szCs w:val="24"/>
                    </w:rPr>
                  </m:ctrlPr>
                </m:mP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10</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19</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20</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21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29</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t>
                        </m:r>
                        <m:r>
                          <m:rPr/>
                          <w:rPr>
                            <w:rFonts w:hint="default" w:ascii="DejaVu Math TeX Gyre" w:hAnsi="DejaVu Math TeX Gyre" w:eastAsiaTheme="minorEastAsia"/>
                            <w:sz w:val="24"/>
                            <w:szCs w:val="24"/>
                          </w:rPr>
                          <m:t>0</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t>
                        </m:r>
                        <m:r>
                          <m:rPr/>
                          <w:rPr>
                            <w:rFonts w:hint="default" w:ascii="DejaVu Math TeX Gyre" w:hAnsi="DejaVu Math TeX Gyre" w:eastAsiaTheme="minorEastAsia"/>
                            <w:sz w:val="24"/>
                            <w:szCs w:val="24"/>
                          </w:rPr>
                          <m:t>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θ</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t>
                        </m:r>
                        <m:r>
                          <m:rPr/>
                          <w:rPr>
                            <w:rFonts w:hint="default" w:ascii="DejaVu Math TeX Gyre" w:hAnsi="DejaVu Math TeX Gyre" w:eastAsiaTheme="minorEastAsia"/>
                            <w:sz w:val="24"/>
                            <w:szCs w:val="24"/>
                          </w:rPr>
                          <m:t>9</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
              <m:ctrlPr>
                <w:rPr>
                  <w:rFonts w:hint="default" w:ascii="DejaVu Math TeX Gyre" w:hAnsi="DejaVu Math TeX Gyre" w:eastAsiaTheme="minorEastAsia"/>
                  <w:i/>
                  <w:sz w:val="24"/>
                  <w:szCs w:val="24"/>
                </w:rPr>
              </m:ctrlPr>
            </m:e>
          </m:d>
        </m:oMath>
      </m:oMathPara>
    </w:p>
    <w:p w14:paraId="3E7BF15E">
      <w:pPr>
        <w:numPr>
          <w:ilvl w:val="0"/>
          <w:numId w:val="0"/>
        </w:numPr>
        <w:rPr>
          <w:rFonts w:hint="default"/>
          <w:u w:val="none"/>
          <w:lang w:val="en-US" w:eastAsia="zh-CN"/>
        </w:rPr>
      </w:pPr>
    </w:p>
    <w:p w14:paraId="39E8419C">
      <w:pPr>
        <w:numPr>
          <w:ilvl w:val="0"/>
          <w:numId w:val="0"/>
        </w:numPr>
        <w:rPr>
          <w:rFonts w:hint="default"/>
          <w:u w:val="none"/>
          <w:lang w:val="en-US" w:eastAsia="zh-CN"/>
        </w:rPr>
      </w:pPr>
      <w:r>
        <w:rPr>
          <w:rFonts w:hint="eastAsia"/>
          <w:u w:val="none"/>
          <w:lang w:val="en-US" w:eastAsia="zh-CN"/>
        </w:rPr>
        <w:t xml:space="preserve"> </w:t>
      </w:r>
    </w:p>
    <w:p w14:paraId="518A3FC4">
      <w:pPr>
        <w:numPr>
          <w:ilvl w:val="0"/>
          <w:numId w:val="0"/>
        </w:numPr>
        <m:rPr/>
        <w:rPr>
          <w:rFonts w:hint="eastAsia" w:hAnsi="Cambria Math" w:cs="Times New Roman"/>
          <w:i w:val="0"/>
          <w:kern w:val="2"/>
          <w:sz w:val="21"/>
          <w:szCs w:val="24"/>
          <w:u w:val="none"/>
          <w:lang w:val="en-US" w:eastAsia="zh-CN" w:bidi="ar-SA"/>
        </w:rPr>
      </w:pPr>
      <w:r>
        <w:rPr>
          <w:rFonts w:hint="eastAsia"/>
          <w:u w:val="none"/>
          <w:lang w:val="en-US" w:eastAsia="zh-CN"/>
        </w:rPr>
        <w:t xml:space="preserve">  The second matrix L is a 10</w:t>
      </w:r>
      <w:r>
        <w:rPr>
          <w:rFonts w:hint="default" w:ascii="Arial" w:hAnsi="Arial" w:cs="Arial"/>
          <w:u w:val="none"/>
          <w:lang w:val="en-US" w:eastAsia="zh-CN"/>
        </w:rPr>
        <w:t>×</w:t>
      </w:r>
      <w:r>
        <w:rPr>
          <w:rFonts w:hint="eastAsia"/>
          <w:u w:val="none"/>
          <w:lang w:val="en-US" w:eastAsia="zh-CN"/>
        </w:rPr>
        <w:t>m matrix representing topic0 to topic9 with their corresponding labels</w:t>
      </w:r>
      <w:r>
        <w:rPr>
          <w:rFonts w:hint="default"/>
          <w:u w:val="none"/>
          <w:lang w:val="en-US" w:eastAsia="zh-CN"/>
        </w:rPr>
        <w:t>’</w:t>
      </w:r>
      <w:r>
        <w:rPr>
          <w:rFonts w:hint="eastAsia"/>
          <w:u w:val="none"/>
          <w:lang w:val="en-US" w:eastAsia="zh-CN"/>
        </w:rPr>
        <w:t xml:space="preserve"> scores. Where each row denotes for each topic and each column denotes for each label, using r represents each label</w:t>
      </w:r>
      <w:r>
        <w:rPr>
          <w:rFonts w:hint="default"/>
          <w:u w:val="none"/>
          <w:lang w:val="en-US" w:eastAsia="zh-CN"/>
        </w:rPr>
        <w:t>’</w:t>
      </w:r>
      <w:r>
        <w:rPr>
          <w:rFonts w:hint="eastAsia"/>
          <w:u w:val="none"/>
          <w:lang w:val="en-US" w:eastAsia="zh-CN"/>
        </w:rPr>
        <w:t xml:space="preserve">s score towards each topic. Again, </w:t>
      </w:r>
      <m:oMath>
        <m:sSub>
          <m:sSubPr>
            <m:ctrlPr>
              <m:rPr/>
              <w:rPr>
                <w:rFonts w:hint="default" w:ascii="Cambria Math" w:hAnsi="Cambria Math" w:cs="Times New Roman"/>
                <w:i/>
                <w:kern w:val="2"/>
                <w:sz w:val="21"/>
                <w:szCs w:val="24"/>
                <w:u w:val="none"/>
                <w:lang w:val="en-US" w:eastAsia="zh-CN" w:bidi="ar-SA"/>
              </w:rPr>
            </m:ctrlPr>
          </m:sSubPr>
          <m:e>
            <m:r>
              <m:rPr/>
              <w:rPr>
                <w:rFonts w:hint="default" w:ascii="Cambria Math" w:hAnsi="Cambria Math" w:cs="Times New Roman"/>
                <w:kern w:val="2"/>
                <w:sz w:val="21"/>
                <w:szCs w:val="24"/>
                <w:u w:val="none"/>
                <w:lang w:val="en-US" w:eastAsia="zh-CN" w:bidi="ar-SA"/>
              </w:rPr>
              <m:t>r</m:t>
            </m:r>
            <m:ctrlPr>
              <m:rPr/>
              <w:rPr>
                <w:rFonts w:hint="default" w:ascii="Cambria Math" w:hAnsi="Cambria Math" w:cs="Times New Roman"/>
                <w:i/>
                <w:kern w:val="2"/>
                <w:sz w:val="21"/>
                <w:szCs w:val="24"/>
                <w:u w:val="none"/>
                <w:lang w:val="en-US" w:eastAsia="zh-CN" w:bidi="ar-SA"/>
              </w:rPr>
            </m:ctrlPr>
          </m:e>
          <m:sub>
            <m:r>
              <m:rPr/>
              <w:rPr>
                <w:rFonts w:hint="default" w:ascii="Cambria Math" w:hAnsi="Cambria Math" w:cs="Times New Roman"/>
                <w:kern w:val="2"/>
                <w:sz w:val="21"/>
                <w:szCs w:val="24"/>
                <w:u w:val="none"/>
                <w:lang w:val="en-US" w:eastAsia="zh-CN" w:bidi="ar-SA"/>
              </w:rPr>
              <m:t>01</m:t>
            </m:r>
            <m:ctrlPr>
              <m:rPr/>
              <w:rPr>
                <w:rFonts w:hint="default" w:ascii="Cambria Math" w:hAnsi="Cambria Math" w:cs="Times New Roman"/>
                <w:i/>
                <w:kern w:val="2"/>
                <w:sz w:val="21"/>
                <w:szCs w:val="24"/>
                <w:u w:val="none"/>
                <w:lang w:val="en-US" w:eastAsia="zh-CN" w:bidi="ar-SA"/>
              </w:rPr>
            </m:ctrlPr>
          </m:sub>
        </m:sSub>
      </m:oMath>
      <w:r>
        <m:rPr/>
        <w:rPr>
          <w:rFonts w:hint="eastAsia" w:hAnsi="Cambria Math" w:cs="Times New Roman"/>
          <w:i w:val="0"/>
          <w:kern w:val="2"/>
          <w:sz w:val="21"/>
          <w:szCs w:val="24"/>
          <w:u w:val="none"/>
          <w:lang w:val="en-US" w:eastAsia="zh-CN" w:bidi="ar-SA"/>
        </w:rPr>
        <w:t xml:space="preserve"> is topic0</w:t>
      </w:r>
      <w:r>
        <m:rPr/>
        <w:rPr>
          <w:rFonts w:hint="default" w:hAnsi="Cambria Math" w:cs="Times New Roman"/>
          <w:i w:val="0"/>
          <w:kern w:val="2"/>
          <w:sz w:val="21"/>
          <w:szCs w:val="24"/>
          <w:u w:val="none"/>
          <w:lang w:val="en-US" w:eastAsia="zh-CN" w:bidi="ar-SA"/>
        </w:rPr>
        <w:t>’</w:t>
      </w:r>
      <w:r>
        <m:rPr/>
        <w:rPr>
          <w:rFonts w:hint="eastAsia" w:hAnsi="Cambria Math" w:cs="Times New Roman"/>
          <w:i w:val="0"/>
          <w:kern w:val="2"/>
          <w:sz w:val="21"/>
          <w:szCs w:val="24"/>
          <w:u w:val="none"/>
          <w:lang w:val="en-US" w:eastAsia="zh-CN" w:bidi="ar-SA"/>
        </w:rPr>
        <w:t>s score of label1. Showing the matrix:</w:t>
      </w:r>
    </w:p>
    <w:p w14:paraId="25C7EF97">
      <w:pPr>
        <w:numPr>
          <w:ilvl w:val="0"/>
          <w:numId w:val="0"/>
        </w:numPr>
        <m:rPr/>
        <w:rPr>
          <w:rFonts w:hint="default" w:hAnsi="Cambria Math" w:cs="Times New Roman"/>
          <w:i w:val="0"/>
          <w:kern w:val="2"/>
          <w:sz w:val="21"/>
          <w:szCs w:val="24"/>
          <w:u w:val="none"/>
          <w:lang w:val="en-US" w:eastAsia="zh-CN" w:bidi="ar-SA"/>
        </w:rPr>
      </w:pPr>
      <m:oMathPara>
        <m:oMath>
          <m:r>
            <m:rPr>
              <m:sty m:val="b"/>
            </m:rPr>
            <w:rPr>
              <w:rFonts w:hint="default" w:ascii="DejaVu Math TeX Gyre" w:hAnsi="DejaVu Math TeX Gyre" w:eastAsiaTheme="minorEastAsia"/>
              <w:sz w:val="24"/>
              <w:szCs w:val="24"/>
            </w:rPr>
            <m:t>L</m:t>
          </m:r>
          <m:r>
            <m:rPr/>
            <w:rPr>
              <w:rFonts w:hint="default" w:ascii="DejaVu Math TeX Gyre" w:hAnsi="DejaVu Math TeX Gyre" w:eastAsiaTheme="minorEastAsia"/>
              <w:sz w:val="24"/>
              <w:szCs w:val="24"/>
            </w:rPr>
            <m:t>=</m:t>
          </m:r>
          <m:d>
            <m:dPr>
              <m:begChr m:val="["/>
              <m:endChr m:val="]"/>
              <m:ctrlPr>
                <w:rPr>
                  <w:rFonts w:hint="default" w:ascii="DejaVu Math TeX Gyre" w:hAnsi="DejaVu Math TeX Gyre" w:eastAsiaTheme="minorEastAsia"/>
                  <w:i/>
                  <w:sz w:val="24"/>
                  <w:szCs w:val="24"/>
                </w:rPr>
              </m:ctrlPr>
            </m:dPr>
            <m:e>
              <m:m>
                <m:mPr>
                  <m:mcs>
                    <m:mc>
                      <m:mcPr>
                        <m:count m:val="4"/>
                        <m:mcJc m:val="center"/>
                      </m:mcPr>
                    </m:mc>
                  </m:mcs>
                  <m:plcHide m:val="1"/>
                  <m:ctrlPr>
                    <w:rPr>
                      <w:rFonts w:hint="default" w:ascii="DejaVu Math TeX Gyre" w:hAnsi="DejaVu Math TeX Gyre" w:eastAsiaTheme="minorEastAsia"/>
                      <w:i/>
                      <w:sz w:val="24"/>
                      <w:szCs w:val="24"/>
                    </w:rPr>
                  </m:ctrlPr>
                </m:mP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m:t>
                        </m:r>
                        <m:r>
                          <m:rPr/>
                          <w:rPr>
                            <w:rFonts w:hint="default" w:ascii="DejaVu Math TeX Gyre" w:hAnsi="DejaVu Math TeX Gyre" w:eastAsiaTheme="minorEastAsia"/>
                            <w:sz w:val="24"/>
                            <w:szCs w:val="24"/>
                            <w:lang w:val="en-US" w:eastAsia="zh-CN"/>
                          </w:rPr>
                          <m:t>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m:t>
                        </m:r>
                        <m:r>
                          <m:rPr/>
                          <w:rPr>
                            <w:rFonts w:hint="default" w:ascii="DejaVu Math TeX Gyre" w:hAnsi="DejaVu Math TeX Gyre" w:eastAsiaTheme="minorEastAsia"/>
                            <w:sz w:val="24"/>
                            <w:szCs w:val="24"/>
                            <w:lang w:val="en-US" w:eastAsia="zh-CN"/>
                          </w:rPr>
                          <m:t>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91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92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w:rPr>
                            <w:rFonts w:hint="default" w:ascii="DejaVu Math TeX Gyre" w:hAnsi="DejaVu Math TeX Gyre" w:eastAsiaTheme="minorEastAsia"/>
                            <w:sz w:val="24"/>
                            <w:szCs w:val="24"/>
                          </w:rPr>
                          <m:t>r</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9</m:t>
                        </m:r>
                        <m:r>
                          <m:rPr/>
                          <w:rPr>
                            <w:rFonts w:hint="default" w:ascii="DejaVu Math TeX Gyre" w:hAnsi="DejaVu Math TeX Gyre" w:eastAsiaTheme="minorEastAsia"/>
                            <w:sz w:val="24"/>
                            <w:szCs w:val="24"/>
                            <w:lang w:val="en-US" w:eastAsia="zh-CN"/>
                          </w:rPr>
                          <m:t>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
              <m:ctrlPr>
                <w:rPr>
                  <w:rFonts w:hint="default" w:ascii="DejaVu Math TeX Gyre" w:hAnsi="DejaVu Math TeX Gyre" w:eastAsiaTheme="minorEastAsia"/>
                  <w:i/>
                  <w:sz w:val="24"/>
                  <w:szCs w:val="24"/>
                </w:rPr>
              </m:ctrlPr>
            </m:e>
          </m:d>
        </m:oMath>
      </m:oMathPara>
    </w:p>
    <w:p w14:paraId="1EE783AC">
      <w:pPr>
        <w:numPr>
          <w:ilvl w:val="0"/>
          <w:numId w:val="0"/>
        </w:numPr>
        <w:rPr>
          <w:rFonts w:hint="default"/>
          <w:u w:val="none"/>
          <w:lang w:val="en-US" w:eastAsia="zh-CN"/>
        </w:rPr>
      </w:pPr>
    </w:p>
    <w:p w14:paraId="324CEB71">
      <w:pPr>
        <w:numPr>
          <w:ilvl w:val="0"/>
          <w:numId w:val="0"/>
        </w:numPr>
        <w:rPr>
          <w:rFonts w:hint="eastAsia" w:hAnsi="Cambria Math"/>
          <w:i w:val="0"/>
          <w:u w:val="none"/>
          <w:lang w:val="en-US" w:eastAsia="zh-CN"/>
        </w:rPr>
      </w:pPr>
      <w:r>
        <w:rPr>
          <w:rFonts w:hint="eastAsia"/>
          <w:u w:val="none"/>
          <w:lang w:val="en-US" w:eastAsia="zh-CN"/>
        </w:rPr>
        <w:t xml:space="preserve">  Then, we can multiply the two matrix to get a matrix representing firm level monthly risk intensity towards each label. After multiply, matrix E is a matrix has n rows and m columns: Each row represents each firm and each column represents each label and E denotes each firm</w:t>
      </w:r>
      <w:r>
        <w:rPr>
          <w:rFonts w:hint="default"/>
          <w:u w:val="none"/>
          <w:lang w:val="en-US" w:eastAsia="zh-CN"/>
        </w:rPr>
        <w:t>’</w:t>
      </w:r>
      <w:r>
        <w:rPr>
          <w:rFonts w:hint="eastAsia"/>
          <w:u w:val="none"/>
          <w:lang w:val="en-US" w:eastAsia="zh-CN"/>
        </w:rPr>
        <w:t xml:space="preserve">s risk intensity of each label. Similarly, </w:t>
      </w:r>
      <m:oMath>
        <m:sSub>
          <m:sSubPr>
            <m:ctrlPr>
              <w:rPr>
                <w:rFonts w:ascii="Cambria Math" w:hAnsi="Cambria Math"/>
                <w:i/>
                <w:u w:val="none"/>
                <w:lang w:val="en-US"/>
              </w:rPr>
            </m:ctrlPr>
          </m:sSubPr>
          <m:e>
            <m:r>
              <m:rPr/>
              <w:rPr>
                <w:rFonts w:hint="default" w:ascii="Cambria Math" w:hAnsi="Cambria Math"/>
                <w:u w:val="none"/>
                <w:lang w:val="en-US" w:eastAsia="zh-CN"/>
              </w:rPr>
              <m:t>E</m:t>
            </m:r>
            <m:ctrlPr>
              <w:rPr>
                <w:rFonts w:ascii="Cambria Math" w:hAnsi="Cambria Math"/>
                <w:i/>
                <w:u w:val="none"/>
                <w:lang w:val="en-US"/>
              </w:rPr>
            </m:ctrlPr>
          </m:e>
          <m:sub>
            <m:r>
              <m:rPr/>
              <w:rPr>
                <w:rFonts w:hint="default" w:ascii="Cambria Math" w:hAnsi="Cambria Math"/>
                <w:u w:val="none"/>
                <w:lang w:val="en-US" w:eastAsia="zh-CN"/>
              </w:rPr>
              <m:t>11</m:t>
            </m:r>
            <m:ctrlPr>
              <w:rPr>
                <w:rFonts w:ascii="Cambria Math" w:hAnsi="Cambria Math"/>
                <w:i/>
                <w:u w:val="none"/>
                <w:lang w:val="en-US"/>
              </w:rPr>
            </m:ctrlPr>
          </m:sub>
        </m:sSub>
      </m:oMath>
      <w:r>
        <w:rPr>
          <w:rFonts w:hint="eastAsia" w:hAnsi="Cambria Math"/>
          <w:i w:val="0"/>
          <w:u w:val="none"/>
          <w:lang w:val="en-US" w:eastAsia="zh-CN"/>
        </w:rPr>
        <w:t xml:space="preserve"> is firm1</w:t>
      </w:r>
      <w:r>
        <w:rPr>
          <w:rFonts w:hint="default" w:hAnsi="Cambria Math"/>
          <w:i w:val="0"/>
          <w:u w:val="none"/>
          <w:lang w:val="en-US" w:eastAsia="zh-CN"/>
        </w:rPr>
        <w:t>’</w:t>
      </w:r>
      <w:r>
        <w:rPr>
          <w:rFonts w:hint="eastAsia" w:hAnsi="Cambria Math"/>
          <w:i w:val="0"/>
          <w:u w:val="none"/>
          <w:lang w:val="en-US" w:eastAsia="zh-CN"/>
        </w:rPr>
        <w:t>s risk intensity of label1.</w:t>
      </w:r>
    </w:p>
    <w:p w14:paraId="339E3F05">
      <w:pPr>
        <w:numPr>
          <w:ilvl w:val="0"/>
          <w:numId w:val="0"/>
        </w:numPr>
        <w:rPr>
          <w:rFonts w:hint="default" w:hAnsi="DejaVu Math TeX Gyre" w:eastAsiaTheme="minorEastAsia"/>
          <w:i w:val="0"/>
          <w:sz w:val="24"/>
          <w:szCs w:val="24"/>
        </w:rPr>
      </w:pPr>
      <m:oMathPara>
        <m:oMath>
          <m:r>
            <m:rPr/>
            <w:rPr>
              <w:rFonts w:hint="default" w:ascii="DejaVu Math TeX Gyre" w:hAnsi="DejaVu Math TeX Gyre" w:eastAsiaTheme="minorEastAsia"/>
              <w:sz w:val="24"/>
              <w:szCs w:val="24"/>
              <w:lang w:val="en-US" w:eastAsia="zh-CN"/>
            </w:rPr>
            <m:t>E</m:t>
          </m:r>
          <m:r>
            <m:rPr/>
            <w:rPr>
              <w:rFonts w:hint="default" w:ascii="DejaVu Math TeX Gyre" w:hAnsi="DejaVu Math TeX Gyre" w:eastAsiaTheme="minorEastAsia"/>
              <w:sz w:val="24"/>
              <w:szCs w:val="24"/>
            </w:rPr>
            <m:t>=</m:t>
          </m:r>
          <m:d>
            <m:dPr>
              <m:begChr m:val="["/>
              <m:endChr m:val="]"/>
              <m:ctrlPr>
                <w:rPr>
                  <w:rFonts w:hint="default" w:ascii="DejaVu Math TeX Gyre" w:hAnsi="DejaVu Math TeX Gyre" w:eastAsiaTheme="minorEastAsia"/>
                  <w:i/>
                  <w:sz w:val="24"/>
                  <w:szCs w:val="24"/>
                </w:rPr>
              </m:ctrlPr>
            </m:dPr>
            <m:e>
              <m:m>
                <m:mPr>
                  <m:mcs>
                    <m:mc>
                      <m:mcPr>
                        <m:count m:val="4"/>
                        <m:mcJc m:val="center"/>
                      </m:mcPr>
                    </m:mc>
                  </m:mcs>
                  <m:plcHide m:val="1"/>
                  <m:ctrlPr>
                    <w:rPr>
                      <w:rFonts w:hint="default" w:ascii="DejaVu Math TeX Gyre" w:hAnsi="DejaVu Math TeX Gyre" w:eastAsiaTheme="minorEastAsia"/>
                      <w:i/>
                      <w:sz w:val="24"/>
                      <w:szCs w:val="24"/>
                    </w:rPr>
                  </m:ctrlPr>
                </m:mPr>
                <m:mr>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0</m:t>
                        </m:r>
                        <m:r>
                          <m:rPr/>
                          <w:rPr>
                            <w:rFonts w:hint="default" w:ascii="DejaVu Math TeX Gyre" w:hAnsi="DejaVu Math TeX Gyre" w:eastAsiaTheme="minorEastAsia"/>
                            <w:sz w:val="24"/>
                            <w:szCs w:val="24"/>
                            <w:lang w:val="en-US" w:eastAsia="zh-CN"/>
                          </w:rPr>
                          <m:t>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rPr>
                          <m:t>1</m:t>
                        </m:r>
                        <m:r>
                          <m:rPr/>
                          <w:rPr>
                            <w:rFonts w:hint="default" w:ascii="DejaVu Math TeX Gyre" w:hAnsi="DejaVu Math TeX Gyre" w:eastAsiaTheme="minorEastAsia"/>
                            <w:sz w:val="24"/>
                            <w:szCs w:val="24"/>
                            <w:lang w:val="en-US" w:eastAsia="zh-CN"/>
                          </w:rPr>
                          <m:t>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r>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mr>
                <m:mr>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t>
                        </m:r>
                        <m:r>
                          <m:rPr/>
                          <w:rPr>
                            <w:rFonts w:hint="default" w:ascii="DejaVu Math TeX Gyre" w:hAnsi="DejaVu Math TeX Gyre" w:eastAsiaTheme="minorEastAsia"/>
                            <w:sz w:val="24"/>
                            <w:szCs w:val="24"/>
                          </w:rPr>
                          <m:t>1</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t>
                        </m:r>
                        <m:r>
                          <m:rPr/>
                          <w:rPr>
                            <w:rFonts w:hint="default" w:ascii="DejaVu Math TeX Gyre" w:hAnsi="DejaVu Math TeX Gyre" w:eastAsiaTheme="minorEastAsia"/>
                            <w:sz w:val="24"/>
                            <w:szCs w:val="24"/>
                          </w:rPr>
                          <m:t>2</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e>
                    <m:r>
                      <m:rPr/>
                      <w:rPr>
                        <w:rFonts w:hint="default" w:ascii="DejaVu Math TeX Gyre" w:hAnsi="DejaVu Math TeX Gyre" w:eastAsiaTheme="minorEastAsia"/>
                        <w:sz w:val="24"/>
                        <w:szCs w:val="24"/>
                      </w:rPr>
                      <m:t>⋯</m:t>
                    </m:r>
                    <m:ctrlPr>
                      <w:rPr>
                        <w:rFonts w:hint="default" w:ascii="DejaVu Math TeX Gyre" w:hAnsi="DejaVu Math TeX Gyre" w:eastAsiaTheme="minorEastAsia"/>
                        <w:sz w:val="24"/>
                        <w:szCs w:val="24"/>
                      </w:rPr>
                    </m:ctrlPr>
                  </m:e>
                  <m:e>
                    <m:sSub>
                      <m:sSubPr>
                        <m:ctrlPr>
                          <w:rPr>
                            <w:rFonts w:hint="default" w:ascii="DejaVu Math TeX Gyre" w:hAnsi="DejaVu Math TeX Gyre" w:eastAsiaTheme="minorEastAsia"/>
                            <w:sz w:val="24"/>
                            <w:szCs w:val="24"/>
                          </w:rPr>
                        </m:ctrlPr>
                      </m:sSubPr>
                      <m:e>
                        <m:r>
                          <m:rPr>
                            <m:sty m:val="p"/>
                          </m:rPr>
                          <w:rPr>
                            <w:rFonts w:hint="default" w:ascii="DejaVu Math TeX Gyre" w:hAnsi="DejaVu Math TeX Gyre" w:eastAsiaTheme="minorEastAsia"/>
                            <w:sz w:val="24"/>
                            <w:szCs w:val="24"/>
                            <w:lang w:val="en-US" w:eastAsia="zh-CN"/>
                          </w:rPr>
                          <m:t>E</m:t>
                        </m:r>
                        <m:ctrlPr>
                          <w:rPr>
                            <w:rFonts w:ascii="DejaVu Math TeX Gyre" w:hAnsi="DejaVu Math TeX Gyre" w:eastAsiaTheme="minorEastAsia"/>
                            <w:sz w:val="24"/>
                            <w:szCs w:val="24"/>
                          </w:rPr>
                        </m:ctrlPr>
                      </m:e>
                      <m:sub>
                        <m:r>
                          <m:rPr/>
                          <w:rPr>
                            <w:rFonts w:hint="default" w:ascii="DejaVu Math TeX Gyre" w:hAnsi="DejaVu Math TeX Gyre" w:eastAsiaTheme="minorEastAsia"/>
                            <w:sz w:val="24"/>
                            <w:szCs w:val="24"/>
                            <w:lang w:val="en-US" w:eastAsia="zh-CN"/>
                          </w:rPr>
                          <m:t>nm</m:t>
                        </m:r>
                        <m:ctrlPr>
                          <w:rPr>
                            <w:rFonts w:ascii="DejaVu Math TeX Gyre" w:hAnsi="DejaVu Math TeX Gyre" w:eastAsiaTheme="minorEastAsia"/>
                            <w:sz w:val="24"/>
                            <w:szCs w:val="24"/>
                          </w:rPr>
                        </m:ctrlPr>
                      </m:sub>
                    </m:sSub>
                    <m:ctrlPr>
                      <w:rPr>
                        <w:rFonts w:hint="default" w:ascii="DejaVu Math TeX Gyre" w:hAnsi="DejaVu Math TeX Gyre" w:eastAsiaTheme="minorEastAsia"/>
                        <w:sz w:val="24"/>
                        <w:szCs w:val="24"/>
                      </w:rPr>
                    </m:ctrlPr>
                  </m:e>
                </m:mr>
              </m:m>
              <m:ctrlPr>
                <w:rPr>
                  <w:rFonts w:hint="default" w:ascii="DejaVu Math TeX Gyre" w:hAnsi="DejaVu Math TeX Gyre" w:eastAsiaTheme="minorEastAsia"/>
                  <w:i/>
                  <w:sz w:val="24"/>
                  <w:szCs w:val="24"/>
                </w:rPr>
              </m:ctrlPr>
            </m:e>
          </m:d>
        </m:oMath>
      </m:oMathPara>
    </w:p>
    <w:p w14:paraId="31EBF92E">
      <w:pPr>
        <w:numPr>
          <w:ilvl w:val="0"/>
          <w:numId w:val="0"/>
        </w:numPr>
        <w:rPr>
          <w:rFonts w:hint="default" w:hAnsi="DejaVu Math TeX Gyre" w:eastAsiaTheme="minorEastAsia"/>
          <w:i w:val="0"/>
          <w:sz w:val="24"/>
          <w:szCs w:val="24"/>
        </w:rPr>
      </w:pPr>
    </w:p>
    <w:p w14:paraId="78D14A5C">
      <w:pPr>
        <w:numPr>
          <w:ilvl w:val="0"/>
          <w:numId w:val="0"/>
        </w:numPr>
        <w:rPr>
          <w:rFonts w:hint="eastAsia" w:hAnsi="DejaVu Math TeX Gyre" w:eastAsiaTheme="minorEastAsia"/>
          <w:i w:val="0"/>
          <w:sz w:val="24"/>
          <w:szCs w:val="24"/>
          <w:lang w:val="en-US" w:eastAsia="zh-CN"/>
        </w:rPr>
      </w:pPr>
      <w:r>
        <w:rPr>
          <w:rFonts w:hint="eastAsia" w:hAnsi="DejaVu Math TeX Gyre" w:eastAsiaTheme="minorEastAsia"/>
          <w:i w:val="0"/>
          <w:sz w:val="24"/>
          <w:szCs w:val="24"/>
          <w:lang w:val="en-US" w:eastAsia="zh-CN"/>
        </w:rPr>
        <w:t xml:space="preserve">  Therefore, with this matrix calculation we combine the two separate results of the model and obtain the firm level monthly quantitative scores of labels. This is a more result much more specific and address the problem that firms do not have a specific risk and its corresponding risk intensity score.</w:t>
      </w:r>
    </w:p>
    <w:p w14:paraId="26E25253">
      <w:pPr>
        <w:numPr>
          <w:ilvl w:val="0"/>
          <w:numId w:val="0"/>
        </w:numPr>
        <w:rPr>
          <w:rFonts w:hint="eastAsia" w:hAnsi="DejaVu Math TeX Gyre" w:eastAsiaTheme="minorEastAsia"/>
          <w:i w:val="0"/>
          <w:sz w:val="24"/>
          <w:szCs w:val="24"/>
          <w:lang w:val="en-US" w:eastAsia="zh-CN"/>
        </w:rPr>
      </w:pPr>
    </w:p>
    <w:p w14:paraId="45B23FC7">
      <w:pPr>
        <w:numPr>
          <w:ilvl w:val="0"/>
          <w:numId w:val="0"/>
        </w:numPr>
        <w:rPr>
          <w:rFonts w:hint="default" w:hAnsi="DejaVu Math TeX Gyre" w:eastAsiaTheme="minorEastAsia"/>
          <w:i w:val="0"/>
          <w:sz w:val="24"/>
          <w:szCs w:val="24"/>
          <w:lang w:val="en-US" w:eastAsia="zh-CN"/>
        </w:rPr>
      </w:pPr>
      <w:r>
        <w:rPr>
          <w:rFonts w:hint="eastAsia" w:hAnsi="DejaVu Math TeX Gyre" w:eastAsiaTheme="minorEastAsia"/>
          <w:i w:val="0"/>
          <w:sz w:val="24"/>
          <w:szCs w:val="24"/>
          <w:lang w:val="en-US" w:eastAsia="zh-CN"/>
        </w:rPr>
        <w:t>2.4 Labels Classification</w:t>
      </w:r>
    </w:p>
    <w:p w14:paraId="77E53903">
      <w:pPr>
        <w:numPr>
          <w:ilvl w:val="0"/>
          <w:numId w:val="0"/>
        </w:numPr>
        <w:rPr>
          <w:rFonts w:hint="eastAsia" w:hAnsi="DejaVu Math TeX Gyre" w:eastAsiaTheme="minorEastAsia"/>
          <w:i w:val="0"/>
          <w:sz w:val="24"/>
          <w:szCs w:val="24"/>
          <w:lang w:val="en-US" w:eastAsia="zh-CN"/>
        </w:rPr>
      </w:pPr>
      <w:r>
        <w:rPr>
          <w:rFonts w:hint="eastAsia" w:hAnsi="DejaVu Math TeX Gyre" w:eastAsiaTheme="minorEastAsia"/>
          <w:i w:val="0"/>
          <w:sz w:val="24"/>
          <w:szCs w:val="24"/>
          <w:lang w:val="en-US" w:eastAsia="zh-CN"/>
        </w:rPr>
        <w:t xml:space="preserve">  After calculating the risk intensity, the firm level monthly risk intensity results are obtained. However, Since the above results are processed on industry level, thus each industry</w:t>
      </w:r>
      <w:r>
        <w:rPr>
          <w:rFonts w:hint="default" w:hAnsi="DejaVu Math TeX Gyre" w:eastAsiaTheme="minorEastAsia"/>
          <w:i w:val="0"/>
          <w:sz w:val="24"/>
          <w:szCs w:val="24"/>
          <w:lang w:val="en-US" w:eastAsia="zh-CN"/>
        </w:rPr>
        <w:t>’</w:t>
      </w:r>
      <w:r>
        <w:rPr>
          <w:rFonts w:hint="eastAsia" w:hAnsi="DejaVu Math TeX Gyre" w:eastAsiaTheme="minorEastAsia"/>
          <w:i w:val="0"/>
          <w:sz w:val="24"/>
          <w:szCs w:val="24"/>
          <w:lang w:val="en-US" w:eastAsia="zh-CN"/>
        </w:rPr>
        <w:t xml:space="preserve">s labels varies. In order to find the general risks shared by the whole market, we classify all industries labels into different risk types. </w:t>
      </w:r>
    </w:p>
    <w:p w14:paraId="37B5787E">
      <w:pPr>
        <w:numPr>
          <w:ilvl w:val="0"/>
          <w:numId w:val="0"/>
        </w:numPr>
        <w:rPr>
          <w:rFonts w:hint="default" w:hAnsi="DejaVu Math TeX Gyre" w:eastAsiaTheme="minorEastAsia"/>
          <w:i w:val="0"/>
          <w:sz w:val="24"/>
          <w:szCs w:val="24"/>
          <w:lang w:val="en-US" w:eastAsia="zh-CN"/>
        </w:rPr>
      </w:pPr>
      <w:r>
        <w:rPr>
          <w:rFonts w:hint="eastAsia" w:hAnsi="DejaVu Math TeX Gyre" w:eastAsiaTheme="minorEastAsia"/>
          <w:i w:val="0"/>
          <w:sz w:val="24"/>
          <w:szCs w:val="24"/>
          <w:lang w:val="en-US" w:eastAsia="zh-CN"/>
        </w:rPr>
        <w:t xml:space="preserve">  Firstly, we use Deepseek API to read each year</w:t>
      </w:r>
      <w:r>
        <w:rPr>
          <w:rFonts w:hint="default" w:hAnsi="DejaVu Math TeX Gyre" w:eastAsiaTheme="minorEastAsia"/>
          <w:i w:val="0"/>
          <w:sz w:val="24"/>
          <w:szCs w:val="24"/>
          <w:lang w:val="en-US" w:eastAsia="zh-CN"/>
        </w:rPr>
        <w:t>’</w:t>
      </w:r>
      <w:r>
        <w:rPr>
          <w:rFonts w:hint="eastAsia" w:hAnsi="DejaVu Math TeX Gyre" w:eastAsiaTheme="minorEastAsia"/>
          <w:i w:val="0"/>
          <w:sz w:val="24"/>
          <w:szCs w:val="24"/>
          <w:lang w:val="en-US" w:eastAsia="zh-CN"/>
        </w:rPr>
        <w:t>s labels at once and generate 8 overall risk categories, each has its own representing words. Then, we match risk labels for each firm with 8 risk categories and corresponding representing words to get classification for each year, each label is matched with one risk Category in a classification. After matching, each firm will have the risk intensity scores for classifications, if there are more than one labels for a classifications, these risk intensity represented by labels will be averaged.</w:t>
      </w:r>
      <w:bookmarkStart w:id="0" w:name="_GoBack"/>
      <w:bookmarkEnd w:id="0"/>
    </w:p>
    <w:p w14:paraId="1F3731D1">
      <w:pPr>
        <w:numPr>
          <w:ilvl w:val="0"/>
          <w:numId w:val="0"/>
        </w:numPr>
        <w:rPr>
          <w:rFonts w:hint="default" w:hAnsi="DejaVu Math TeX Gyre" w:eastAsiaTheme="minorEastAsia"/>
          <w:i w:val="0"/>
          <w:sz w:val="24"/>
          <w:szCs w:val="24"/>
          <w:lang w:val="en-US" w:eastAsia="zh-CN"/>
        </w:rPr>
      </w:pPr>
    </w:p>
    <w:p w14:paraId="4EDB52FF">
      <w:pPr>
        <w:numPr>
          <w:ilvl w:val="0"/>
          <w:numId w:val="0"/>
        </w:numPr>
        <w:rPr>
          <w:rFonts w:hint="default" w:hAnsi="DejaVu Math TeX Gyre" w:eastAsiaTheme="minorEastAsia"/>
          <w:i w:val="0"/>
          <w:sz w:val="24"/>
          <w:szCs w:val="24"/>
          <w:lang w:val="en-US" w:eastAsia="zh-CN"/>
        </w:rPr>
      </w:pPr>
      <w:r>
        <w:rPr>
          <w:rFonts w:hint="eastAsia" w:hAnsi="DejaVu Math TeX Gyre" w:eastAsiaTheme="minorEastAsia"/>
          <w:i w:val="0"/>
          <w:sz w:val="24"/>
          <w:szCs w:val="24"/>
          <w:lang w:val="en-US" w:eastAsia="zh-CN"/>
        </w:rPr>
        <w:t xml:space="preserve">    </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872F46"/>
    <w:multiLevelType w:val="singleLevel"/>
    <w:tmpl w:val="7B872F4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5E04ADF"/>
    <w:rsid w:val="183C240D"/>
    <w:rsid w:val="1AA24D9F"/>
    <w:rsid w:val="250C6474"/>
    <w:rsid w:val="28DA2E89"/>
    <w:rsid w:val="2A4254F9"/>
    <w:rsid w:val="2D1F32F4"/>
    <w:rsid w:val="323B4D81"/>
    <w:rsid w:val="34B70380"/>
    <w:rsid w:val="3AE174A3"/>
    <w:rsid w:val="3E1A5671"/>
    <w:rsid w:val="43446334"/>
    <w:rsid w:val="44A84E71"/>
    <w:rsid w:val="477DCE1E"/>
    <w:rsid w:val="573E1E21"/>
    <w:rsid w:val="5B487E91"/>
    <w:rsid w:val="5CF9550F"/>
    <w:rsid w:val="5EFEBDE8"/>
    <w:rsid w:val="68CA2609"/>
    <w:rsid w:val="68CC1AED"/>
    <w:rsid w:val="69BB0F42"/>
    <w:rsid w:val="6A637494"/>
    <w:rsid w:val="6B762BFD"/>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595</Words>
  <Characters>3294</Characters>
  <Lines>0</Lines>
  <Paragraphs>0</Paragraphs>
  <TotalTime>5</TotalTime>
  <ScaleCrop>false</ScaleCrop>
  <LinksUpToDate>false</LinksUpToDate>
  <CharactersWithSpaces>3890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ASUS</dc:creator>
  <cp:lastModifiedBy>影随形</cp:lastModifiedBy>
  <dcterms:modified xsi:type="dcterms:W3CDTF">2026-03-15T03:38:24Z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eyJoZGlkIjoiYzU5MDdlZjZhM2U1NWYxYTFkZWUzYjk3OTQ0NzNlMjciLCJ1c2VySWQiOiI0NDU5NTI5NjkifQ==</vt:lpwstr>
  </property>
  <property fmtid="{D5CDD505-2E9C-101B-9397-08002B2CF9AE}" pid="6" name="ICV">
    <vt:lpwstr>26D1FEDBB3574A5AA569D82C19901FE7_13</vt:lpwstr>
  </property>
</Properties>
</file>