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rial" w:hAnsi="Arial" w:eastAsia="Arial"/>
          <w:b/>
          <w:color w:val="1F4E79"/>
          <w:sz w:val="44"/>
        </w:rPr>
        <w:t>ИНСТРУКЦИЯ</w:t>
      </w:r>
    </w:p>
    <w:p>
      <w:pPr>
        <w:jc w:val="center"/>
      </w:pPr>
      <w:r>
        <w:rPr>
          <w:rFonts w:ascii="Arial" w:hAnsi="Arial" w:eastAsia="Arial"/>
          <w:b/>
          <w:color w:val="323232"/>
          <w:sz w:val="32"/>
        </w:rPr>
        <w:t>по оценке устойчивой динамики, сезонности и деловых циклов</w:t>
        <w:br/>
        <w:t>на основе Google Trends и Яндекс Вордстат</w:t>
      </w:r>
    </w:p>
    <w:p>
      <w:pPr>
        <w:spacing w:before="400"/>
        <w:jc w:val="center"/>
      </w:pPr>
      <w:r>
        <w:rPr>
          <w:rFonts w:ascii="Arial" w:hAnsi="Arial" w:eastAsia="Arial"/>
          <w:sz w:val="22"/>
        </w:rPr>
        <w:t>Практическая методика для изучения интереса аудитории, проверки рыночной гипотезы и подготовки коммерчески обоснованного вывода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6EAF8"/>
          <w:left w:val="single" w:sz="8" w:space="0" w:color="D6EAF8"/>
          <w:bottom w:val="single" w:sz="8" w:space="0" w:color="D6EAF8"/>
          <w:right w:val="single" w:sz="8" w:space="0" w:color="D6EAF8"/>
          <w:insideH w:val="single" w:sz="8" w:space="0" w:color="D6EAF8"/>
          <w:insideV w:val="single" w:sz="8" w:space="0" w:color="D6EAF8"/>
        </w:tblBorders>
      </w:tblPr>
      <w:tblGrid>
        <w:gridCol w:w="10142"/>
      </w:tblGrid>
      <w:tr>
        <w:tc>
          <w:tcPr>
            <w:tcW w:type="dxa" w:w="10142"/>
            <w:shd w:fill="EAF2F8"/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1F4E79"/>
                <w:sz w:val="20"/>
              </w:rPr>
              <w:t>Назначение документа</w:t>
            </w:r>
          </w:p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Инструкция предназначена для последовательной оценки того, растет ли интерес аудитории к выбранной бизнес-идее, имеет ли он сезонные повторения и можно ли обнаружить признаки более широких рыночных колебаний. Методика применима к бизнес-идеям, услугам, товарным категориям, образовательным продуктам и профессиональным компетенциям, включая направление «маркетинг».</w:t>
            </w:r>
          </w:p>
        </w:tc>
      </w:tr>
    </w:tbl>
    <w:p/>
    <w:p>
      <w:pPr>
        <w:spacing w:after="120" w:line="259" w:lineRule="auto"/>
      </w:pPr>
      <w:r>
        <w:rPr>
          <w:rFonts w:ascii="Arial" w:hAnsi="Arial" w:eastAsia="Arial"/>
          <w:b/>
          <w:sz w:val="21"/>
        </w:rPr>
        <w:t>Ключевой принцип:</w:t>
      </w:r>
      <w:r>
        <w:rPr>
          <w:rFonts w:ascii="Arial" w:hAnsi="Arial" w:eastAsia="Arial"/>
          <w:sz w:val="21"/>
        </w:rPr>
        <w:t xml:space="preserve"> поисковые данные показывают не весь рынок, а цифровое поведение аудитории в поисковых системах. Поэтому итоговый вывод должен формулироваться как оценка поискового интереса и использоваться вместе с анализом конкурентов, цен, каналов продаж и платежеспособного спроса.</w:t>
      </w:r>
    </w:p>
    <w:p>
      <w:pPr>
        <w:jc w:val="right"/>
      </w:pPr>
      <w:r>
        <w:rPr>
          <w:rFonts w:ascii="Arial" w:hAnsi="Arial" w:eastAsia="Arial"/>
          <w:i/>
          <w:sz w:val="18"/>
        </w:rPr>
        <w:t>Подготовлено для профессионального применения</w:t>
      </w:r>
    </w:p>
    <w:p>
      <w:r>
        <w:rPr>
          <w:rFonts w:ascii="Arial" w:hAnsi="Arial" w:eastAsia="Arial"/>
        </w:rPr>
        <w:br w:type="page"/>
      </w:r>
    </w:p>
    <w:p>
      <w:pPr>
        <w:pStyle w:val="Heading1"/>
      </w:pPr>
      <w:r>
        <w:rPr>
          <w:rFonts w:ascii="Arial" w:hAnsi="Arial" w:eastAsia="Arial"/>
        </w:rPr>
        <w:t>Содержание</w:t>
      </w:r>
    </w:p>
    <w:p>
      <w:pPr>
        <w:pStyle w:val="ListBullet"/>
        <w:spacing w:after="60"/>
      </w:pPr>
      <w:r>
        <w:rPr>
          <w:rFonts w:ascii="Arial" w:hAnsi="Arial" w:eastAsia="Arial"/>
          <w:sz w:val="20"/>
        </w:rPr>
        <w:t>1. Логика анализа и границы применимости метода</w:t>
      </w:r>
    </w:p>
    <w:p>
      <w:pPr>
        <w:pStyle w:val="ListBullet"/>
        <w:spacing w:after="60"/>
      </w:pPr>
      <w:r>
        <w:rPr>
          <w:rFonts w:ascii="Arial" w:hAnsi="Arial" w:eastAsia="Arial"/>
          <w:sz w:val="20"/>
        </w:rPr>
        <w:t>2. Подготовка поисковых запросов и параметров исследования</w:t>
      </w:r>
    </w:p>
    <w:p>
      <w:pPr>
        <w:pStyle w:val="ListBullet"/>
        <w:spacing w:after="60"/>
      </w:pPr>
      <w:r>
        <w:rPr>
          <w:rFonts w:ascii="Arial" w:hAnsi="Arial" w:eastAsia="Arial"/>
          <w:sz w:val="20"/>
        </w:rPr>
        <w:t>3. Выгрузка и подготовка данных</w:t>
      </w:r>
    </w:p>
    <w:p>
      <w:pPr>
        <w:pStyle w:val="ListBullet"/>
        <w:spacing w:after="60"/>
      </w:pPr>
      <w:r>
        <w:rPr>
          <w:rFonts w:ascii="Arial" w:hAnsi="Arial" w:eastAsia="Arial"/>
          <w:sz w:val="20"/>
        </w:rPr>
        <w:t>4. Оценка устойчивой динамики интереса</w:t>
      </w:r>
    </w:p>
    <w:p>
      <w:pPr>
        <w:pStyle w:val="ListBullet"/>
        <w:spacing w:after="60"/>
      </w:pPr>
      <w:r>
        <w:rPr>
          <w:rFonts w:ascii="Arial" w:hAnsi="Arial" w:eastAsia="Arial"/>
          <w:sz w:val="20"/>
        </w:rPr>
        <w:t>5. Оценка сезонности</w:t>
      </w:r>
    </w:p>
    <w:p>
      <w:pPr>
        <w:pStyle w:val="ListBullet"/>
        <w:spacing w:after="60"/>
      </w:pPr>
      <w:r>
        <w:rPr>
          <w:rFonts w:ascii="Arial" w:hAnsi="Arial" w:eastAsia="Arial"/>
          <w:sz w:val="20"/>
        </w:rPr>
        <w:t>6. Оценка деловых циклов и рыночных колебаний</w:t>
      </w:r>
    </w:p>
    <w:p>
      <w:pPr>
        <w:pStyle w:val="ListBullet"/>
        <w:spacing w:after="60"/>
      </w:pPr>
      <w:r>
        <w:rPr>
          <w:rFonts w:ascii="Arial" w:hAnsi="Arial" w:eastAsia="Arial"/>
          <w:sz w:val="20"/>
        </w:rPr>
        <w:t>7. Интегральная оценка: как объединить выводы Google Trends и Яндекс Вордстат</w:t>
      </w:r>
    </w:p>
    <w:p>
      <w:pPr>
        <w:pStyle w:val="ListBullet"/>
        <w:spacing w:after="60"/>
      </w:pPr>
      <w:r>
        <w:rPr>
          <w:rFonts w:ascii="Arial" w:hAnsi="Arial" w:eastAsia="Arial"/>
          <w:sz w:val="20"/>
        </w:rPr>
        <w:t>8. Пример применения для бизнеса на основе компетенции «маркетинг»</w:t>
      </w:r>
    </w:p>
    <w:p>
      <w:pPr>
        <w:pStyle w:val="ListBullet"/>
        <w:spacing w:after="60"/>
      </w:pPr>
      <w:r>
        <w:rPr>
          <w:rFonts w:ascii="Arial" w:hAnsi="Arial" w:eastAsia="Arial"/>
          <w:sz w:val="20"/>
        </w:rPr>
        <w:t>9. Рабочие таблицы и шаблоны выводов</w:t>
      </w:r>
    </w:p>
    <w:p>
      <w:pPr>
        <w:pStyle w:val="ListBullet"/>
        <w:spacing w:after="60"/>
      </w:pPr>
      <w:r>
        <w:rPr>
          <w:rFonts w:ascii="Arial" w:hAnsi="Arial" w:eastAsia="Arial"/>
          <w:sz w:val="20"/>
        </w:rPr>
        <w:t>10. Контроль качества анализа и типовые ошибки</w:t>
      </w:r>
    </w:p>
    <w:p>
      <w:pPr>
        <w:pStyle w:val="ListBullet"/>
        <w:spacing w:after="60"/>
      </w:pPr>
      <w:r>
        <w:rPr>
          <w:rFonts w:ascii="Arial" w:hAnsi="Arial" w:eastAsia="Arial"/>
          <w:sz w:val="20"/>
        </w:rPr>
        <w:t>11. Источники и справочные материалы</w:t>
      </w:r>
    </w:p>
    <w:p>
      <w:r>
        <w:rPr>
          <w:rFonts w:ascii="Arial" w:hAnsi="Arial" w:eastAsia="Arial"/>
        </w:rPr>
        <w:br w:type="page"/>
      </w:r>
    </w:p>
    <w:p>
      <w:pPr>
        <w:pStyle w:val="Heading1"/>
      </w:pPr>
      <w:r>
        <w:rPr>
          <w:rFonts w:ascii="Arial" w:hAnsi="Arial" w:eastAsia="Arial"/>
        </w:rPr>
        <w:t>1. Логика анализа и границы применимости метода</w:t>
      </w:r>
    </w:p>
    <w:p>
      <w:pPr>
        <w:spacing w:after="120" w:line="259" w:lineRule="auto"/>
      </w:pPr>
      <w:r>
        <w:rPr>
          <w:rFonts w:ascii="Arial" w:hAnsi="Arial" w:eastAsia="Arial"/>
          <w:sz w:val="21"/>
        </w:rPr>
        <w:t>Цель анализа — установить характер изменения интереса аудитории к теме, товару, услуге или бизнес-идее во времени. Для этого используются две группы поисковых данных: относительный интерес в Google Trends и статистика запросов в Яндекс Вордстат.</w:t>
      </w:r>
    </w:p>
    <w:p>
      <w:pPr>
        <w:spacing w:after="120" w:line="259" w:lineRule="auto"/>
      </w:pPr>
      <w:r>
        <w:rPr>
          <w:rFonts w:ascii="Arial" w:hAnsi="Arial" w:eastAsia="Arial"/>
          <w:sz w:val="21"/>
        </w:rPr>
        <w:t>Google Trends показывает нормированный поисковый интерес: данные приводятся к шкале от 0 до 100 в пределах выбранной территории и периода. Поэтому значение 100 означает пик интереса в данной выборке, а не абсолютное число запросов.</w:t>
      </w:r>
    </w:p>
    <w:p>
      <w:pPr>
        <w:spacing w:after="120" w:line="259" w:lineRule="auto"/>
      </w:pPr>
      <w:r>
        <w:rPr>
          <w:rFonts w:ascii="Arial" w:hAnsi="Arial" w:eastAsia="Arial"/>
          <w:sz w:val="21"/>
        </w:rPr>
        <w:t>Яндекс Вордстат показывает статистику поисковых запросов к Яндексу, динамику популярности, различия по регионам и связанные запросы. Вкладка «Динамика» позволяет изучать изменение частотности по месяцам, неделям или дням, в зависимости от выбранных настроек.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6EAF8"/>
          <w:left w:val="single" w:sz="8" w:space="0" w:color="D6EAF8"/>
          <w:bottom w:val="single" w:sz="8" w:space="0" w:color="D6EAF8"/>
          <w:right w:val="single" w:sz="8" w:space="0" w:color="D6EAF8"/>
          <w:insideH w:val="single" w:sz="8" w:space="0" w:color="D6EAF8"/>
          <w:insideV w:val="single" w:sz="8" w:space="0" w:color="D6EAF8"/>
        </w:tblBorders>
      </w:tblPr>
      <w:tblGrid>
        <w:gridCol w:w="10142"/>
      </w:tblGrid>
      <w:tr>
        <w:tc>
          <w:tcPr>
            <w:tcW w:type="dxa" w:w="10142"/>
            <w:shd w:fill="FDEBD0"/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1F4E79"/>
                <w:sz w:val="20"/>
              </w:rPr>
              <w:t>Ограничение метода</w:t>
            </w:r>
          </w:p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Поисковый интерес не равен продажам. Рост запросов может быть вызван новостным поводом, учебной активностью, массовым обсуждением, сезонной подготовкой или рекламной кампанией. Поэтому деловые выводы нужно проверять через дополнительные данные: заявки, продажи, рекламные показатели, конкурентную среду, цены и платежеспособность целевой аудитории.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535"/>
        <w:gridCol w:w="2535"/>
        <w:gridCol w:w="2535"/>
        <w:gridCol w:w="2535"/>
      </w:tblGrid>
      <w:tr>
        <w:tc>
          <w:tcPr>
            <w:tcW w:type="dxa" w:w="1814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2835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Что показывает</w:t>
            </w:r>
          </w:p>
        </w:tc>
        <w:tc>
          <w:tcPr>
            <w:tcW w:type="dxa" w:w="2835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Что не показывает</w:t>
            </w:r>
          </w:p>
        </w:tc>
        <w:tc>
          <w:tcPr>
            <w:tcW w:type="dxa" w:w="2891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Как использовать в выводе</w:t>
            </w:r>
          </w:p>
        </w:tc>
      </w:tr>
      <w:tr>
        <w:tc>
          <w:tcPr>
            <w:tcW w:type="dxa" w:w="1814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Устойчивая динамика</w:t>
            </w:r>
          </w:p>
        </w:tc>
        <w:tc>
          <w:tcPr>
            <w:tcW w:type="dxa" w:w="2835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Общее направление изменения интереса: рост, спад, стабильность</w:t>
            </w:r>
          </w:p>
        </w:tc>
        <w:tc>
          <w:tcPr>
            <w:tcW w:type="dxa" w:w="2835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Не показывает причину изменения и объем рынка</w:t>
            </w:r>
          </w:p>
        </w:tc>
        <w:tc>
          <w:tcPr>
            <w:tcW w:type="dxa" w:w="2891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Оценить перспективность темы и момент входа на рынок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Сезонность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Повторяющиеся пики и спады внутри года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Не показывает долгосрочную прибыльность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Планировать запуск, рекламу, загрузку команды, бюджет</w:t>
            </w:r>
          </w:p>
        </w:tc>
      </w:tr>
      <w:tr>
        <w:tc>
          <w:tcPr>
            <w:tcW w:type="dxa" w:w="1814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Деловые циклы</w:t>
            </w:r>
          </w:p>
        </w:tc>
        <w:tc>
          <w:tcPr>
            <w:tcW w:type="dxa" w:w="2835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Более длинные волны активности, связанные с состоянием рынка</w:t>
            </w:r>
          </w:p>
        </w:tc>
        <w:tc>
          <w:tcPr>
            <w:tcW w:type="dxa" w:w="2835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Не доказывает макроэкономический цикл без внешних данных</w:t>
            </w:r>
          </w:p>
        </w:tc>
        <w:tc>
          <w:tcPr>
            <w:tcW w:type="dxa" w:w="2891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Оценить риск входа в перегретый или падающий сегмент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Региональная концентрация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Где интерес выражен сильнее относительно других территорий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Не показывает доступность клиентов и конкуренцию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Выбрать географические границы рынка</w:t>
            </w:r>
          </w:p>
        </w:tc>
      </w:tr>
    </w:tbl>
    <w:p>
      <w:pPr>
        <w:pStyle w:val="Heading1"/>
      </w:pPr>
      <w:r>
        <w:rPr>
          <w:rFonts w:ascii="Arial" w:hAnsi="Arial" w:eastAsia="Arial"/>
        </w:rPr>
        <w:t>2. Подготовка поисковых запросов и параметров исследования</w:t>
      </w:r>
    </w:p>
    <w:p>
      <w:pPr>
        <w:spacing w:after="120" w:line="259" w:lineRule="auto"/>
      </w:pPr>
      <w:r>
        <w:rPr>
          <w:rFonts w:ascii="Arial" w:hAnsi="Arial" w:eastAsia="Arial"/>
          <w:sz w:val="21"/>
        </w:rPr>
        <w:t>Перед оценкой динамики необходимо составить рабочий набор запросов. Один запрос редко отражает весь интерес аудитории. Правильнее анализировать несколько кластеров: общий интерес, проблемные запросы, коммерческие запросы, запросы по конкретным услугам, региональные формулировки и запросы конкурентов.</w:t>
      </w:r>
    </w:p>
    <w:p>
      <w:pPr>
        <w:pStyle w:val="Heading2"/>
      </w:pPr>
      <w:r>
        <w:rPr>
          <w:rFonts w:ascii="Arial" w:hAnsi="Arial" w:eastAsia="Arial"/>
        </w:rPr>
        <w:t>2.1. Состав запросов</w:t>
      </w:r>
    </w:p>
    <w:p>
      <w:pPr>
        <w:spacing w:after="60"/>
        <w:ind w:left="255" w:hanging="255"/>
      </w:pPr>
      <w:r>
        <w:rPr>
          <w:rFonts w:ascii="Arial" w:hAnsi="Arial" w:eastAsia="Arial"/>
          <w:sz w:val="20"/>
        </w:rPr>
        <w:t>1. Сформулируйте бизнес-идею одним предложением: какую потребность она закрывает и для кого.</w:t>
      </w:r>
    </w:p>
    <w:p>
      <w:pPr>
        <w:spacing w:after="60"/>
        <w:ind w:left="255" w:hanging="255"/>
      </w:pPr>
      <w:r>
        <w:rPr>
          <w:rFonts w:ascii="Arial" w:hAnsi="Arial" w:eastAsia="Arial"/>
          <w:sz w:val="20"/>
        </w:rPr>
        <w:t>2. Разложите бизнес-идею на 5–7 смысловых направлений: товар, услуга, проблема клиента, способ решения, регион, цена, поставщик.</w:t>
      </w:r>
    </w:p>
    <w:p>
      <w:pPr>
        <w:spacing w:after="60"/>
        <w:ind w:left="255" w:hanging="255"/>
      </w:pPr>
      <w:r>
        <w:rPr>
          <w:rFonts w:ascii="Arial" w:hAnsi="Arial" w:eastAsia="Arial"/>
          <w:sz w:val="20"/>
        </w:rPr>
        <w:t>3. Для каждого направления подберите 5–10 запросов: широкие, уточненные, коммерческие, информационные и региональные.</w:t>
      </w:r>
    </w:p>
    <w:p>
      <w:pPr>
        <w:spacing w:after="60"/>
        <w:ind w:left="255" w:hanging="255"/>
      </w:pPr>
      <w:r>
        <w:rPr>
          <w:rFonts w:ascii="Arial" w:hAnsi="Arial" w:eastAsia="Arial"/>
          <w:sz w:val="20"/>
        </w:rPr>
        <w:t>4. Исключите запросы с неоднозначным смыслом, если они дают шумные данные.</w:t>
      </w:r>
    </w:p>
    <w:p>
      <w:pPr>
        <w:spacing w:after="60"/>
        <w:ind w:left="255" w:hanging="255"/>
      </w:pPr>
      <w:r>
        <w:rPr>
          <w:rFonts w:ascii="Arial" w:hAnsi="Arial" w:eastAsia="Arial"/>
          <w:sz w:val="20"/>
        </w:rPr>
        <w:t>5. Оставьте основной набор из 20–50 запросов для Вордстата и 5–10 укрупненных тем для Google Trends.</w:t>
      </w:r>
    </w:p>
    <w:p>
      <w:pPr>
        <w:pStyle w:val="Heading2"/>
      </w:pPr>
      <w:r>
        <w:rPr>
          <w:rFonts w:ascii="Arial" w:hAnsi="Arial" w:eastAsia="Arial"/>
        </w:rPr>
        <w:t>2.2. Единые параметры исследования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381"/>
        <w:gridCol w:w="3381"/>
        <w:gridCol w:w="3381"/>
      </w:tblGrid>
      <w:tr>
        <w:tc>
          <w:tcPr>
            <w:tcW w:type="dxa" w:w="2041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3515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Рекомендуемое значение</w:t>
            </w:r>
          </w:p>
        </w:tc>
        <w:tc>
          <w:tcPr>
            <w:tcW w:type="dxa" w:w="3855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Зачем фиксировать</w:t>
            </w:r>
          </w:p>
        </w:tc>
      </w:tr>
      <w:tr>
        <w:tc>
          <w:tcPr>
            <w:tcW w:type="dxa" w:w="2041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Территория</w:t>
            </w:r>
          </w:p>
        </w:tc>
        <w:tc>
          <w:tcPr>
            <w:tcW w:type="dxa" w:w="3515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Беларусь, отдельные области или города; при необходимости — соседние рынки для сравнения</w:t>
            </w:r>
          </w:p>
        </w:tc>
        <w:tc>
          <w:tcPr>
            <w:tcW w:type="dxa" w:w="3855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Без единой территории сравнение будет методически некорректным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Период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Не менее 24 месяцев; для сезонности лучше 3–5 лет; для деловых циклов — максимально доступный период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Короткий период не позволяет отделить сезонность от случайного всплеска</w:t>
            </w:r>
          </w:p>
        </w:tc>
      </w:tr>
      <w:tr>
        <w:tc>
          <w:tcPr>
            <w:tcW w:type="dxa" w:w="2041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Категория</w:t>
            </w:r>
          </w:p>
        </w:tc>
        <w:tc>
          <w:tcPr>
            <w:tcW w:type="dxa" w:w="3515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Выбирается в Google Trends, если запрос многозначен</w:t>
            </w:r>
          </w:p>
        </w:tc>
        <w:tc>
          <w:tcPr>
            <w:tcW w:type="dxa" w:w="3855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Помогает уменьшить шум и отделить разные значения одного слова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Тип поиска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Веб-поиск; при необходимости отдельно поиск картинок, новостей, YouTube или покупок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Разные типы поиска отражают разные модели поведения аудитории</w:t>
            </w:r>
          </w:p>
        </w:tc>
      </w:tr>
      <w:tr>
        <w:tc>
          <w:tcPr>
            <w:tcW w:type="dxa" w:w="2041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Устройства</w:t>
            </w:r>
          </w:p>
        </w:tc>
        <w:tc>
          <w:tcPr>
            <w:tcW w:type="dxa" w:w="3515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В Вордстате отдельно проверить все устройства, смартфоны, компьютеры, планшеты</w:t>
            </w:r>
          </w:p>
        </w:tc>
        <w:tc>
          <w:tcPr>
            <w:tcW w:type="dxa" w:w="3855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Позволяет понять, где формируется интерес и как проектировать канал продаж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Фиксация даты выгрузки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Дата, время, сервис, регион, запрос, период, фильтры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Данные могут обновляться, поэтому нужна воспроизводимость анализа</w:t>
            </w:r>
          </w:p>
        </w:tc>
      </w:tr>
    </w:tbl>
    <w:p>
      <w:pPr>
        <w:pStyle w:val="Heading1"/>
      </w:pPr>
      <w:r>
        <w:rPr>
          <w:rFonts w:ascii="Arial" w:hAnsi="Arial" w:eastAsia="Arial"/>
        </w:rPr>
        <w:t>3. Выгрузка и подготовка данных</w:t>
      </w:r>
    </w:p>
    <w:p>
      <w:pPr>
        <w:pStyle w:val="Heading2"/>
      </w:pPr>
      <w:r>
        <w:rPr>
          <w:rFonts w:ascii="Arial" w:hAnsi="Arial" w:eastAsia="Arial"/>
        </w:rPr>
        <w:t>3.1. Выгрузка из Google Trends</w:t>
      </w:r>
    </w:p>
    <w:p>
      <w:pPr>
        <w:spacing w:after="60"/>
        <w:ind w:left="255" w:hanging="255"/>
      </w:pPr>
      <w:r>
        <w:rPr>
          <w:rFonts w:ascii="Arial" w:hAnsi="Arial" w:eastAsia="Arial"/>
          <w:sz w:val="20"/>
        </w:rPr>
        <w:t>1. Откройте Google Trends и введите основной запрос или тему.</w:t>
      </w:r>
    </w:p>
    <w:p>
      <w:pPr>
        <w:spacing w:after="60"/>
        <w:ind w:left="255" w:hanging="255"/>
      </w:pPr>
      <w:r>
        <w:rPr>
          <w:rFonts w:ascii="Arial" w:hAnsi="Arial" w:eastAsia="Arial"/>
          <w:sz w:val="20"/>
        </w:rPr>
        <w:t>2. Установите территорию, период, категорию и тип поиска.</w:t>
      </w:r>
    </w:p>
    <w:p>
      <w:pPr>
        <w:spacing w:after="60"/>
        <w:ind w:left="255" w:hanging="255"/>
      </w:pPr>
      <w:r>
        <w:rPr>
          <w:rFonts w:ascii="Arial" w:hAnsi="Arial" w:eastAsia="Arial"/>
          <w:sz w:val="20"/>
        </w:rPr>
        <w:t>3. Откройте график «Интерес во времени».</w:t>
      </w:r>
    </w:p>
    <w:p>
      <w:pPr>
        <w:spacing w:after="60"/>
        <w:ind w:left="255" w:hanging="255"/>
      </w:pPr>
      <w:r>
        <w:rPr>
          <w:rFonts w:ascii="Arial" w:hAnsi="Arial" w:eastAsia="Arial"/>
          <w:sz w:val="20"/>
        </w:rPr>
        <w:t>4. Нажмите значок скачивания в правом верхнем углу графика.</w:t>
      </w:r>
    </w:p>
    <w:p>
      <w:pPr>
        <w:spacing w:after="60"/>
        <w:ind w:left="255" w:hanging="255"/>
      </w:pPr>
      <w:r>
        <w:rPr>
          <w:rFonts w:ascii="Arial" w:hAnsi="Arial" w:eastAsia="Arial"/>
          <w:sz w:val="20"/>
        </w:rPr>
        <w:t>5. Сохраните CSV-файл и переименуйте его по единому правилу: источник_территория_запрос_период_дата выгрузки.</w:t>
      </w:r>
    </w:p>
    <w:p>
      <w:pPr>
        <w:spacing w:after="60"/>
        <w:ind w:left="255" w:hanging="255"/>
      </w:pPr>
      <w:r>
        <w:rPr>
          <w:rFonts w:ascii="Arial" w:hAnsi="Arial" w:eastAsia="Arial"/>
          <w:sz w:val="20"/>
        </w:rPr>
        <w:t>6. Повторите выгрузку для каждого запроса или каждой группы запросов.</w:t>
      </w:r>
    </w:p>
    <w:p>
      <w:pPr>
        <w:pStyle w:val="Heading2"/>
      </w:pPr>
      <w:r>
        <w:rPr>
          <w:rFonts w:ascii="Arial" w:hAnsi="Arial" w:eastAsia="Arial"/>
        </w:rPr>
        <w:t>3.2. Выгрузка из Яндекс Вордстат</w:t>
      </w:r>
    </w:p>
    <w:p>
      <w:pPr>
        <w:spacing w:after="60"/>
        <w:ind w:left="255" w:hanging="255"/>
      </w:pPr>
      <w:r>
        <w:rPr>
          <w:rFonts w:ascii="Arial" w:hAnsi="Arial" w:eastAsia="Arial"/>
          <w:sz w:val="20"/>
        </w:rPr>
        <w:t>1. Откройте Яндекс Вордстат и введите ключевую фразу.</w:t>
      </w:r>
    </w:p>
    <w:p>
      <w:pPr>
        <w:spacing w:after="60"/>
        <w:ind w:left="255" w:hanging="255"/>
      </w:pPr>
      <w:r>
        <w:rPr>
          <w:rFonts w:ascii="Arial" w:hAnsi="Arial" w:eastAsia="Arial"/>
          <w:sz w:val="20"/>
        </w:rPr>
        <w:t>2. Выберите нужный регион и вкладку «Динамика», если требуется анализ во времени.</w:t>
      </w:r>
    </w:p>
    <w:p>
      <w:pPr>
        <w:spacing w:after="60"/>
        <w:ind w:left="255" w:hanging="255"/>
      </w:pPr>
      <w:r>
        <w:rPr>
          <w:rFonts w:ascii="Arial" w:hAnsi="Arial" w:eastAsia="Arial"/>
          <w:sz w:val="20"/>
        </w:rPr>
        <w:t>3. Проверьте данные по месяцам, неделям или дням в зависимости от задачи.</w:t>
      </w:r>
    </w:p>
    <w:p>
      <w:pPr>
        <w:spacing w:after="60"/>
        <w:ind w:left="255" w:hanging="255"/>
      </w:pPr>
      <w:r>
        <w:rPr>
          <w:rFonts w:ascii="Arial" w:hAnsi="Arial" w:eastAsia="Arial"/>
          <w:sz w:val="20"/>
        </w:rPr>
        <w:t>4. При необходимости отдельно выгрузите вкладки «Регионы» и «Топы запросов».</w:t>
      </w:r>
    </w:p>
    <w:p>
      <w:pPr>
        <w:spacing w:after="60"/>
        <w:ind w:left="255" w:hanging="255"/>
      </w:pPr>
      <w:r>
        <w:rPr>
          <w:rFonts w:ascii="Arial" w:hAnsi="Arial" w:eastAsia="Arial"/>
          <w:sz w:val="20"/>
        </w:rPr>
        <w:t>5. Нажмите «Скачать» и выберите CSV или XLSX.</w:t>
      </w:r>
    </w:p>
    <w:p>
      <w:pPr>
        <w:spacing w:after="60"/>
        <w:ind w:left="255" w:hanging="255"/>
      </w:pPr>
      <w:r>
        <w:rPr>
          <w:rFonts w:ascii="Arial" w:hAnsi="Arial" w:eastAsia="Arial"/>
          <w:sz w:val="20"/>
        </w:rPr>
        <w:t>6. Сохраните файл с понятным названием и занесите параметры выгрузки в журнал исследования.</w:t>
      </w:r>
    </w:p>
    <w:p>
      <w:pPr>
        <w:pStyle w:val="Heading2"/>
      </w:pPr>
      <w:r>
        <w:rPr>
          <w:rFonts w:ascii="Arial" w:hAnsi="Arial" w:eastAsia="Arial"/>
        </w:rPr>
        <w:t>3.3. Очистка и приведение данных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381"/>
        <w:gridCol w:w="3381"/>
        <w:gridCol w:w="3381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Операция</w:t>
            </w:r>
          </w:p>
        </w:tc>
        <w:tc>
          <w:tcPr>
            <w:tcW w:type="dxa" w:w="3969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Как выполнять</w:t>
            </w:r>
          </w:p>
        </w:tc>
        <w:tc>
          <w:tcPr>
            <w:tcW w:type="dxa" w:w="3061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Результат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Удаление неполных периодов</w:t>
            </w:r>
          </w:p>
        </w:tc>
        <w:tc>
          <w:tcPr>
            <w:tcW w:type="dxa" w:w="3969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Исключить последнюю неделю или месяц, если период еще не завершен</w:t>
            </w:r>
          </w:p>
        </w:tc>
        <w:tc>
          <w:tcPr>
            <w:tcW w:type="dxa" w:w="3061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Снижается риск ложного падения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Единая периодичность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Перевести данные к месячному уровню для стратегического анализа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Google Trends и Вордстат можно сопоставлять по одинаковым периодам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Нормирование Вордстата</w:t>
            </w:r>
          </w:p>
        </w:tc>
        <w:tc>
          <w:tcPr>
            <w:tcW w:type="dxa" w:w="3969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Для сравнения с Google Trends рассчитать индекс: значение месяца / максимум ряда × 100</w:t>
            </w:r>
          </w:p>
        </w:tc>
        <w:tc>
          <w:tcPr>
            <w:tcW w:type="dxa" w:w="3061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Появляется сопоставимая шкала 0–100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Маркировка событий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Отметить праздники, кризисы, рекламные кампании, законодательные изменения, новости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Можно отделить устойчивый интерес от разового всплеска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Группировка запросов</w:t>
            </w:r>
          </w:p>
        </w:tc>
        <w:tc>
          <w:tcPr>
            <w:tcW w:type="dxa" w:w="3969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Объединить запросы по кластерам: общий, коммерческий, проблемный, региональный</w:t>
            </w:r>
          </w:p>
        </w:tc>
        <w:tc>
          <w:tcPr>
            <w:tcW w:type="dxa" w:w="3061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Снижается влияние случайного шума одного запроса</w:t>
            </w:r>
          </w:p>
        </w:tc>
      </w:tr>
    </w:tbl>
    <w:p>
      <w:pPr>
        <w:pStyle w:val="Heading1"/>
      </w:pPr>
      <w:r>
        <w:rPr>
          <w:rFonts w:ascii="Arial" w:hAnsi="Arial" w:eastAsia="Arial"/>
        </w:rPr>
        <w:t>4. Оценка устойчивой динамики интереса</w:t>
      </w:r>
    </w:p>
    <w:p>
      <w:pPr>
        <w:spacing w:after="120" w:line="259" w:lineRule="auto"/>
      </w:pPr>
      <w:r>
        <w:rPr>
          <w:rFonts w:ascii="Arial" w:hAnsi="Arial" w:eastAsia="Arial"/>
          <w:sz w:val="21"/>
        </w:rPr>
        <w:t>Устойчивая динамика показывает, как меняется интерес аудитории в среднесрочном и долгосрочном периоде. Анализ проводится не по одному пику, а по всей временной последовательности.</w:t>
      </w:r>
    </w:p>
    <w:p>
      <w:pPr>
        <w:pStyle w:val="Heading2"/>
      </w:pPr>
      <w:r>
        <w:rPr>
          <w:rFonts w:ascii="Arial" w:hAnsi="Arial" w:eastAsia="Arial"/>
        </w:rPr>
        <w:t>4.1. Показатели устойчивой динамики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381"/>
        <w:gridCol w:w="3381"/>
        <w:gridCol w:w="3381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311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Формула / способ расчета</w:t>
            </w:r>
          </w:p>
        </w:tc>
        <w:tc>
          <w:tcPr>
            <w:tcW w:type="dxa" w:w="3912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Интерпретация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Абсолютное изменение</w:t>
            </w:r>
          </w:p>
        </w:tc>
        <w:tc>
          <w:tcPr>
            <w:tcW w:type="dxa" w:w="3118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Последнее значение − первое значение</w:t>
            </w:r>
          </w:p>
        </w:tc>
        <w:tc>
          <w:tcPr>
            <w:tcW w:type="dxa" w:w="3912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Показывает общий прирост или спад за период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Темп изменения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(Последнее значение / первое значение − 1) × 100%</w:t>
            </w:r>
          </w:p>
        </w:tc>
        <w:tc>
          <w:tcPr>
            <w:tcW w:type="dxa" w:w="3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Позволяет оценить силу роста или падения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Скользящее среднее</w:t>
            </w:r>
          </w:p>
        </w:tc>
        <w:tc>
          <w:tcPr>
            <w:tcW w:type="dxa" w:w="3118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Среднее значение за 3, 6 или 12 месяцев</w:t>
            </w:r>
          </w:p>
        </w:tc>
        <w:tc>
          <w:tcPr>
            <w:tcW w:type="dxa" w:w="3912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Сглаживает случайные всплески и помогает увидеть направление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Наклон линии динамики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Линейная аппроксимация ряда во времени</w:t>
            </w:r>
          </w:p>
        </w:tc>
        <w:tc>
          <w:tcPr>
            <w:tcW w:type="dxa" w:w="3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Показывает среднее направление изменения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Доля месяцев роста</w:t>
            </w:r>
          </w:p>
        </w:tc>
        <w:tc>
          <w:tcPr>
            <w:tcW w:type="dxa" w:w="3118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Количество месяцев роста / общее число месяцев × 100%</w:t>
            </w:r>
          </w:p>
        </w:tc>
        <w:tc>
          <w:tcPr>
            <w:tcW w:type="dxa" w:w="3912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Отражает устойчивость, а не единичный скачок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Стабильность ряда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Сравнение отклонений от среднего или от скользящей средней</w:t>
            </w:r>
          </w:p>
        </w:tc>
        <w:tc>
          <w:tcPr>
            <w:tcW w:type="dxa" w:w="3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Помогает отличить устойчивый спрос от шумного интереса</w:t>
            </w:r>
          </w:p>
        </w:tc>
      </w:tr>
    </w:tbl>
    <w:p>
      <w:pPr>
        <w:pStyle w:val="Heading2"/>
      </w:pPr>
      <w:r>
        <w:rPr>
          <w:rFonts w:ascii="Arial" w:hAnsi="Arial" w:eastAsia="Arial"/>
        </w:rPr>
        <w:t>4.2. Классификация динамики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381"/>
        <w:gridCol w:w="3381"/>
        <w:gridCol w:w="3381"/>
      </w:tblGrid>
      <w:tr>
        <w:tc>
          <w:tcPr>
            <w:tcW w:type="dxa" w:w="2154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Тип динамики</w:t>
            </w:r>
          </w:p>
        </w:tc>
        <w:tc>
          <w:tcPr>
            <w:tcW w:type="dxa" w:w="3402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Признаки</w:t>
            </w:r>
          </w:p>
        </w:tc>
        <w:tc>
          <w:tcPr>
            <w:tcW w:type="dxa" w:w="3742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Коммерческий вывод</w:t>
            </w:r>
          </w:p>
        </w:tc>
      </w:tr>
      <w:tr>
        <w:tc>
          <w:tcPr>
            <w:tcW w:type="dxa" w:w="2154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Устойчивый рост</w:t>
            </w:r>
          </w:p>
        </w:tc>
        <w:tc>
          <w:tcPr>
            <w:tcW w:type="dxa" w:w="3402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Скользящее среднее растет, последние 6–12 месяцев выше предыдущего периода</w:t>
            </w:r>
          </w:p>
        </w:tc>
        <w:tc>
          <w:tcPr>
            <w:tcW w:type="dxa" w:w="3742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Направление перспективно для тестирования продукта и рекламных гипотез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Стабильный интерес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Колебания есть, но средний уровень держится примерно одинаково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Рынок может быть зрелым; нужен анализ конкуренции и дифференциации предложения</w:t>
            </w:r>
          </w:p>
        </w:tc>
      </w:tr>
      <w:tr>
        <w:tc>
          <w:tcPr>
            <w:tcW w:type="dxa" w:w="2154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Снижение интереса</w:t>
            </w:r>
          </w:p>
        </w:tc>
        <w:tc>
          <w:tcPr>
            <w:tcW w:type="dxa" w:w="3402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Скользящее среднее падает, пики становятся ниже</w:t>
            </w:r>
          </w:p>
        </w:tc>
        <w:tc>
          <w:tcPr>
            <w:tcW w:type="dxa" w:w="3742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Необходимо искать узкие сегменты, новую упаковку услуги или смежные запросы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Шумная динамика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Много единичных всплесков без повторяемой структуры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Нельзя делать сильный вывод без дополнительных запросов и источников</w:t>
            </w:r>
          </w:p>
        </w:tc>
      </w:tr>
      <w:tr>
        <w:tc>
          <w:tcPr>
            <w:tcW w:type="dxa" w:w="2154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Новый всплеск</w:t>
            </w:r>
          </w:p>
        </w:tc>
        <w:tc>
          <w:tcPr>
            <w:tcW w:type="dxa" w:w="3402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Резкий рост в последние периоды без долгой истории</w:t>
            </w:r>
          </w:p>
        </w:tc>
        <w:tc>
          <w:tcPr>
            <w:tcW w:type="dxa" w:w="3742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Перспективно, но высок риск краткосрочного информационного эффекта</w:t>
            </w:r>
          </w:p>
        </w:tc>
      </w:tr>
    </w:tbl>
    <w:p>
      <w:pPr>
        <w:pStyle w:val="Heading2"/>
      </w:pPr>
      <w:r>
        <w:rPr>
          <w:rFonts w:ascii="Arial" w:hAnsi="Arial" w:eastAsia="Arial"/>
        </w:rPr>
        <w:t>4.3. Порядок оценки динамики</w:t>
      </w:r>
    </w:p>
    <w:p>
      <w:pPr>
        <w:spacing w:after="60"/>
        <w:ind w:left="255" w:hanging="255"/>
      </w:pPr>
      <w:r>
        <w:rPr>
          <w:rFonts w:ascii="Arial" w:hAnsi="Arial" w:eastAsia="Arial"/>
          <w:sz w:val="20"/>
        </w:rPr>
        <w:t>1. Постройте график исходных значений за весь период.</w:t>
      </w:r>
    </w:p>
    <w:p>
      <w:pPr>
        <w:spacing w:after="60"/>
        <w:ind w:left="255" w:hanging="255"/>
      </w:pPr>
      <w:r>
        <w:rPr>
          <w:rFonts w:ascii="Arial" w:hAnsi="Arial" w:eastAsia="Arial"/>
          <w:sz w:val="20"/>
        </w:rPr>
        <w:t>2. Добавьте скользящее среднее за 3 месяца для краткосрочного анализа и за 12 месяцев для долгосрочного анализа.</w:t>
      </w:r>
    </w:p>
    <w:p>
      <w:pPr>
        <w:spacing w:after="60"/>
        <w:ind w:left="255" w:hanging="255"/>
      </w:pPr>
      <w:r>
        <w:rPr>
          <w:rFonts w:ascii="Arial" w:hAnsi="Arial" w:eastAsia="Arial"/>
          <w:sz w:val="20"/>
        </w:rPr>
        <w:t>3. Сравните среднее значение последнего года со средним значением предыдущего года.</w:t>
      </w:r>
    </w:p>
    <w:p>
      <w:pPr>
        <w:spacing w:after="60"/>
        <w:ind w:left="255" w:hanging="255"/>
      </w:pPr>
      <w:r>
        <w:rPr>
          <w:rFonts w:ascii="Arial" w:hAnsi="Arial" w:eastAsia="Arial"/>
          <w:sz w:val="20"/>
        </w:rPr>
        <w:t>4. Проверьте, не вызван ли рост одним событием или одним пиковым месяцем.</w:t>
      </w:r>
    </w:p>
    <w:p>
      <w:pPr>
        <w:spacing w:after="60"/>
        <w:ind w:left="255" w:hanging="255"/>
      </w:pPr>
      <w:r>
        <w:rPr>
          <w:rFonts w:ascii="Arial" w:hAnsi="Arial" w:eastAsia="Arial"/>
          <w:sz w:val="20"/>
        </w:rPr>
        <w:t>5. Сделайте вывод не по отдельному запросу, а по кластеру запросов.</w:t>
      </w:r>
    </w:p>
    <w:p>
      <w:pPr>
        <w:pStyle w:val="Heading1"/>
      </w:pPr>
      <w:r>
        <w:rPr>
          <w:rFonts w:ascii="Arial" w:hAnsi="Arial" w:eastAsia="Arial"/>
        </w:rPr>
        <w:t>5. Оценка сезонности</w:t>
      </w:r>
    </w:p>
    <w:p>
      <w:pPr>
        <w:spacing w:after="120" w:line="259" w:lineRule="auto"/>
      </w:pPr>
      <w:r>
        <w:rPr>
          <w:rFonts w:ascii="Arial" w:hAnsi="Arial" w:eastAsia="Arial"/>
          <w:sz w:val="21"/>
        </w:rPr>
        <w:t>Сезонность — это повторяющаяся внутри года структура спроса: месяцы подъема, месяцы спада, период подготовки к покупке и период фактического спроса. Для надежного вывода желательно использовать не менее трех лет ежемесячных данных.</w:t>
      </w:r>
    </w:p>
    <w:p>
      <w:pPr>
        <w:pStyle w:val="Heading2"/>
      </w:pPr>
      <w:r>
        <w:rPr>
          <w:rFonts w:ascii="Arial" w:hAnsi="Arial" w:eastAsia="Arial"/>
        </w:rPr>
        <w:t>5.1. Расчет сезонного индекса</w:t>
      </w:r>
    </w:p>
    <w:p>
      <w:pPr>
        <w:spacing w:after="120" w:line="259" w:lineRule="auto"/>
      </w:pPr>
      <w:r>
        <w:rPr>
          <w:rFonts w:ascii="Arial" w:hAnsi="Arial" w:eastAsia="Arial"/>
          <w:sz w:val="21"/>
        </w:rPr>
        <w:t>Для каждого месяца рассчитывается среднее значение по всем годам. Затем оно сопоставляется со средним месячным значением по всему периоду.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6EAF8"/>
          <w:left w:val="single" w:sz="8" w:space="0" w:color="D6EAF8"/>
          <w:bottom w:val="single" w:sz="8" w:space="0" w:color="D6EAF8"/>
          <w:right w:val="single" w:sz="8" w:space="0" w:color="D6EAF8"/>
          <w:insideH w:val="single" w:sz="8" w:space="0" w:color="D6EAF8"/>
          <w:insideV w:val="single" w:sz="8" w:space="0" w:color="D6EAF8"/>
        </w:tblBorders>
      </w:tblPr>
      <w:tblGrid>
        <w:gridCol w:w="10142"/>
      </w:tblGrid>
      <w:tr>
        <w:tc>
          <w:tcPr>
            <w:tcW w:type="dxa" w:w="10142"/>
            <w:shd w:fill="EAF2F8"/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1F4E79"/>
                <w:sz w:val="20"/>
              </w:rPr>
              <w:t>Формула сезонного индекса</w:t>
            </w:r>
          </w:p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Сезонный индекс месяца = среднее значение месяца / среднее значение всех месяцев × 100. Значение выше 100 означает, что месяц сильнее среднего. Значение ниже 100 означает, что месяц слабее среднего.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381"/>
        <w:gridCol w:w="3381"/>
        <w:gridCol w:w="3381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Значение сезонного индекса</w:t>
            </w:r>
          </w:p>
        </w:tc>
        <w:tc>
          <w:tcPr>
            <w:tcW w:type="dxa" w:w="3175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Интерпретация</w:t>
            </w:r>
          </w:p>
        </w:tc>
        <w:tc>
          <w:tcPr>
            <w:tcW w:type="dxa" w:w="3855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Решение для бизнеса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До 80</w:t>
            </w:r>
          </w:p>
        </w:tc>
        <w:tc>
          <w:tcPr>
            <w:tcW w:type="dxa" w:w="3175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Низкий сезон</w:t>
            </w:r>
          </w:p>
        </w:tc>
        <w:tc>
          <w:tcPr>
            <w:tcW w:type="dxa" w:w="3855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Сокращать рекламный бюджет или использовать подготовительные коммуникации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80–95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Период умеренного спроса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Поддерживать присутствие, собирать аудиторию, тестировать предложения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95–105</w:t>
            </w:r>
          </w:p>
        </w:tc>
        <w:tc>
          <w:tcPr>
            <w:tcW w:type="dxa" w:w="3175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Средний уровень</w:t>
            </w:r>
          </w:p>
        </w:tc>
        <w:tc>
          <w:tcPr>
            <w:tcW w:type="dxa" w:w="3855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Использовать как базовый период для сравнения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105–120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Повышенный интерес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Усиливать продажи, публиковать коммерческие предложения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Выше 120</w:t>
            </w:r>
          </w:p>
        </w:tc>
        <w:tc>
          <w:tcPr>
            <w:tcW w:type="dxa" w:w="3175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Пик сезона</w:t>
            </w:r>
          </w:p>
        </w:tc>
        <w:tc>
          <w:tcPr>
            <w:tcW w:type="dxa" w:w="3855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Заранее готовить рекламу, персонал, контент, посадочные страницы и запасы</w:t>
            </w:r>
          </w:p>
        </w:tc>
      </w:tr>
    </w:tbl>
    <w:p>
      <w:pPr>
        <w:pStyle w:val="Heading2"/>
      </w:pPr>
      <w:r>
        <w:rPr>
          <w:rFonts w:ascii="Arial" w:hAnsi="Arial" w:eastAsia="Arial"/>
        </w:rPr>
        <w:t>5.2. Показатели сезонности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381"/>
        <w:gridCol w:w="3381"/>
        <w:gridCol w:w="3381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328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Как рассчитывается</w:t>
            </w:r>
          </w:p>
        </w:tc>
        <w:tc>
          <w:tcPr>
            <w:tcW w:type="dxa" w:w="3742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Зачем нужен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Месяц пика</w:t>
            </w:r>
          </w:p>
        </w:tc>
        <w:tc>
          <w:tcPr>
            <w:tcW w:type="dxa" w:w="3288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Месяц с максимальным средним значением или сезонным индексом</w:t>
            </w:r>
          </w:p>
        </w:tc>
        <w:tc>
          <w:tcPr>
            <w:tcW w:type="dxa" w:w="3742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Определяет главный период коммерческой активности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Месяц минимума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Месяц с минимальным средним значением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Показывает период слабого спроса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Амплитуда сезонности</w:t>
            </w:r>
          </w:p>
        </w:tc>
        <w:tc>
          <w:tcPr>
            <w:tcW w:type="dxa" w:w="3288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Максимальный индекс − минимальный индекс</w:t>
            </w:r>
          </w:p>
        </w:tc>
        <w:tc>
          <w:tcPr>
            <w:tcW w:type="dxa" w:w="3742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Показывает силу сезонных колебаний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Период разгона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1–3 месяца перед пиком, когда интерес начинает расти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Показывает, когда запускать продвижение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Повторяемость пика</w:t>
            </w:r>
          </w:p>
        </w:tc>
        <w:tc>
          <w:tcPr>
            <w:tcW w:type="dxa" w:w="3288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Сколько лет подряд пик приходится на один и тот же период</w:t>
            </w:r>
          </w:p>
        </w:tc>
        <w:tc>
          <w:tcPr>
            <w:tcW w:type="dxa" w:w="3742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Отделяет сезонность от случайного события</w:t>
            </w:r>
          </w:p>
        </w:tc>
      </w:tr>
    </w:tbl>
    <w:p>
      <w:pPr>
        <w:pStyle w:val="Heading2"/>
      </w:pPr>
      <w:r>
        <w:rPr>
          <w:rFonts w:ascii="Arial" w:hAnsi="Arial" w:eastAsia="Arial"/>
        </w:rPr>
        <w:t>5.3. Правила интерпретации сезонности</w:t>
      </w:r>
    </w:p>
    <w:p>
      <w:pPr>
        <w:pStyle w:val="ListBullet"/>
        <w:spacing w:after="60"/>
      </w:pPr>
      <w:r>
        <w:rPr>
          <w:rFonts w:ascii="Arial" w:hAnsi="Arial" w:eastAsia="Arial"/>
          <w:sz w:val="20"/>
        </w:rPr>
        <w:t>Сезонность подтверждается только тогда, когда похожий рисунок повторяется несколько лет подряд.</w:t>
      </w:r>
    </w:p>
    <w:p>
      <w:pPr>
        <w:pStyle w:val="ListBullet"/>
        <w:spacing w:after="60"/>
      </w:pPr>
      <w:r>
        <w:rPr>
          <w:rFonts w:ascii="Arial" w:hAnsi="Arial" w:eastAsia="Arial"/>
          <w:sz w:val="20"/>
        </w:rPr>
        <w:t>Если пик был только один раз, это не сезонность, а событие или информационный всплеск.</w:t>
      </w:r>
    </w:p>
    <w:p>
      <w:pPr>
        <w:pStyle w:val="ListBullet"/>
        <w:spacing w:after="60"/>
      </w:pPr>
      <w:r>
        <w:rPr>
          <w:rFonts w:ascii="Arial" w:hAnsi="Arial" w:eastAsia="Arial"/>
          <w:sz w:val="20"/>
        </w:rPr>
        <w:t>Для коммерческого планирования важен не только месяц максимума, но и период предварительного роста.</w:t>
      </w:r>
    </w:p>
    <w:p>
      <w:pPr>
        <w:pStyle w:val="ListBullet"/>
        <w:spacing w:after="60"/>
      </w:pPr>
      <w:r>
        <w:rPr>
          <w:rFonts w:ascii="Arial" w:hAnsi="Arial" w:eastAsia="Arial"/>
          <w:sz w:val="20"/>
        </w:rPr>
        <w:t>Сезонные выводы лучше строить по нескольким запросам одного кластера, а не по одной фразе.</w:t>
      </w:r>
    </w:p>
    <w:p>
      <w:pPr>
        <w:pStyle w:val="ListBullet"/>
        <w:spacing w:after="60"/>
      </w:pPr>
      <w:r>
        <w:rPr>
          <w:rFonts w:ascii="Arial" w:hAnsi="Arial" w:eastAsia="Arial"/>
          <w:sz w:val="20"/>
        </w:rPr>
        <w:t>Сезонность информационных запросов и сезонность покупательских запросов могут не совпадать.</w:t>
      </w:r>
    </w:p>
    <w:p>
      <w:pPr>
        <w:pStyle w:val="Heading1"/>
      </w:pPr>
      <w:r>
        <w:rPr>
          <w:rFonts w:ascii="Arial" w:hAnsi="Arial" w:eastAsia="Arial"/>
        </w:rPr>
        <w:t>6. Оценка деловых циклов и рыночных колебаний</w:t>
      </w:r>
    </w:p>
    <w:p>
      <w:pPr>
        <w:spacing w:after="120" w:line="259" w:lineRule="auto"/>
      </w:pPr>
      <w:r>
        <w:rPr>
          <w:rFonts w:ascii="Arial" w:hAnsi="Arial" w:eastAsia="Arial"/>
          <w:sz w:val="21"/>
        </w:rPr>
        <w:t>Деловые циклы в строгом экономическом смысле связаны с фазами расширения и сокращения деловой активности. Google Trends и Яндекс Вордстат не измеряют деловой цикл напрямую. Они позволяют увидеть цифровые признаки изменения интереса аудитории, которые могут сопровождать рыночные колебания.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6EAF8"/>
          <w:left w:val="single" w:sz="8" w:space="0" w:color="D6EAF8"/>
          <w:bottom w:val="single" w:sz="8" w:space="0" w:color="D6EAF8"/>
          <w:right w:val="single" w:sz="8" w:space="0" w:color="D6EAF8"/>
          <w:insideH w:val="single" w:sz="8" w:space="0" w:color="D6EAF8"/>
          <w:insideV w:val="single" w:sz="8" w:space="0" w:color="D6EAF8"/>
        </w:tblBorders>
      </w:tblPr>
      <w:tblGrid>
        <w:gridCol w:w="10142"/>
      </w:tblGrid>
      <w:tr>
        <w:tc>
          <w:tcPr>
            <w:tcW w:type="dxa" w:w="10142"/>
            <w:shd w:fill="FDEBD0"/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1F4E79"/>
                <w:sz w:val="20"/>
              </w:rPr>
              <w:t>Методическое правило</w:t>
            </w:r>
          </w:p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В итоговом документе корректнее писать: «поисковые данные указывают на признаки циклического изменения интереса аудитории». Формулировка «доказан деловой цикл рынка» допустима только при сопоставлении с внешними экономическими данными: продажами, выручкой, индексами деловой активности, потребительскими расходами, рекламными бюджетами и статистикой отрасли.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</w:rPr>
        <w:t>6.1. Различие сезонности и делового цикла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381"/>
        <w:gridCol w:w="3381"/>
        <w:gridCol w:w="3381"/>
      </w:tblGrid>
      <w:tr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Признак</w:t>
            </w:r>
          </w:p>
        </w:tc>
        <w:tc>
          <w:tcPr>
            <w:tcW w:type="dxa" w:w="345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Сезонность</w:t>
            </w:r>
          </w:p>
        </w:tc>
        <w:tc>
          <w:tcPr>
            <w:tcW w:type="dxa" w:w="3855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Деловой цикл / рыночное колебание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Периодичность</w:t>
            </w:r>
          </w:p>
        </w:tc>
        <w:tc>
          <w:tcPr>
            <w:tcW w:type="dxa" w:w="3458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Повторяется внутри года: месяцы, недели, праздники</w:t>
            </w:r>
          </w:p>
        </w:tc>
        <w:tc>
          <w:tcPr>
            <w:tcW w:type="dxa" w:w="3855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Длится несколько кварталов или лет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Причина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Погода, учебный год, праздники, отпускной период, налоговые сроки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Экономическая активность, доходы, инвестиции, рекламные бюджеты, отраслевой спрос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Как увидеть в данных</w:t>
            </w:r>
          </w:p>
        </w:tc>
        <w:tc>
          <w:tcPr>
            <w:tcW w:type="dxa" w:w="3458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Пики повторяются в одни и те же месяцы</w:t>
            </w:r>
          </w:p>
        </w:tc>
        <w:tc>
          <w:tcPr>
            <w:tcW w:type="dxa" w:w="3855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После удаления сезонности остается волна роста или спада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Бизнес-решение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Планирование рекламного календаря и загрузки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Выбор момента входа, расширения или сокращения активности</w:t>
            </w:r>
          </w:p>
        </w:tc>
      </w:tr>
    </w:tbl>
    <w:p>
      <w:pPr>
        <w:pStyle w:val="Heading2"/>
      </w:pPr>
      <w:r>
        <w:rPr>
          <w:rFonts w:ascii="Arial" w:hAnsi="Arial" w:eastAsia="Arial"/>
        </w:rPr>
        <w:t>6.2. Алгоритм выявления циклических колебаний</w:t>
      </w:r>
    </w:p>
    <w:p>
      <w:pPr>
        <w:spacing w:after="60"/>
        <w:ind w:left="255" w:hanging="255"/>
      </w:pPr>
      <w:r>
        <w:rPr>
          <w:rFonts w:ascii="Arial" w:hAnsi="Arial" w:eastAsia="Arial"/>
          <w:sz w:val="20"/>
        </w:rPr>
        <w:t>1. Соберите длинный ряд данных: желательно 5 лет и более; минимум — 36 месяцев.</w:t>
      </w:r>
    </w:p>
    <w:p>
      <w:pPr>
        <w:spacing w:after="60"/>
        <w:ind w:left="255" w:hanging="255"/>
      </w:pPr>
      <w:r>
        <w:rPr>
          <w:rFonts w:ascii="Arial" w:hAnsi="Arial" w:eastAsia="Arial"/>
          <w:sz w:val="20"/>
        </w:rPr>
        <w:t>2. Постройте исходный график и отметьте явные события: кризисы, изменения законодательства, массовые новости, запуск крупных рекламных кампаний.</w:t>
      </w:r>
    </w:p>
    <w:p>
      <w:pPr>
        <w:spacing w:after="60"/>
        <w:ind w:left="255" w:hanging="255"/>
      </w:pPr>
      <w:r>
        <w:rPr>
          <w:rFonts w:ascii="Arial" w:hAnsi="Arial" w:eastAsia="Arial"/>
          <w:sz w:val="20"/>
        </w:rPr>
        <w:t>3. Рассчитайте сезонные индексы и скорректируйте исходный ряд на сезонность.</w:t>
      </w:r>
    </w:p>
    <w:p>
      <w:pPr>
        <w:spacing w:after="60"/>
        <w:ind w:left="255" w:hanging="255"/>
      </w:pPr>
      <w:r>
        <w:rPr>
          <w:rFonts w:ascii="Arial" w:hAnsi="Arial" w:eastAsia="Arial"/>
          <w:sz w:val="20"/>
        </w:rPr>
        <w:t>4. Постройте 12-месячное скользящее среднее по очищенному ряду.</w:t>
      </w:r>
    </w:p>
    <w:p>
      <w:pPr>
        <w:spacing w:after="60"/>
        <w:ind w:left="255" w:hanging="255"/>
      </w:pPr>
      <w:r>
        <w:rPr>
          <w:rFonts w:ascii="Arial" w:hAnsi="Arial" w:eastAsia="Arial"/>
          <w:sz w:val="20"/>
        </w:rPr>
        <w:t>5. Найдите фазы: рост, пик, замедление, спад, восстановление.</w:t>
      </w:r>
    </w:p>
    <w:p>
      <w:pPr>
        <w:spacing w:after="60"/>
        <w:ind w:left="255" w:hanging="255"/>
      </w:pPr>
      <w:r>
        <w:rPr>
          <w:rFonts w:ascii="Arial" w:hAnsi="Arial" w:eastAsia="Arial"/>
          <w:sz w:val="20"/>
        </w:rPr>
        <w:t>6. Сравните результаты по нескольким связанным запросам: общий интерес, коммерческие запросы, запросы конкурентов, запросы цены.</w:t>
      </w:r>
    </w:p>
    <w:p>
      <w:pPr>
        <w:spacing w:after="60"/>
        <w:ind w:left="255" w:hanging="255"/>
      </w:pPr>
      <w:r>
        <w:rPr>
          <w:rFonts w:ascii="Arial" w:hAnsi="Arial" w:eastAsia="Arial"/>
          <w:sz w:val="20"/>
        </w:rPr>
        <w:t>7. Сформулируйте осторожный вывод о признаках рыночного цикла и проверьте его внешними данными.</w:t>
      </w:r>
    </w:p>
    <w:p>
      <w:pPr>
        <w:pStyle w:val="Heading2"/>
      </w:pPr>
      <w:r>
        <w:rPr>
          <w:rFonts w:ascii="Arial" w:hAnsi="Arial" w:eastAsia="Arial"/>
        </w:rPr>
        <w:t>6.3. Упрощенная модель фазы цикла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381"/>
        <w:gridCol w:w="3381"/>
        <w:gridCol w:w="3381"/>
      </w:tblGrid>
      <w:tr>
        <w:tc>
          <w:tcPr>
            <w:tcW w:type="dxa" w:w="1871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Фаза</w:t>
            </w:r>
          </w:p>
        </w:tc>
        <w:tc>
          <w:tcPr>
            <w:tcW w:type="dxa" w:w="3969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Признаки в поисковых данных</w:t>
            </w:r>
          </w:p>
        </w:tc>
        <w:tc>
          <w:tcPr>
            <w:tcW w:type="dxa" w:w="345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Коммерческая интерпретация</w:t>
            </w:r>
          </w:p>
        </w:tc>
      </w:tr>
      <w:tr>
        <w:tc>
          <w:tcPr>
            <w:tcW w:type="dxa" w:w="1871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Зарождение интереса</w:t>
            </w:r>
          </w:p>
        </w:tc>
        <w:tc>
          <w:tcPr>
            <w:tcW w:type="dxa" w:w="3969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Низкий уровень, но растет число связанных и уточняющих запросов</w:t>
            </w:r>
          </w:p>
        </w:tc>
        <w:tc>
          <w:tcPr>
            <w:tcW w:type="dxa" w:w="3458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Можно тестировать нишу и обучающий контент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Рост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Растет скользящее среднее, увеличивается доля коммерческих запросов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Целесообразны инвестиции в продвижение и упаковку предложения</w:t>
            </w:r>
          </w:p>
        </w:tc>
      </w:tr>
      <w:tr>
        <w:tc>
          <w:tcPr>
            <w:tcW w:type="dxa" w:w="1871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Пик</w:t>
            </w:r>
          </w:p>
        </w:tc>
        <w:tc>
          <w:tcPr>
            <w:tcW w:type="dxa" w:w="3969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Высокие значения, много коммерческих запросов, возможно усиление конкуренции</w:t>
            </w:r>
          </w:p>
        </w:tc>
        <w:tc>
          <w:tcPr>
            <w:tcW w:type="dxa" w:w="3458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Нужна дифференциация, ценовая стратегия и контроль стоимости привлечения клиента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Замедление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Интерес держится высоко, но прирост уменьшается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Рынок может насыщаться; важна работа с лояльностью и качеством услуги</w:t>
            </w:r>
          </w:p>
        </w:tc>
      </w:tr>
      <w:tr>
        <w:tc>
          <w:tcPr>
            <w:tcW w:type="dxa" w:w="1871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Спад</w:t>
            </w:r>
          </w:p>
        </w:tc>
        <w:tc>
          <w:tcPr>
            <w:tcW w:type="dxa" w:w="3969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Снижаются значения, коммерческие запросы проседают, растут запросы «дешево», «альтернатива»</w:t>
            </w:r>
          </w:p>
        </w:tc>
        <w:tc>
          <w:tcPr>
            <w:tcW w:type="dxa" w:w="3458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Требуется корректировка продукта, каналов продаж или переход в смежные сегменты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Восстановление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После спада появляется устойчивый рост и новые тематические запросы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Можно запускать обновленное предложение и проверять новые сегменты</w:t>
            </w:r>
          </w:p>
        </w:tc>
      </w:tr>
    </w:tbl>
    <w:p>
      <w:pPr>
        <w:pStyle w:val="Heading1"/>
      </w:pPr>
      <w:r>
        <w:rPr>
          <w:rFonts w:ascii="Arial" w:hAnsi="Arial" w:eastAsia="Arial"/>
        </w:rPr>
        <w:t>7. Интегральная оценка: как объединить выводы Google Trends и Яндекс Вордстат</w:t>
      </w:r>
    </w:p>
    <w:p>
      <w:pPr>
        <w:spacing w:after="120" w:line="259" w:lineRule="auto"/>
      </w:pPr>
      <w:r>
        <w:rPr>
          <w:rFonts w:ascii="Arial" w:hAnsi="Arial" w:eastAsia="Arial"/>
          <w:sz w:val="21"/>
        </w:rPr>
        <w:t>Google Trends и Яндекс Вордстат целесообразно использовать как взаимодополняющие источники. Google Trends удобен для относительной динамики и сопоставления тем. Вордстат важен для детализации запросов, регионов, устройств и частотности поисковых формулировок в Яндексе.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535"/>
        <w:gridCol w:w="2535"/>
        <w:gridCol w:w="2535"/>
        <w:gridCol w:w="2535"/>
      </w:tblGrid>
      <w:tr>
        <w:tc>
          <w:tcPr>
            <w:tcW w:type="dxa" w:w="2381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Ситуация</w:t>
            </w:r>
          </w:p>
        </w:tc>
        <w:tc>
          <w:tcPr>
            <w:tcW w:type="dxa" w:w="2381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Google Trends</w:t>
            </w:r>
          </w:p>
        </w:tc>
        <w:tc>
          <w:tcPr>
            <w:tcW w:type="dxa" w:w="2494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Яндекс Вордстат</w:t>
            </w:r>
          </w:p>
        </w:tc>
        <w:tc>
          <w:tcPr>
            <w:tcW w:type="dxa" w:w="2381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Вывод</w:t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Оба источника показывают рост</w:t>
            </w:r>
          </w:p>
        </w:tc>
        <w:tc>
          <w:tcPr>
            <w:tcW w:type="dxa" w:w="2381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Растет индекс интереса</w:t>
            </w:r>
          </w:p>
        </w:tc>
        <w:tc>
          <w:tcPr>
            <w:tcW w:type="dxa" w:w="2494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Растет частотность и/или доля запросов</w:t>
            </w:r>
          </w:p>
        </w:tc>
        <w:tc>
          <w:tcPr>
            <w:tcW w:type="dxa" w:w="2381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Высокая уверенность в росте поискового интереса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Google Trends растет, Вордстат стабилен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Есть общий рост темы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В Яндексе рост не выражен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Проверить аудиторию, устройства, формулировки и долю Google/Яндекс в целевом сегменте</w:t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Google Trends стабилен, Вордстат растет</w:t>
            </w:r>
          </w:p>
        </w:tc>
        <w:tc>
          <w:tcPr>
            <w:tcW w:type="dxa" w:w="2381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Общая тема стабильна</w:t>
            </w:r>
          </w:p>
        </w:tc>
        <w:tc>
          <w:tcPr>
            <w:tcW w:type="dxa" w:w="2494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Растут конкретные формулировки</w:t>
            </w:r>
          </w:p>
        </w:tc>
        <w:tc>
          <w:tcPr>
            <w:tcW w:type="dxa" w:w="2381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Возможен рост узкой коммерческой ниши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Оба источника снижаются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Падает относительный интерес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Падает частотность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Нужна переоценка идеи или переход к смежному сегменту</w:t>
            </w:r>
          </w:p>
        </w:tc>
      </w:tr>
      <w:tr>
        <w:tc>
          <w:tcPr>
            <w:tcW w:type="dxa" w:w="2381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Источники противоречат друг другу</w:t>
            </w:r>
          </w:p>
        </w:tc>
        <w:tc>
          <w:tcPr>
            <w:tcW w:type="dxa" w:w="2381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Сигналы разнонаправленные</w:t>
            </w:r>
          </w:p>
        </w:tc>
        <w:tc>
          <w:tcPr>
            <w:tcW w:type="dxa" w:w="2494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Сигналы разнонаправленные</w:t>
            </w:r>
          </w:p>
        </w:tc>
        <w:tc>
          <w:tcPr>
            <w:tcW w:type="dxa" w:w="2381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Не делать окончательный вывод без проверки семантики, периода и регионов</w:t>
            </w:r>
          </w:p>
        </w:tc>
      </w:tr>
    </w:tbl>
    <w:p>
      <w:pPr>
        <w:pStyle w:val="Heading1"/>
      </w:pPr>
      <w:r>
        <w:rPr>
          <w:rFonts w:ascii="Arial" w:hAnsi="Arial" w:eastAsia="Arial"/>
        </w:rPr>
        <w:t>8. Пример применения для бизнеса на основе компетенции «маркетинг»</w:t>
      </w:r>
    </w:p>
    <w:p>
      <w:pPr>
        <w:spacing w:after="120" w:line="259" w:lineRule="auto"/>
      </w:pPr>
      <w:r>
        <w:rPr>
          <w:rFonts w:ascii="Arial" w:hAnsi="Arial" w:eastAsia="Arial"/>
          <w:sz w:val="21"/>
        </w:rPr>
        <w:t>Пример бизнес-идеи: консультационная и проектная услуга для малого и среднего бизнеса по привлечению клиентов, настройке продвижения, улучшению присутствия в поиске и социальных сетях, подготовке рекламных материалов и аналитике продаж.</w:t>
      </w:r>
    </w:p>
    <w:p>
      <w:pPr>
        <w:pStyle w:val="Heading2"/>
      </w:pPr>
      <w:r>
        <w:rPr>
          <w:rFonts w:ascii="Arial" w:hAnsi="Arial" w:eastAsia="Arial"/>
        </w:rPr>
        <w:t>8.1. Кластеры запросов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381"/>
        <w:gridCol w:w="3381"/>
        <w:gridCol w:w="3381"/>
      </w:tblGrid>
      <w:tr>
        <w:tc>
          <w:tcPr>
            <w:tcW w:type="dxa" w:w="1927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Кластер</w:t>
            </w:r>
          </w:p>
        </w:tc>
        <w:tc>
          <w:tcPr>
            <w:tcW w:type="dxa" w:w="3969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Примеры запросов</w:t>
            </w:r>
          </w:p>
        </w:tc>
        <w:tc>
          <w:tcPr>
            <w:tcW w:type="dxa" w:w="3402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Что показывает</w:t>
            </w:r>
          </w:p>
        </w:tc>
      </w:tr>
      <w:tr>
        <w:tc>
          <w:tcPr>
            <w:tcW w:type="dxa" w:w="1927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Общий интерес к маркетингу</w:t>
            </w:r>
          </w:p>
        </w:tc>
        <w:tc>
          <w:tcPr>
            <w:tcW w:type="dxa" w:w="3969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маркетинг, интернет маркетинг, маркетинг для бизнеса, услуги маркетолога</w:t>
            </w:r>
          </w:p>
        </w:tc>
        <w:tc>
          <w:tcPr>
            <w:tcW w:type="dxa" w:w="3402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Насколько аудитория в целом интересуется направлением</w:t>
            </w:r>
          </w:p>
        </w:tc>
      </w:tr>
      <w:tr>
        <w:tc>
          <w:tcPr>
            <w:tcW w:type="dxa" w:w="19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Коммерческий спрос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маркетинговое агентство, заказать продвижение, реклама для бизнеса, продвижение сайта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Есть ли запрос на покупку услуги или поиск исполнителя</w:t>
            </w:r>
          </w:p>
        </w:tc>
      </w:tr>
      <w:tr>
        <w:tc>
          <w:tcPr>
            <w:tcW w:type="dxa" w:w="1927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Проблемы клиента</w:t>
            </w:r>
          </w:p>
        </w:tc>
        <w:tc>
          <w:tcPr>
            <w:tcW w:type="dxa" w:w="3969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как привлечь клиентов, как увеличить продажи, как продвигать бизнес, почему нет заявок</w:t>
            </w:r>
          </w:p>
        </w:tc>
        <w:tc>
          <w:tcPr>
            <w:tcW w:type="dxa" w:w="3402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Какие боли формируют спрос на услугу</w:t>
            </w:r>
          </w:p>
        </w:tc>
      </w:tr>
      <w:tr>
        <w:tc>
          <w:tcPr>
            <w:tcW w:type="dxa" w:w="19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Инструменты продвижения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контекстная реклама, продвижение в социальных сетях, поисковая оптимизация, таргетированная реклама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Какие конкретные услуги могут стать продуктовой линейкой</w:t>
            </w:r>
          </w:p>
        </w:tc>
      </w:tr>
      <w:tr>
        <w:tc>
          <w:tcPr>
            <w:tcW w:type="dxa" w:w="1927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Региональные формулировки</w:t>
            </w:r>
          </w:p>
        </w:tc>
        <w:tc>
          <w:tcPr>
            <w:tcW w:type="dxa" w:w="3969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маркетолог Минск, реклама Минск, продвижение бизнеса Беларусь</w:t>
            </w:r>
          </w:p>
        </w:tc>
        <w:tc>
          <w:tcPr>
            <w:tcW w:type="dxa" w:w="3402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Где искать стартовый рынок</w:t>
            </w:r>
          </w:p>
        </w:tc>
      </w:tr>
      <w:tr>
        <w:tc>
          <w:tcPr>
            <w:tcW w:type="dxa" w:w="19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Цена и выбор подрядчика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сколько стоит продвижение, стоимость рекламы, маркетолог цена, агентство отзывы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Насколько аудитория близка к покупке</w:t>
            </w:r>
          </w:p>
        </w:tc>
      </w:tr>
    </w:tbl>
    <w:p>
      <w:pPr>
        <w:pStyle w:val="Heading2"/>
      </w:pPr>
      <w:r>
        <w:rPr>
          <w:rFonts w:ascii="Arial" w:hAnsi="Arial" w:eastAsia="Arial"/>
        </w:rPr>
        <w:t>8.2. Демонстрационная таблица оценки динамики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028"/>
        <w:gridCol w:w="2028"/>
        <w:gridCol w:w="2028"/>
        <w:gridCol w:w="2028"/>
        <w:gridCol w:w="2028"/>
      </w:tblGrid>
      <w:tr>
        <w:tc>
          <w:tcPr>
            <w:tcW w:type="dxa" w:w="1871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Запрос / кластер</w:t>
            </w:r>
          </w:p>
        </w:tc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Источник</w:t>
            </w:r>
          </w:p>
        </w:tc>
        <w:tc>
          <w:tcPr>
            <w:tcW w:type="dxa" w:w="1530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Период</w:t>
            </w:r>
          </w:p>
        </w:tc>
        <w:tc>
          <w:tcPr>
            <w:tcW w:type="dxa" w:w="294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Наблюдение</w:t>
            </w:r>
          </w:p>
        </w:tc>
        <w:tc>
          <w:tcPr>
            <w:tcW w:type="dxa" w:w="294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Предварительный вывод</w:t>
            </w:r>
          </w:p>
        </w:tc>
      </w:tr>
      <w:tr>
        <w:tc>
          <w:tcPr>
            <w:tcW w:type="dxa" w:w="1871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маркетинг для бизнеса</w:t>
            </w:r>
          </w:p>
        </w:tc>
        <w:tc>
          <w:tcPr>
            <w:tcW w:type="dxa" w:w="1701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Google Trends + Вордстат</w:t>
            </w:r>
          </w:p>
        </w:tc>
        <w:tc>
          <w:tcPr>
            <w:tcW w:type="dxa" w:w="1530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3–5 лет</w:t>
            </w:r>
          </w:p>
        </w:tc>
        <w:tc>
          <w:tcPr>
            <w:tcW w:type="dxa" w:w="2948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Проверяется изменение среднего уровня интереса и повторяемость пиков</w:t>
            </w:r>
          </w:p>
        </w:tc>
        <w:tc>
          <w:tcPr>
            <w:tcW w:type="dxa" w:w="2948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Если последние 12 месяцев выше предыдущих, направление можно считать растущим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как привлечь клиентов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Google Trends + Вордстат</w:t>
            </w:r>
          </w:p>
        </w:tc>
        <w:tc>
          <w:tcPr>
            <w:tcW w:type="dxa" w:w="153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3–5 лет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Обычно отражает проблемный интерес предпринимателей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Рост такого запроса может указывать на усиление потребности в консультационной услуге</w:t>
            </w:r>
          </w:p>
        </w:tc>
      </w:tr>
      <w:tr>
        <w:tc>
          <w:tcPr>
            <w:tcW w:type="dxa" w:w="1871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контекстная реклама</w:t>
            </w:r>
          </w:p>
        </w:tc>
        <w:tc>
          <w:tcPr>
            <w:tcW w:type="dxa" w:w="1701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Google Trends + Вордстат</w:t>
            </w:r>
          </w:p>
        </w:tc>
        <w:tc>
          <w:tcPr>
            <w:tcW w:type="dxa" w:w="1530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3–5 лет</w:t>
            </w:r>
          </w:p>
        </w:tc>
        <w:tc>
          <w:tcPr>
            <w:tcW w:type="dxa" w:w="2948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Оценивается как отдельная услуга внутри продуктовой линейки</w:t>
            </w:r>
          </w:p>
        </w:tc>
        <w:tc>
          <w:tcPr>
            <w:tcW w:type="dxa" w:w="2948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Высокая сезонность требует календарного планирования продаж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маркетолог Минск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Вордстат</w:t>
            </w:r>
          </w:p>
        </w:tc>
        <w:tc>
          <w:tcPr>
            <w:tcW w:type="dxa" w:w="153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С 2018 года при доступности динамики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Проверяется региональный коммерческий спрос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Подходит для выбора стартового географического рынка</w:t>
            </w:r>
          </w:p>
        </w:tc>
      </w:tr>
      <w:tr>
        <w:tc>
          <w:tcPr>
            <w:tcW w:type="dxa" w:w="1871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стоимость продвижения</w:t>
            </w:r>
          </w:p>
        </w:tc>
        <w:tc>
          <w:tcPr>
            <w:tcW w:type="dxa" w:w="1701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Вордстат</w:t>
            </w:r>
          </w:p>
        </w:tc>
        <w:tc>
          <w:tcPr>
            <w:tcW w:type="dxa" w:w="1530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3–5 лет</w:t>
            </w:r>
          </w:p>
        </w:tc>
        <w:tc>
          <w:tcPr>
            <w:tcW w:type="dxa" w:w="2948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Фиксирует интерес к цене и сравнению исполнителей</w:t>
            </w:r>
          </w:p>
        </w:tc>
        <w:tc>
          <w:tcPr>
            <w:tcW w:type="dxa" w:w="2948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Рост запроса может означать движение аудитории к покупке</w:t>
            </w:r>
          </w:p>
        </w:tc>
      </w:tr>
    </w:tbl>
    <w:p>
      <w:pPr>
        <w:pStyle w:val="Heading2"/>
      </w:pPr>
      <w:r>
        <w:rPr>
          <w:rFonts w:ascii="Arial" w:hAnsi="Arial" w:eastAsia="Arial"/>
        </w:rPr>
        <w:t>8.3. Пример итоговой коммерческой интерпретации</w:t>
      </w:r>
    </w:p>
    <w:p>
      <w:pPr>
        <w:spacing w:after="120" w:line="259" w:lineRule="auto"/>
      </w:pPr>
      <w:r>
        <w:rPr>
          <w:rFonts w:ascii="Arial" w:hAnsi="Arial" w:eastAsia="Arial"/>
          <w:sz w:val="21"/>
        </w:rPr>
        <w:t>Если анализ показывает, что общий интерес к маркетинговым услугам стабилен или растет, коммерческие запросы сохраняют достаточный уровень, а проблемные запросы типа «как привлечь клиентов» имеют регулярные пики, то бизнес-идею можно рассматривать как потенциально востребованную. При этом сезонность показывает, в какие месяцы усиливать рекламу, а циклическая оценка позволяет понять, находится ли рынок в фазе расширения, насыщения или замедления.</w:t>
      </w:r>
    </w:p>
    <w:p>
      <w:pPr>
        <w:spacing w:after="120" w:line="259" w:lineRule="auto"/>
      </w:pPr>
      <w:r>
        <w:rPr>
          <w:rFonts w:ascii="Arial" w:hAnsi="Arial" w:eastAsia="Arial"/>
          <w:sz w:val="21"/>
        </w:rPr>
        <w:t>Для окончательного решения необходимо дополнительно проверить конкурентов, цены, количество предложений в выбранном регионе, наличие платежеспособных сегментов и стоимость привлечения клиента.</w:t>
      </w:r>
    </w:p>
    <w:p>
      <w:pPr>
        <w:pStyle w:val="Heading1"/>
      </w:pPr>
      <w:r>
        <w:rPr>
          <w:rFonts w:ascii="Arial" w:hAnsi="Arial" w:eastAsia="Arial"/>
        </w:rPr>
        <w:t>9. Рабочие таблицы и шаблоны выводов</w:t>
      </w:r>
    </w:p>
    <w:p>
      <w:pPr>
        <w:pStyle w:val="Heading2"/>
      </w:pPr>
      <w:r>
        <w:rPr>
          <w:rFonts w:ascii="Arial" w:hAnsi="Arial" w:eastAsia="Arial"/>
        </w:rPr>
        <w:t>9.1. Журнал выгрузки данных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268"/>
        <w:gridCol w:w="1268"/>
        <w:gridCol w:w="1268"/>
        <w:gridCol w:w="1268"/>
        <w:gridCol w:w="1268"/>
        <w:gridCol w:w="1268"/>
        <w:gridCol w:w="1268"/>
        <w:gridCol w:w="1268"/>
      </w:tblGrid>
      <w:tr>
        <w:tc>
          <w:tcPr>
            <w:tcW w:type="dxa" w:w="1247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Дата выгрузки</w:t>
            </w:r>
          </w:p>
        </w:tc>
        <w:tc>
          <w:tcPr>
            <w:tcW w:type="dxa" w:w="1530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Источник</w:t>
            </w:r>
          </w:p>
        </w:tc>
        <w:tc>
          <w:tcPr>
            <w:tcW w:type="dxa" w:w="1587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Запрос</w:t>
            </w:r>
          </w:p>
        </w:tc>
        <w:tc>
          <w:tcPr>
            <w:tcW w:type="dxa" w:w="1360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Регион</w:t>
            </w:r>
          </w:p>
        </w:tc>
        <w:tc>
          <w:tcPr>
            <w:tcW w:type="dxa" w:w="1360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Период</w:t>
            </w:r>
          </w:p>
        </w:tc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Фильтры</w:t>
            </w:r>
          </w:p>
        </w:tc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Файл</w:t>
            </w:r>
          </w:p>
        </w:tc>
        <w:tc>
          <w:tcPr>
            <w:tcW w:type="dxa" w:w="1814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Комментарий</w:t>
            </w:r>
          </w:p>
        </w:tc>
      </w:tr>
      <w:tr>
        <w:tc>
          <w:tcPr>
            <w:tcW w:type="dxa" w:w="1247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___.___.20__</w:t>
            </w:r>
          </w:p>
        </w:tc>
        <w:tc>
          <w:tcPr>
            <w:tcW w:type="dxa" w:w="1530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Google Trends / Вордстат</w:t>
            </w:r>
          </w:p>
        </w:tc>
        <w:tc>
          <w:tcPr>
            <w:tcW w:type="dxa" w:w="1587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[запрос]</w:t>
            </w:r>
          </w:p>
        </w:tc>
        <w:tc>
          <w:tcPr>
            <w:tcW w:type="dxa" w:w="1360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[территория]</w:t>
            </w:r>
          </w:p>
        </w:tc>
        <w:tc>
          <w:tcPr>
            <w:tcW w:type="dxa" w:w="1360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[период]</w:t>
            </w:r>
          </w:p>
        </w:tc>
        <w:tc>
          <w:tcPr>
            <w:tcW w:type="dxa" w:w="1984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[категория, тип поиска, устройства]</w:t>
            </w:r>
          </w:p>
        </w:tc>
        <w:tc>
          <w:tcPr>
            <w:tcW w:type="dxa" w:w="1701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[название файла]</w:t>
            </w:r>
          </w:p>
        </w:tc>
        <w:tc>
          <w:tcPr>
            <w:tcW w:type="dxa" w:w="1814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[особенности]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___.___.20__</w:t>
            </w:r>
          </w:p>
        </w:tc>
        <w:tc>
          <w:tcPr>
            <w:tcW w:type="dxa" w:w="153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Google Trends / Вордстат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[запрос]</w:t>
            </w:r>
          </w:p>
        </w:tc>
        <w:tc>
          <w:tcPr>
            <w:tcW w:type="dxa" w:w="1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[территория]</w:t>
            </w:r>
          </w:p>
        </w:tc>
        <w:tc>
          <w:tcPr>
            <w:tcW w:type="dxa" w:w="1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[период]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[категория, тип поиска, устройства]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[название файла]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[особенности]</w:t>
            </w:r>
          </w:p>
        </w:tc>
      </w:tr>
    </w:tbl>
    <w:p>
      <w:pPr>
        <w:pStyle w:val="Heading2"/>
      </w:pPr>
      <w:r>
        <w:rPr>
          <w:rFonts w:ascii="Arial" w:hAnsi="Arial" w:eastAsia="Arial"/>
        </w:rPr>
        <w:t>9.2. Рабочая таблица оценки устойчивой динамики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449"/>
        <w:gridCol w:w="1449"/>
        <w:gridCol w:w="1449"/>
        <w:gridCol w:w="1449"/>
        <w:gridCol w:w="1449"/>
        <w:gridCol w:w="1449"/>
        <w:gridCol w:w="1449"/>
      </w:tblGrid>
      <w:tr>
        <w:tc>
          <w:tcPr>
            <w:tcW w:type="dxa" w:w="1530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Кластер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Запросы</w:t>
            </w:r>
          </w:p>
        </w:tc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Среднее предыдущего года</w:t>
            </w:r>
          </w:p>
        </w:tc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Среднее последнего года</w:t>
            </w:r>
          </w:p>
        </w:tc>
        <w:tc>
          <w:tcPr>
            <w:tcW w:type="dxa" w:w="1360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Изменение, %</w:t>
            </w:r>
          </w:p>
        </w:tc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Тип динамики</w:t>
            </w:r>
          </w:p>
        </w:tc>
        <w:tc>
          <w:tcPr>
            <w:tcW w:type="dxa" w:w="243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Вывод</w:t>
            </w:r>
          </w:p>
        </w:tc>
      </w:tr>
      <w:tr>
        <w:tc>
          <w:tcPr>
            <w:tcW w:type="dxa" w:w="1530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[кластер]</w:t>
            </w:r>
          </w:p>
        </w:tc>
        <w:tc>
          <w:tcPr>
            <w:tcW w:type="dxa" w:w="2268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[запросы]</w:t>
            </w:r>
          </w:p>
        </w:tc>
        <w:tc>
          <w:tcPr>
            <w:tcW w:type="dxa" w:w="1701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[значение]</w:t>
            </w:r>
          </w:p>
        </w:tc>
        <w:tc>
          <w:tcPr>
            <w:tcW w:type="dxa" w:w="1701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[значение]</w:t>
            </w:r>
          </w:p>
        </w:tc>
        <w:tc>
          <w:tcPr>
            <w:tcW w:type="dxa" w:w="1360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[%]</w:t>
            </w:r>
          </w:p>
        </w:tc>
        <w:tc>
          <w:tcPr>
            <w:tcW w:type="dxa" w:w="1701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[рост / стабильность / спад]</w:t>
            </w:r>
          </w:p>
        </w:tc>
        <w:tc>
          <w:tcPr>
            <w:tcW w:type="dxa" w:w="2438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[коммерческий вывод]</w:t>
            </w:r>
          </w:p>
        </w:tc>
      </w:tr>
      <w:tr>
        <w:tc>
          <w:tcPr>
            <w:tcW w:type="dxa" w:w="153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[кластер]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[запросы]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[значение]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[значение]</w:t>
            </w:r>
          </w:p>
        </w:tc>
        <w:tc>
          <w:tcPr>
            <w:tcW w:type="dxa" w:w="1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[%]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[рост / стабильность / спад]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[коммерческий вывод]</w:t>
            </w:r>
          </w:p>
        </w:tc>
      </w:tr>
    </w:tbl>
    <w:p>
      <w:pPr>
        <w:pStyle w:val="Heading2"/>
      </w:pPr>
      <w:r>
        <w:rPr>
          <w:rFonts w:ascii="Arial" w:hAnsi="Arial" w:eastAsia="Arial"/>
        </w:rPr>
        <w:t>9.3. Рабочая таблица сезонности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028"/>
        <w:gridCol w:w="2028"/>
        <w:gridCol w:w="2028"/>
        <w:gridCol w:w="2028"/>
        <w:gridCol w:w="2028"/>
      </w:tblGrid>
      <w:tr>
        <w:tc>
          <w:tcPr>
            <w:tcW w:type="dxa" w:w="1587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Месяц</w:t>
            </w:r>
          </w:p>
        </w:tc>
        <w:tc>
          <w:tcPr>
            <w:tcW w:type="dxa" w:w="1927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Среднее значение</w:t>
            </w:r>
          </w:p>
        </w:tc>
        <w:tc>
          <w:tcPr>
            <w:tcW w:type="dxa" w:w="1814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Сезонный индекс</w:t>
            </w:r>
          </w:p>
        </w:tc>
        <w:tc>
          <w:tcPr>
            <w:tcW w:type="dxa" w:w="1927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Оценка месяца</w:t>
            </w:r>
          </w:p>
        </w:tc>
        <w:tc>
          <w:tcPr>
            <w:tcW w:type="dxa" w:w="328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Решение для бизнеса</w:t>
            </w:r>
          </w:p>
        </w:tc>
      </w:tr>
      <w:tr>
        <w:tc>
          <w:tcPr>
            <w:tcW w:type="dxa" w:w="1587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Январь</w:t>
            </w:r>
          </w:p>
        </w:tc>
        <w:tc>
          <w:tcPr>
            <w:tcW w:type="dxa" w:w="1927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[среднее]</w:t>
            </w:r>
          </w:p>
        </w:tc>
        <w:tc>
          <w:tcPr>
            <w:tcW w:type="dxa" w:w="1814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[индекс]</w:t>
            </w:r>
          </w:p>
        </w:tc>
        <w:tc>
          <w:tcPr>
            <w:tcW w:type="dxa" w:w="1927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[низкий / средний / пик]</w:t>
            </w:r>
          </w:p>
        </w:tc>
        <w:tc>
          <w:tcPr>
            <w:tcW w:type="dxa" w:w="3288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[действие]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Февраль</w:t>
            </w:r>
          </w:p>
        </w:tc>
        <w:tc>
          <w:tcPr>
            <w:tcW w:type="dxa" w:w="19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[среднее]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[индекс]</w:t>
            </w:r>
          </w:p>
        </w:tc>
        <w:tc>
          <w:tcPr>
            <w:tcW w:type="dxa" w:w="19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[низкий / средний / пик]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[действие]</w:t>
            </w:r>
          </w:p>
        </w:tc>
      </w:tr>
      <w:tr>
        <w:tc>
          <w:tcPr>
            <w:tcW w:type="dxa" w:w="1587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Март</w:t>
            </w:r>
          </w:p>
        </w:tc>
        <w:tc>
          <w:tcPr>
            <w:tcW w:type="dxa" w:w="1927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[среднее]</w:t>
            </w:r>
          </w:p>
        </w:tc>
        <w:tc>
          <w:tcPr>
            <w:tcW w:type="dxa" w:w="1814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[индекс]</w:t>
            </w:r>
          </w:p>
        </w:tc>
        <w:tc>
          <w:tcPr>
            <w:tcW w:type="dxa" w:w="1927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[низкий / средний / пик]</w:t>
            </w:r>
          </w:p>
        </w:tc>
        <w:tc>
          <w:tcPr>
            <w:tcW w:type="dxa" w:w="3288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[действие]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Апрель</w:t>
            </w:r>
          </w:p>
        </w:tc>
        <w:tc>
          <w:tcPr>
            <w:tcW w:type="dxa" w:w="19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[среднее]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[индекс]</w:t>
            </w:r>
          </w:p>
        </w:tc>
        <w:tc>
          <w:tcPr>
            <w:tcW w:type="dxa" w:w="19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[низкий / средний / пик]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[действие]</w:t>
            </w:r>
          </w:p>
        </w:tc>
      </w:tr>
      <w:tr>
        <w:tc>
          <w:tcPr>
            <w:tcW w:type="dxa" w:w="1587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Май</w:t>
            </w:r>
          </w:p>
        </w:tc>
        <w:tc>
          <w:tcPr>
            <w:tcW w:type="dxa" w:w="1927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[среднее]</w:t>
            </w:r>
          </w:p>
        </w:tc>
        <w:tc>
          <w:tcPr>
            <w:tcW w:type="dxa" w:w="1814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[индекс]</w:t>
            </w:r>
          </w:p>
        </w:tc>
        <w:tc>
          <w:tcPr>
            <w:tcW w:type="dxa" w:w="1927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[низкий / средний / пик]</w:t>
            </w:r>
          </w:p>
        </w:tc>
        <w:tc>
          <w:tcPr>
            <w:tcW w:type="dxa" w:w="3288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[действие]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Июнь</w:t>
            </w:r>
          </w:p>
        </w:tc>
        <w:tc>
          <w:tcPr>
            <w:tcW w:type="dxa" w:w="19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[среднее]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[индекс]</w:t>
            </w:r>
          </w:p>
        </w:tc>
        <w:tc>
          <w:tcPr>
            <w:tcW w:type="dxa" w:w="19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[низкий / средний / пик]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[действие]</w:t>
            </w:r>
          </w:p>
        </w:tc>
      </w:tr>
      <w:tr>
        <w:tc>
          <w:tcPr>
            <w:tcW w:type="dxa" w:w="1587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Июль</w:t>
            </w:r>
          </w:p>
        </w:tc>
        <w:tc>
          <w:tcPr>
            <w:tcW w:type="dxa" w:w="1927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[среднее]</w:t>
            </w:r>
          </w:p>
        </w:tc>
        <w:tc>
          <w:tcPr>
            <w:tcW w:type="dxa" w:w="1814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[индекс]</w:t>
            </w:r>
          </w:p>
        </w:tc>
        <w:tc>
          <w:tcPr>
            <w:tcW w:type="dxa" w:w="1927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[низкий / средний / пик]</w:t>
            </w:r>
          </w:p>
        </w:tc>
        <w:tc>
          <w:tcPr>
            <w:tcW w:type="dxa" w:w="3288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[действие]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Август</w:t>
            </w:r>
          </w:p>
        </w:tc>
        <w:tc>
          <w:tcPr>
            <w:tcW w:type="dxa" w:w="19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[среднее]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[индекс]</w:t>
            </w:r>
          </w:p>
        </w:tc>
        <w:tc>
          <w:tcPr>
            <w:tcW w:type="dxa" w:w="19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[низкий / средний / пик]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[действие]</w:t>
            </w:r>
          </w:p>
        </w:tc>
      </w:tr>
      <w:tr>
        <w:tc>
          <w:tcPr>
            <w:tcW w:type="dxa" w:w="1587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Сентябрь</w:t>
            </w:r>
          </w:p>
        </w:tc>
        <w:tc>
          <w:tcPr>
            <w:tcW w:type="dxa" w:w="1927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[среднее]</w:t>
            </w:r>
          </w:p>
        </w:tc>
        <w:tc>
          <w:tcPr>
            <w:tcW w:type="dxa" w:w="1814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[индекс]</w:t>
            </w:r>
          </w:p>
        </w:tc>
        <w:tc>
          <w:tcPr>
            <w:tcW w:type="dxa" w:w="1927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[низкий / средний / пик]</w:t>
            </w:r>
          </w:p>
        </w:tc>
        <w:tc>
          <w:tcPr>
            <w:tcW w:type="dxa" w:w="3288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[действие]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Октябрь</w:t>
            </w:r>
          </w:p>
        </w:tc>
        <w:tc>
          <w:tcPr>
            <w:tcW w:type="dxa" w:w="19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[среднее]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[индекс]</w:t>
            </w:r>
          </w:p>
        </w:tc>
        <w:tc>
          <w:tcPr>
            <w:tcW w:type="dxa" w:w="19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[низкий / средний / пик]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[действие]</w:t>
            </w:r>
          </w:p>
        </w:tc>
      </w:tr>
      <w:tr>
        <w:tc>
          <w:tcPr>
            <w:tcW w:type="dxa" w:w="1587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Ноябрь</w:t>
            </w:r>
          </w:p>
        </w:tc>
        <w:tc>
          <w:tcPr>
            <w:tcW w:type="dxa" w:w="1927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[среднее]</w:t>
            </w:r>
          </w:p>
        </w:tc>
        <w:tc>
          <w:tcPr>
            <w:tcW w:type="dxa" w:w="1814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[индекс]</w:t>
            </w:r>
          </w:p>
        </w:tc>
        <w:tc>
          <w:tcPr>
            <w:tcW w:type="dxa" w:w="1927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[низкий / средний / пик]</w:t>
            </w:r>
          </w:p>
        </w:tc>
        <w:tc>
          <w:tcPr>
            <w:tcW w:type="dxa" w:w="3288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[действие]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Декабрь</w:t>
            </w:r>
          </w:p>
        </w:tc>
        <w:tc>
          <w:tcPr>
            <w:tcW w:type="dxa" w:w="19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[среднее]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[индекс]</w:t>
            </w:r>
          </w:p>
        </w:tc>
        <w:tc>
          <w:tcPr>
            <w:tcW w:type="dxa" w:w="1927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[низкий / средний / пик]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[действие]</w:t>
            </w:r>
          </w:p>
        </w:tc>
      </w:tr>
    </w:tbl>
    <w:p>
      <w:pPr>
        <w:pStyle w:val="Heading2"/>
      </w:pPr>
      <w:r>
        <w:rPr>
          <w:rFonts w:ascii="Arial" w:hAnsi="Arial" w:eastAsia="Arial"/>
        </w:rPr>
        <w:t>9.4. Шаблоны итоговых выводов</w:t>
      </w:r>
    </w:p>
    <w:p>
      <w:pPr>
        <w:spacing w:after="120" w:line="259" w:lineRule="auto"/>
      </w:pPr>
      <w:r>
        <w:rPr>
          <w:rFonts w:ascii="Arial" w:hAnsi="Arial" w:eastAsia="Arial"/>
          <w:sz w:val="21"/>
        </w:rPr>
        <w:t>Шаблон вывода о росте: Анализ данных Google Trends и Яндекс Вордстат показывает признаки устойчивого роста поискового интереса к направлению [название направления]. Средний уровень интереса за последний период превышает предыдущий, а рост наблюдается не только по общим, но и по коммерчески значимым запросам. Это позволяет рассматривать направление как перспективное для дальнейшего анализа рынка и проверки платежеспособного спроса.</w:t>
      </w:r>
    </w:p>
    <w:p>
      <w:pPr>
        <w:spacing w:after="120" w:line="259" w:lineRule="auto"/>
      </w:pPr>
      <w:r>
        <w:rPr>
          <w:rFonts w:ascii="Arial" w:hAnsi="Arial" w:eastAsia="Arial"/>
          <w:sz w:val="21"/>
        </w:rPr>
        <w:t>Шаблон вывода о сезонности: Данные показывают выраженную сезонность интереса: наиболее сильные значения приходятся на [месяцы], а снижение наблюдается в [месяцы]. Следовательно, продвижение и подготовка коммерческого предложения должны начинаться за [1–3] месяца до пикового периода, чтобы использовать рост интереса аудитории.</w:t>
      </w:r>
    </w:p>
    <w:p>
      <w:pPr>
        <w:spacing w:after="120" w:line="259" w:lineRule="auto"/>
      </w:pPr>
      <w:r>
        <w:rPr>
          <w:rFonts w:ascii="Arial" w:hAnsi="Arial" w:eastAsia="Arial"/>
          <w:sz w:val="21"/>
        </w:rPr>
        <w:t>Шаблон вывода о циклическом риске: После сглаживания и исключения сезонных колебаний наблюдаются признаки [роста / замедления / спада] поискового интереса. Это может указывать на соответствующую фазу рыночной активности, однако данный вывод требует проверки внешними показателями: продажами, рекламными затратами, конкурентной активностью и отраслевой статистикой.</w:t>
      </w:r>
    </w:p>
    <w:p>
      <w:pPr>
        <w:pStyle w:val="Heading1"/>
      </w:pPr>
      <w:r>
        <w:rPr>
          <w:rFonts w:ascii="Arial" w:hAnsi="Arial" w:eastAsia="Arial"/>
        </w:rPr>
        <w:t>10. Контроль качества анализа и типовые ошибки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381"/>
        <w:gridCol w:w="3381"/>
        <w:gridCol w:w="3381"/>
      </w:tblGrid>
      <w:tr>
        <w:tc>
          <w:tcPr>
            <w:tcW w:type="dxa" w:w="2494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Ошибка</w:t>
            </w:r>
          </w:p>
        </w:tc>
        <w:tc>
          <w:tcPr>
            <w:tcW w:type="dxa" w:w="3402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Почему опасно</w:t>
            </w:r>
          </w:p>
        </w:tc>
        <w:tc>
          <w:tcPr>
            <w:tcW w:type="dxa" w:w="3402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Как исправить</w:t>
            </w:r>
          </w:p>
        </w:tc>
      </w:tr>
      <w:tr>
        <w:tc>
          <w:tcPr>
            <w:tcW w:type="dxa" w:w="2494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Сравнение разных регионов без фиксации параметров</w:t>
            </w:r>
          </w:p>
        </w:tc>
        <w:tc>
          <w:tcPr>
            <w:tcW w:type="dxa" w:w="3402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Данные становятся несопоставимыми</w:t>
            </w:r>
          </w:p>
        </w:tc>
        <w:tc>
          <w:tcPr>
            <w:tcW w:type="dxa" w:w="3402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Всегда фиксировать регион, период, категорию и тип поиска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Вывод по одному запросу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Один запрос может быть многозначным или случайным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Использовать кластеры запросов</w:t>
            </w:r>
          </w:p>
        </w:tc>
      </w:tr>
      <w:tr>
        <w:tc>
          <w:tcPr>
            <w:tcW w:type="dxa" w:w="2494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Интерпретация Google Trends как количества запросов</w:t>
            </w:r>
          </w:p>
        </w:tc>
        <w:tc>
          <w:tcPr>
            <w:tcW w:type="dxa" w:w="3402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Индекс 0–100 не является объемом рынка</w:t>
            </w:r>
          </w:p>
        </w:tc>
        <w:tc>
          <w:tcPr>
            <w:tcW w:type="dxa" w:w="3402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Писать «относительный интерес», а не «число запросов»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Игнорирование неполного месяца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Последний период может выглядеть как спад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Исключать незавершенные периоды</w:t>
            </w:r>
          </w:p>
        </w:tc>
      </w:tr>
      <w:tr>
        <w:tc>
          <w:tcPr>
            <w:tcW w:type="dxa" w:w="2494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Смешение информационных и коммерческих запросов</w:t>
            </w:r>
          </w:p>
        </w:tc>
        <w:tc>
          <w:tcPr>
            <w:tcW w:type="dxa" w:w="3402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Можно перепутать интерес к теме с готовностью купить</w:t>
            </w:r>
          </w:p>
        </w:tc>
        <w:tc>
          <w:tcPr>
            <w:tcW w:type="dxa" w:w="3402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Разделять намерения аудитории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Принятие события за сезонность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Разовый всплеск ошибочно принимается за устойчивый цикл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Проверять повторяемость по годам</w:t>
            </w:r>
          </w:p>
        </w:tc>
      </w:tr>
      <w:tr>
        <w:tc>
          <w:tcPr>
            <w:tcW w:type="dxa" w:w="2494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Доказательство делового цикла только поисковыми данными</w:t>
            </w:r>
          </w:p>
        </w:tc>
        <w:tc>
          <w:tcPr>
            <w:tcW w:type="dxa" w:w="3402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Поиск не измеряет экономику рынка напрямую</w:t>
            </w:r>
          </w:p>
        </w:tc>
        <w:tc>
          <w:tcPr>
            <w:tcW w:type="dxa" w:w="3402"/>
            <w:vAlign w:val="center"/>
            <w:shd w:fill="F8FBFD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Подтверждать внешними показателями</w:t>
            </w:r>
          </w:p>
        </w:tc>
      </w:tr>
    </w:tbl>
    <w:p>
      <w:pPr>
        <w:pStyle w:val="Heading1"/>
      </w:pPr>
      <w:r>
        <w:rPr>
          <w:rFonts w:ascii="Arial" w:hAnsi="Arial" w:eastAsia="Arial"/>
        </w:rPr>
        <w:t>11. Источники и справочные материалы</w:t>
      </w:r>
    </w:p>
    <w:p>
      <w:pPr>
        <w:spacing w:after="120" w:line="259" w:lineRule="auto"/>
      </w:pPr>
      <w:r>
        <w:rPr>
          <w:rFonts w:ascii="Arial" w:hAnsi="Arial" w:eastAsia="Arial"/>
          <w:sz w:val="21"/>
        </w:rPr>
        <w:t>1. Google Trends Help. FAQ about Google Trends data. URL: https://support.google.com/trends/answer/4365533</w:t>
      </w:r>
    </w:p>
    <w:p>
      <w:pPr>
        <w:spacing w:after="120" w:line="259" w:lineRule="auto"/>
      </w:pPr>
      <w:r>
        <w:rPr>
          <w:rFonts w:ascii="Arial" w:hAnsi="Arial" w:eastAsia="Arial"/>
          <w:sz w:val="21"/>
        </w:rPr>
        <w:t>2. Google Trends Help. Export, embed, and cite Trends data. URL: https://support.google.com/trends/answer/4365538</w:t>
      </w:r>
    </w:p>
    <w:p>
      <w:pPr>
        <w:spacing w:after="120" w:line="259" w:lineRule="auto"/>
      </w:pPr>
      <w:r>
        <w:rPr>
          <w:rFonts w:ascii="Arial" w:hAnsi="Arial" w:eastAsia="Arial"/>
          <w:sz w:val="21"/>
        </w:rPr>
        <w:t>3. Яндекс Вордстат. Описание сервиса. URL: https://wordstat.yandex.ru/</w:t>
      </w:r>
    </w:p>
    <w:p>
      <w:pPr>
        <w:spacing w:after="120" w:line="259" w:lineRule="auto"/>
      </w:pPr>
      <w:r>
        <w:rPr>
          <w:rFonts w:ascii="Arial" w:hAnsi="Arial" w:eastAsia="Arial"/>
          <w:sz w:val="21"/>
        </w:rPr>
        <w:t>4. Яндекс Директ. Яндекс Вордстат: статистика по запросам, динамика, регионы, скачивание данных, операторы. URL: https://direct.yandex.ru/base/articles/wordstat-statistika-klyuchevyh-slov</w:t>
      </w:r>
    </w:p>
    <w:p>
      <w:pPr>
        <w:pStyle w:val="Heading1"/>
      </w:pPr>
      <w:r>
        <w:rPr>
          <w:rFonts w:ascii="Arial" w:hAnsi="Arial" w:eastAsia="Arial"/>
        </w:rPr>
        <w:t>Краткий итоговый алгоритм</w:t>
      </w:r>
    </w:p>
    <w:p>
      <w:pPr>
        <w:spacing w:after="60"/>
        <w:ind w:left="255" w:hanging="255"/>
      </w:pPr>
      <w:r>
        <w:rPr>
          <w:rFonts w:ascii="Arial" w:hAnsi="Arial" w:eastAsia="Arial"/>
          <w:sz w:val="20"/>
        </w:rPr>
        <w:t>1. Сформулировать бизнес-идею и набор поисковых кластеров.</w:t>
      </w:r>
    </w:p>
    <w:p>
      <w:pPr>
        <w:spacing w:after="60"/>
        <w:ind w:left="255" w:hanging="255"/>
      </w:pPr>
      <w:r>
        <w:rPr>
          <w:rFonts w:ascii="Arial" w:hAnsi="Arial" w:eastAsia="Arial"/>
          <w:sz w:val="20"/>
        </w:rPr>
        <w:t>2. Выгрузить данные Google Trends и Яндекс Вордстат с едиными параметрами.</w:t>
      </w:r>
    </w:p>
    <w:p>
      <w:pPr>
        <w:spacing w:after="60"/>
        <w:ind w:left="255" w:hanging="255"/>
      </w:pPr>
      <w:r>
        <w:rPr>
          <w:rFonts w:ascii="Arial" w:hAnsi="Arial" w:eastAsia="Arial"/>
          <w:sz w:val="20"/>
        </w:rPr>
        <w:t>3. Очистить данные, удалить неполные периоды и привести ряды к единой периодичности.</w:t>
      </w:r>
    </w:p>
    <w:p>
      <w:pPr>
        <w:spacing w:after="60"/>
        <w:ind w:left="255" w:hanging="255"/>
      </w:pPr>
      <w:r>
        <w:rPr>
          <w:rFonts w:ascii="Arial" w:hAnsi="Arial" w:eastAsia="Arial"/>
          <w:sz w:val="20"/>
        </w:rPr>
        <w:t>4. Оценить устойчивую динамику по исходному ряду и скользящему среднему.</w:t>
      </w:r>
    </w:p>
    <w:p>
      <w:pPr>
        <w:spacing w:after="60"/>
        <w:ind w:left="255" w:hanging="255"/>
      </w:pPr>
      <w:r>
        <w:rPr>
          <w:rFonts w:ascii="Arial" w:hAnsi="Arial" w:eastAsia="Arial"/>
          <w:sz w:val="20"/>
        </w:rPr>
        <w:t>5. Рассчитать сезонные индексы и определить периоды пика, разгона и спада.</w:t>
      </w:r>
    </w:p>
    <w:p>
      <w:pPr>
        <w:spacing w:after="60"/>
        <w:ind w:left="255" w:hanging="255"/>
      </w:pPr>
      <w:r>
        <w:rPr>
          <w:rFonts w:ascii="Arial" w:hAnsi="Arial" w:eastAsia="Arial"/>
          <w:sz w:val="20"/>
        </w:rPr>
        <w:t>6. После удаления сезонности проверить признаки более длинных рыночных колебаний.</w:t>
      </w:r>
    </w:p>
    <w:p>
      <w:pPr>
        <w:spacing w:after="60"/>
        <w:ind w:left="255" w:hanging="255"/>
      </w:pPr>
      <w:r>
        <w:rPr>
          <w:rFonts w:ascii="Arial" w:hAnsi="Arial" w:eastAsia="Arial"/>
          <w:sz w:val="20"/>
        </w:rPr>
        <w:t>7. Сопоставить результаты двух источников и нескольких кластеров запросов.</w:t>
      </w:r>
    </w:p>
    <w:p>
      <w:pPr>
        <w:spacing w:after="60"/>
        <w:ind w:left="255" w:hanging="255"/>
      </w:pPr>
      <w:r>
        <w:rPr>
          <w:rFonts w:ascii="Arial" w:hAnsi="Arial" w:eastAsia="Arial"/>
          <w:sz w:val="20"/>
        </w:rPr>
        <w:t>8. Сформулировать коммерческий вывод: перспективность направления, период запуска, территорию, риски и данные, которые нужно проверить дополнительно.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96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Страница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646464"/>
        <w:sz w:val="16"/>
      </w:rPr>
      <w:t>Методика анализа поисковой динамики: Google Trends и Яндекс Вордстат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