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4E79"/>
          <w:sz w:val="42"/>
        </w:rPr>
        <w:t>Шаблоны формулирования зафиксированных границ рынка</w:t>
      </w:r>
    </w:p>
    <w:p>
      <w:pPr>
        <w:jc w:val="center"/>
      </w:pPr>
      <w:r>
        <w:rPr>
          <w:color w:val="475569"/>
          <w:sz w:val="24"/>
        </w:rPr>
        <w:t>Для анализа электронного бизнеса и подготовки обоснования рыночного исследования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156"/>
        <w:gridCol w:w="5156"/>
      </w:tblGrid>
      <w:tr>
        <w:trPr>
          <w:tblHeader w:val="true"/>
        </w:trPr>
        <w:tc>
          <w:tcPr>
            <w:tcW w:type="dxa" w:w="260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03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Содержание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Назначение документа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Дать готовые профессиональные формулировки для фиксации продуктовых, клиентских, географических, канальных и семантических границ рынка.</w:t>
            </w:r>
          </w:p>
        </w:tc>
      </w:tr>
      <w:tr>
        <w:tc>
          <w:tcPr>
            <w:tcW w:type="dxa" w:w="2608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Когда используется</w:t>
            </w:r>
          </w:p>
        </w:tc>
        <w:tc>
          <w:tcPr>
            <w:tcW w:type="dxa" w:w="7030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После предварительного анализа интереса аудитории, семантического ядра, Google Trends, Яндекс Вордстат и перед расчетом объема рынка.</w:t>
            </w:r>
          </w:p>
        </w:tc>
      </w:tr>
      <w:tr>
        <w:tc>
          <w:tcPr>
            <w:tcW w:type="dxa" w:w="2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Основной результат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Паспорт зафиксированных границ рынка, который можно включить в отчет, бизнес-план, презентацию или аналитическую записку.</w:t>
            </w:r>
          </w:p>
        </w:tc>
      </w:tr>
      <w:tr>
        <w:tc>
          <w:tcPr>
            <w:tcW w:type="dxa" w:w="2608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Пример применения</w:t>
            </w:r>
          </w:p>
        </w:tc>
        <w:tc>
          <w:tcPr>
            <w:tcW w:type="dxa" w:w="7030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Электронный бизнес на основе компетенции «маркетинг»: маркетинговое сопровождение малого и среднего бизнеса.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</w:tblPr>
      <w:tblGrid>
        <w:gridCol w:w="10313"/>
      </w:tblGrid>
      <w:tr>
        <w:tc>
          <w:tcPr>
            <w:tcW w:type="dxa" w:w="10313"/>
            <w:shd w:fill="E2E8F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Ключевой принцип</w:t>
            </w:r>
          </w:p>
        </w:tc>
      </w:tr>
      <w:tr>
        <w:tc>
          <w:tcPr>
            <w:tcW w:type="dxa" w:w="10313"/>
            <w:shd w:fill="F8FAFC"/>
          </w:tcPr>
          <w:p>
            <w:pPr>
              <w:spacing w:after="0"/>
            </w:pPr>
            <w:r/>
            <w:r>
              <w:rPr>
                <w:sz w:val="19"/>
              </w:rPr>
              <w:t>Границы рынка фиксируются не только по названию услуги, но и по клиентской задаче, группе потребителей, территории, цифровым каналам, заменителям и источникам данных. Формулировка должна показывать, что именно входит в анализ, что исключается и почему выбранная территория считается обоснованной.</w:t>
            </w:r>
            <w:r>
              <w:br/>
            </w:r>
          </w:p>
        </w:tc>
      </w:tr>
    </w:tbl>
    <w:p/>
    <w:p>
      <w:pPr>
        <w:jc w:val="center"/>
      </w:pPr>
      <w:r>
        <w:rPr>
          <w:i/>
          <w:color w:val="475569"/>
          <w:sz w:val="20"/>
        </w:rPr>
        <w:t>Документ предназначен для прямого использования: текст в квадратных скобках заменяется данными конкретного проекта.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Number"/>
        <w:spacing w:after="40"/>
      </w:pPr>
      <w:r>
        <w:rPr>
          <w:sz w:val="20"/>
        </w:rPr>
        <w:t>1. Как использовать шаблоны</w:t>
      </w:r>
    </w:p>
    <w:p>
      <w:pPr>
        <w:pStyle w:val="ListNumber"/>
        <w:spacing w:after="40"/>
      </w:pPr>
      <w:r>
        <w:rPr>
          <w:sz w:val="20"/>
        </w:rPr>
        <w:t>2. Универсальная структура формулировки границ рынка</w:t>
      </w:r>
    </w:p>
    <w:p>
      <w:pPr>
        <w:pStyle w:val="ListNumber"/>
        <w:spacing w:after="40"/>
      </w:pPr>
      <w:r>
        <w:rPr>
          <w:sz w:val="20"/>
        </w:rPr>
        <w:t>3. Шаблоны по отдельным видам границ рынка</w:t>
      </w:r>
    </w:p>
    <w:p>
      <w:pPr>
        <w:pStyle w:val="ListNumber"/>
        <w:spacing w:after="40"/>
      </w:pPr>
      <w:r>
        <w:rPr>
          <w:sz w:val="20"/>
        </w:rPr>
        <w:t>4. Шаблоны включения и исключения элементов рынка</w:t>
      </w:r>
    </w:p>
    <w:p>
      <w:pPr>
        <w:pStyle w:val="ListNumber"/>
        <w:spacing w:after="40"/>
      </w:pPr>
      <w:r>
        <w:rPr>
          <w:sz w:val="20"/>
        </w:rPr>
        <w:t>5. Шаблоны для электронного бизнеса и цифровых каналов</w:t>
      </w:r>
    </w:p>
    <w:p>
      <w:pPr>
        <w:pStyle w:val="ListNumber"/>
        <w:spacing w:after="40"/>
      </w:pPr>
      <w:r>
        <w:rPr>
          <w:sz w:val="20"/>
        </w:rPr>
        <w:t>6. Паспорт зафиксированных границ рынка</w:t>
      </w:r>
    </w:p>
    <w:p>
      <w:pPr>
        <w:pStyle w:val="ListNumber"/>
        <w:spacing w:after="40"/>
      </w:pPr>
      <w:r>
        <w:rPr>
          <w:sz w:val="20"/>
        </w:rPr>
        <w:t>7. Пример заполнения для бизнеса на основе компетенции «маркетинг»</w:t>
      </w:r>
    </w:p>
    <w:p>
      <w:pPr>
        <w:pStyle w:val="ListNumber"/>
        <w:spacing w:after="40"/>
      </w:pPr>
      <w:r>
        <w:rPr>
          <w:sz w:val="20"/>
        </w:rPr>
        <w:t>8. Формулировки для перехода к оценке объема рынка</w:t>
      </w:r>
    </w:p>
    <w:p>
      <w:pPr>
        <w:pStyle w:val="ListNumber"/>
        <w:spacing w:after="40"/>
      </w:pPr>
      <w:r>
        <w:rPr>
          <w:sz w:val="20"/>
        </w:rPr>
        <w:t>9. Контрольный список качества формулировки</w:t>
      </w:r>
    </w:p>
    <w:p>
      <w:pPr>
        <w:pStyle w:val="ListNumber"/>
        <w:spacing w:after="40"/>
      </w:pPr>
      <w:r>
        <w:rPr>
          <w:sz w:val="20"/>
        </w:rPr>
        <w:t>10. Типовые ошибки и корректные варианты</w:t>
      </w:r>
    </w:p>
    <w:p>
      <w:r>
        <w:br w:type="page"/>
      </w:r>
    </w:p>
    <w:p>
      <w:pPr>
        <w:pStyle w:val="Heading1"/>
      </w:pPr>
      <w:r>
        <w:t>1. Как использовать шаблоны</w:t>
      </w:r>
    </w:p>
    <w:p>
      <w:r>
        <w:t>Шаблоны применяются после того, как предварительно определены бизнес-идея, целевая аудитория, поисковый интерес и возможная территория работы. Их задача - перевести результаты предварительного исследования в профессиональную коммерческую формулировку границ рынка.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Действие</w:t>
            </w:r>
          </w:p>
        </w:tc>
        <w:tc>
          <w:tcPr>
            <w:tcW w:type="dxa" w:w="4535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Что нужно сделать</w:t>
            </w:r>
          </w:p>
        </w:tc>
        <w:tc>
          <w:tcPr>
            <w:tcW w:type="dxa" w:w="328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Результат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1. Выбрать объект анализа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Указать услугу, товар, цифровой продукт или платформу, которые будут анализироваться.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Понятно, какой рынок изучается.</w:t>
            </w:r>
          </w:p>
        </w:tc>
      </w:tr>
      <w:tr>
        <w:tc>
          <w:tcPr>
            <w:tcW w:type="dxa" w:w="1814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2. Уточнить клиентскую задачу</w:t>
            </w:r>
          </w:p>
        </w:tc>
        <w:tc>
          <w:tcPr>
            <w:tcW w:type="dxa" w:w="4535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Перевести услугу в проблему клиента: привлечение клиентов, экономия времени, автоматизация, поиск исполнителя.</w:t>
            </w:r>
          </w:p>
        </w:tc>
        <w:tc>
          <w:tcPr>
            <w:tcW w:type="dxa" w:w="3288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Рынок описан через потребность, а не только через название услуги.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3. Задать продуктовые границы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Определить, какие услуги, товары и решения включаются в анализ.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Исключается чрезмерно широкое понимание рынка.</w:t>
            </w:r>
          </w:p>
        </w:tc>
      </w:tr>
      <w:tr>
        <w:tc>
          <w:tcPr>
            <w:tcW w:type="dxa" w:w="1814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4. Задать географию</w:t>
            </w:r>
          </w:p>
        </w:tc>
        <w:tc>
          <w:tcPr>
            <w:tcW w:type="dxa" w:w="4535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Указать страну, город, регион или цифровую территорию обслуживания.</w:t>
            </w:r>
          </w:p>
        </w:tc>
        <w:tc>
          <w:tcPr>
            <w:tcW w:type="dxa" w:w="3288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Понятно, где измеряется спрос и конкуренция.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5. Описать заменители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Зафиксировать альтернативные способы решения той же клиентской задачи.</w:t>
            </w:r>
          </w:p>
        </w:tc>
        <w:tc>
          <w:tcPr>
            <w:tcW w:type="dxa" w:w="328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Границы рынка учитывают реальную конкуренцию.</w:t>
            </w:r>
          </w:p>
        </w:tc>
      </w:tr>
      <w:tr>
        <w:tc>
          <w:tcPr>
            <w:tcW w:type="dxa" w:w="1814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6. Указать источники данных</w:t>
            </w:r>
          </w:p>
        </w:tc>
        <w:tc>
          <w:tcPr>
            <w:tcW w:type="dxa" w:w="4535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Связать каждую границу с данными: статистика, поисковые запросы, конкуренты, платформы, рекламные кабинеты.</w:t>
            </w:r>
          </w:p>
        </w:tc>
        <w:tc>
          <w:tcPr>
            <w:tcW w:type="dxa" w:w="3288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Формулировка становится проверяемой.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</w:tblPr>
      <w:tblGrid>
        <w:gridCol w:w="10313"/>
      </w:tblGrid>
      <w:tr>
        <w:tc>
          <w:tcPr>
            <w:tcW w:type="dxa" w:w="10313"/>
            <w:shd w:fill="E2E8F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Формула применения</w:t>
            </w:r>
          </w:p>
        </w:tc>
      </w:tr>
      <w:tr>
        <w:tc>
          <w:tcPr>
            <w:tcW w:type="dxa" w:w="10313"/>
            <w:shd w:fill="F8FAFC"/>
          </w:tcPr>
          <w:p>
            <w:pPr>
              <w:spacing w:after="0"/>
            </w:pPr>
            <w:r/>
            <w:r>
              <w:rPr>
                <w:sz w:val="19"/>
              </w:rPr>
              <w:t>Сначала заполняется паспорт границ рынка, затем выбираются подходящие текстовые шаблоны. После этого формируется итоговый абзац для отчета: что включается в рынок, какие потребители рассматриваются, какая география выбрана, какие заменители учтены и какие ограничения остаются.</w:t>
            </w:r>
            <w:r>
              <w:br/>
            </w:r>
          </w:p>
        </w:tc>
      </w:tr>
    </w:tbl>
    <w:p/>
    <w:p>
      <w:pPr>
        <w:pStyle w:val="Heading1"/>
      </w:pPr>
      <w:r>
        <w:t>2. Универсальная структура формулировки границ рынка</w:t>
      </w:r>
    </w:p>
    <w:p>
      <w:r>
        <w:t>Итоговая формулировка должна содержать несколько обязательных элементов. Если хотя бы один элемент пропущен, последующий расчет объема рынка может оказаться методически неточным.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215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Элемент формулировки</w:t>
            </w:r>
          </w:p>
        </w:tc>
        <w:tc>
          <w:tcPr>
            <w:tcW w:type="dxa" w:w="3515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Что должно быть указано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Шаблон фразы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Объект рынка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Конкретная услуга, продукт, цифровой сервис или платформа.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В рамках анализа рассматривается рынок [название услуги / продукта].</w:t>
            </w:r>
          </w:p>
        </w:tc>
      </w:tr>
      <w:tr>
        <w:tc>
          <w:tcPr>
            <w:tcW w:type="dxa" w:w="2154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Клиентская задача</w:t>
            </w:r>
          </w:p>
        </w:tc>
        <w:tc>
          <w:tcPr>
            <w:tcW w:type="dxa" w:w="3515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Проблема, ради решения которой клиент покупает продукт.</w:t>
            </w:r>
          </w:p>
        </w:tc>
        <w:tc>
          <w:tcPr>
            <w:tcW w:type="dxa" w:w="3969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Данный рынок связан с решением задачи [указать задачу клиента].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Целевая аудитория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Группа клиентов, для которых услуга имеет коммерческий смысл.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Основными потребителями рассматриваются [указать сегменты].</w:t>
            </w:r>
          </w:p>
        </w:tc>
      </w:tr>
      <w:tr>
        <w:tc>
          <w:tcPr>
            <w:tcW w:type="dxa" w:w="2154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Продуктовые границы</w:t>
            </w:r>
          </w:p>
        </w:tc>
        <w:tc>
          <w:tcPr>
            <w:tcW w:type="dxa" w:w="3515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Что входит в анализ и что не входит.</w:t>
            </w:r>
          </w:p>
        </w:tc>
        <w:tc>
          <w:tcPr>
            <w:tcW w:type="dxa" w:w="3969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В продуктовые границы включаются [перечень], при этом не включаются [перечень].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Географические границы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Страна, регион, город или иная территория.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Географические границы рынка определяются как [территория].</w:t>
            </w:r>
          </w:p>
        </w:tc>
      </w:tr>
      <w:tr>
        <w:tc>
          <w:tcPr>
            <w:tcW w:type="dxa" w:w="2154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Каналы взаимодействия</w:t>
            </w:r>
          </w:p>
        </w:tc>
        <w:tc>
          <w:tcPr>
            <w:tcW w:type="dxa" w:w="3515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Поиск, сайт, социальные сети, маркетплейсы, реклама, платформы.</w:t>
            </w:r>
          </w:p>
        </w:tc>
        <w:tc>
          <w:tcPr>
            <w:tcW w:type="dxa" w:w="3969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Первичный контакт с клиентом формируется через [каналы].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Заменители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Альтернативные способы решения той же задачи.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В качестве заменителей учитываются [альтернативы].</w:t>
            </w:r>
          </w:p>
        </w:tc>
      </w:tr>
      <w:tr>
        <w:tc>
          <w:tcPr>
            <w:tcW w:type="dxa" w:w="2154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Источники данных</w:t>
            </w:r>
          </w:p>
        </w:tc>
        <w:tc>
          <w:tcPr>
            <w:tcW w:type="dxa" w:w="3515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На чем основано решение о границах.</w:t>
            </w:r>
          </w:p>
        </w:tc>
        <w:tc>
          <w:tcPr>
            <w:tcW w:type="dxa" w:w="3969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Фиксация границ основана на данных [источники].</w:t>
            </w:r>
          </w:p>
        </w:tc>
      </w:tr>
      <w:tr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Ограничения</w:t>
            </w:r>
          </w:p>
        </w:tc>
        <w:tc>
          <w:tcPr>
            <w:tcW w:type="dxa" w:w="351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Что не доказано и требует отдельной проверки.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Данная фиксация не означает автоматического подтверждения объема рынка и требует дальнейшей оценки [что проверить].</w:t>
            </w:r>
          </w:p>
        </w:tc>
      </w:tr>
    </w:tbl>
    <w:p/>
    <w:p>
      <w:pPr>
        <w:pStyle w:val="Heading1"/>
      </w:pPr>
      <w:r>
        <w:t>3. Шаблоны по отдельным видам границ рынка</w:t>
      </w:r>
    </w:p>
    <w:p>
      <w:pPr>
        <w:pStyle w:val="Heading2"/>
      </w:pPr>
      <w:r>
        <w:t>3.1. Шаблон краткой фиксации рынка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</w:tblPr>
      <w:tblGrid>
        <w:gridCol w:w="10313"/>
      </w:tblGrid>
      <w:tr>
        <w:tc>
          <w:tcPr>
            <w:tcW w:type="dxa" w:w="10313"/>
            <w:shd w:fill="E2E8F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Краткий шаблон</w:t>
            </w:r>
          </w:p>
        </w:tc>
      </w:tr>
      <w:tr>
        <w:tc>
          <w:tcPr>
            <w:tcW w:type="dxa" w:w="10313"/>
            <w:shd w:fill="F8FAFC"/>
          </w:tcPr>
          <w:p>
            <w:pPr>
              <w:spacing w:after="0"/>
            </w:pPr>
            <w:r/>
            <w:r>
              <w:rPr>
                <w:sz w:val="19"/>
              </w:rPr>
              <w:t>Рынок для дальнейшего анализа определяется как рынок [услуги / продукта / цифрового решения] для [целевой сегмент потребителей] в пределах [географическая территория]. В анализ включаются решения, направленные на [клиентская задача], реализуемые через [основные цифровые каналы]. В качестве альтернатив учитываются [основные заменители].</w:t>
            </w:r>
            <w:r>
              <w:br/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</w:tblPr>
      <w:tblGrid>
        <w:gridCol w:w="10313"/>
      </w:tblGrid>
      <w:tr>
        <w:tc>
          <w:tcPr>
            <w:tcW w:type="dxa" w:w="10313"/>
            <w:shd w:fill="E2E8F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Пример</w:t>
            </w:r>
          </w:p>
        </w:tc>
      </w:tr>
      <w:tr>
        <w:tc>
          <w:tcPr>
            <w:tcW w:type="dxa" w:w="10313"/>
            <w:shd w:fill="F0F9FF"/>
          </w:tcPr>
          <w:p>
            <w:pPr>
              <w:spacing w:after="0"/>
            </w:pPr>
            <w:r/>
            <w:r>
              <w:rPr>
                <w:sz w:val="19"/>
              </w:rPr>
              <w:t>Рынок для дальнейшего анализа определяется как рынок цифровых маркетинговых услуг для малого и среднего бизнеса Республики Беларусь. В анализ включаются решения, направленные на привлечение клиентов, продвижение товаров и услуг, развитие онлайн-продаж и повышение узнаваемости бизнеса, реализуемые через сайт, поисковые системы, социальные сети и рекламные платформы. В качестве альтернатив учитываются маркетинговые агентства, частные специалисты, штатные маркетологи, самостоятельное продвижение и автоматизированные рекламные сервисы.</w:t>
            </w:r>
            <w:r>
              <w:br/>
            </w:r>
          </w:p>
        </w:tc>
      </w:tr>
    </w:tbl>
    <w:p/>
    <w:p>
      <w:pPr>
        <w:pStyle w:val="Heading2"/>
      </w:pPr>
      <w:r>
        <w:t>3.2. Продуктовые границы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192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Ситуация</w:t>
            </w:r>
          </w:p>
        </w:tc>
        <w:tc>
          <w:tcPr>
            <w:tcW w:type="dxa" w:w="5669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Шаблон формулировки</w:t>
            </w:r>
          </w:p>
        </w:tc>
        <w:tc>
          <w:tcPr>
            <w:tcW w:type="dxa" w:w="2041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Когда применять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Широкий рынок услуг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В продуктовые границы рынка включаются услуги, связанные с [основная функция], [дополнительная функция 1] и [дополнительная функция 2], если они направлены на решение единой клиентской задачи - [задача].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Когда бизнес оказывает комплексную услугу.</w:t>
            </w:r>
          </w:p>
        </w:tc>
      </w:tr>
      <w:tr>
        <w:tc>
          <w:tcPr>
            <w:tcW w:type="dxa" w:w="1928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Узкий специализированный рынок</w:t>
            </w:r>
          </w:p>
        </w:tc>
        <w:tc>
          <w:tcPr>
            <w:tcW w:type="dxa" w:w="5669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Для целей анализа рынок сужается до услуг [конкретная услуга], поскольку именно они непосредственно соответствуют выявленному поисковому интересу аудитории и предполагаемой модели монетизации.</w:t>
            </w:r>
          </w:p>
        </w:tc>
        <w:tc>
          <w:tcPr>
            <w:tcW w:type="dxa" w:w="2041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Когда нужно избежать слишком общего рынка.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Цифровой продукт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В продуктовые границы включается цифровое решение, обеспечивающее [функция продукта], а также сопутствующие сервисы, необходимые для его использования: [перечень].</w:t>
            </w:r>
          </w:p>
        </w:tc>
        <w:tc>
          <w:tcPr>
            <w:tcW w:type="dxa" w:w="204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Для приложений, сервисов, подписок.</w:t>
            </w:r>
          </w:p>
        </w:tc>
      </w:tr>
      <w:tr>
        <w:tc>
          <w:tcPr>
            <w:tcW w:type="dxa" w:w="1928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Платформа</w:t>
            </w:r>
          </w:p>
        </w:tc>
        <w:tc>
          <w:tcPr>
            <w:tcW w:type="dxa" w:w="5669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В продуктовые границы включается цифровая площадка, соединяющая [сторона 1] и [сторона 2] для совершения [тип взаимодействия / сделки].</w:t>
            </w:r>
          </w:p>
        </w:tc>
        <w:tc>
          <w:tcPr>
            <w:tcW w:type="dxa" w:w="2041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Для маркетплейсов, агрегаторов, бирж услуг.</w:t>
            </w:r>
          </w:p>
        </w:tc>
      </w:tr>
    </w:tbl>
    <w:p/>
    <w:p>
      <w:pPr>
        <w:pStyle w:val="Heading2"/>
      </w:pPr>
      <w:r>
        <w:t>3.3. Клиентские границы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1587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Вид клиента</w:t>
            </w:r>
          </w:p>
        </w:tc>
        <w:tc>
          <w:tcPr>
            <w:tcW w:type="dxa" w:w="521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Шаблон формулировки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Пример заполнения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B2C</w:t>
            </w:r>
          </w:p>
        </w:tc>
        <w:tc>
          <w:tcPr>
            <w:tcW w:type="dxa" w:w="52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Основными потребителями рассматриваются физические лица, которые имеют потребность в [потребность] и ищут решение через [каналы].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Пользователи, которые ищут онлайн-курсы по продвижению личного бренда.</w:t>
            </w:r>
          </w:p>
        </w:tc>
      </w:tr>
      <w:tr>
        <w:tc>
          <w:tcPr>
            <w:tcW w:type="dxa" w:w="1587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B2B</w:t>
            </w:r>
          </w:p>
        </w:tc>
        <w:tc>
          <w:tcPr>
            <w:tcW w:type="dxa" w:w="5216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Целевыми потребителями выступают организации и предприниматели, для которых [услуга] является инструментом решения задачи [задача бизнеса].</w:t>
            </w:r>
          </w:p>
        </w:tc>
        <w:tc>
          <w:tcPr>
            <w:tcW w:type="dxa" w:w="2835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Малые компании, которым необходимо привлечение клиентов через интернет.</w:t>
            </w:r>
          </w:p>
        </w:tc>
      </w:tr>
      <w:tr>
        <w:tc>
          <w:tcPr>
            <w:tcW w:type="dxa" w:w="1587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B2B2C</w:t>
            </w:r>
          </w:p>
        </w:tc>
        <w:tc>
          <w:tcPr>
            <w:tcW w:type="dxa" w:w="52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Рынок включает организации, которые покупают решение для последующего обслуживания собственной клиентской аудитории.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Сервис аналитики, который используют агентства для работы с клиентами.</w:t>
            </w:r>
          </w:p>
        </w:tc>
      </w:tr>
      <w:tr>
        <w:tc>
          <w:tcPr>
            <w:tcW w:type="dxa" w:w="1587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Платформенная модель</w:t>
            </w:r>
          </w:p>
        </w:tc>
        <w:tc>
          <w:tcPr>
            <w:tcW w:type="dxa" w:w="5216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Клиентские границы формируются двумя группами участников: [группа 1] и [группа 2], чье взаимодействие создает ценность цифровой площадки.</w:t>
            </w:r>
          </w:p>
        </w:tc>
        <w:tc>
          <w:tcPr>
            <w:tcW w:type="dxa" w:w="2835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Заказчики маркетинговых услуг и исполнители-маркетологи.</w:t>
            </w:r>
          </w:p>
        </w:tc>
      </w:tr>
    </w:tbl>
    <w:p/>
    <w:p>
      <w:pPr>
        <w:pStyle w:val="Heading2"/>
      </w:pPr>
      <w:r>
        <w:t>3.4. Географические границы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Уровень территории</w:t>
            </w:r>
          </w:p>
        </w:tc>
        <w:tc>
          <w:tcPr>
            <w:tcW w:type="dxa" w:w="521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Шаблон формулировки</w:t>
            </w:r>
          </w:p>
        </w:tc>
        <w:tc>
          <w:tcPr>
            <w:tcW w:type="dxa" w:w="260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Обоснование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Город</w:t>
            </w:r>
          </w:p>
        </w:tc>
        <w:tc>
          <w:tcPr>
            <w:tcW w:type="dxa" w:w="52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Географические границы рынка на первом этапе определяются как [город], поскольку спрос, конкуренция и каналы привлечения клиентов имеют локальный характер.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Подходит для услуг с личными встречами и локальной рекламой.</w:t>
            </w:r>
          </w:p>
        </w:tc>
      </w:tr>
      <w:tr>
        <w:tc>
          <w:tcPr>
            <w:tcW w:type="dxa" w:w="1814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Страна</w:t>
            </w:r>
          </w:p>
        </w:tc>
        <w:tc>
          <w:tcPr>
            <w:tcW w:type="dxa" w:w="5216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Географические границы рынка определяются как [страна], поскольку услуга может оказываться дистанционно, но клиентская база, язык, платежная среда и деловая практика связаны с национальным рынком.</w:t>
            </w:r>
          </w:p>
        </w:tc>
        <w:tc>
          <w:tcPr>
            <w:tcW w:type="dxa" w:w="2608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Подходит для онлайн-услуг и цифровых продуктов.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Регион / область</w:t>
            </w:r>
          </w:p>
        </w:tc>
        <w:tc>
          <w:tcPr>
            <w:tcW w:type="dxa" w:w="52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Рынок рассматривается в пределах [регион], так как анализ данных показывает концентрацию интереса и деловой активности на данной территории.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Подходит при выраженной региональной концентрации спроса.</w:t>
            </w:r>
          </w:p>
        </w:tc>
      </w:tr>
      <w:tr>
        <w:tc>
          <w:tcPr>
            <w:tcW w:type="dxa" w:w="1814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Трансграничный русскоязычный сегмент</w:t>
            </w:r>
          </w:p>
        </w:tc>
        <w:tc>
          <w:tcPr>
            <w:tcW w:type="dxa" w:w="5216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Границы рынка могут быть расширены до русскоязычного цифрового сегмента при условии, что продукт не требует существенной правовой, языковой и платежной адаптации.</w:t>
            </w:r>
          </w:p>
        </w:tc>
        <w:tc>
          <w:tcPr>
            <w:tcW w:type="dxa" w:w="2608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Подходит для цифровых курсов, консультаций, программных решений.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Международный рынок</w:t>
            </w:r>
          </w:p>
        </w:tc>
        <w:tc>
          <w:tcPr>
            <w:tcW w:type="dxa" w:w="521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Международная территория рассматривается только после подтверждения возможности обслуживания клиентов за пределами национального рынка, включая платежи, поддержку и адаптацию продукта.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Подходит для масштабируемых цифровых сервисов.</w:t>
            </w:r>
          </w:p>
        </w:tc>
      </w:tr>
    </w:tbl>
    <w:p/>
    <w:p>
      <w:pPr>
        <w:pStyle w:val="Heading2"/>
      </w:pPr>
      <w:r>
        <w:t>3.5. Канальные границы электронного бизнеса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Канал</w:t>
            </w:r>
          </w:p>
        </w:tc>
        <w:tc>
          <w:tcPr>
            <w:tcW w:type="dxa" w:w="5556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Шаблон формулировки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Что показывает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Поисковые системы</w:t>
            </w:r>
          </w:p>
        </w:tc>
        <w:tc>
          <w:tcPr>
            <w:tcW w:type="dxa" w:w="5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Рынок рассматривается как цифровой, поскольку первичный интерес аудитории выражается через поисковые запросы по темам [запросы].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Наличие поискового спроса и язык потребности.</w:t>
            </w:r>
          </w:p>
        </w:tc>
      </w:tr>
      <w:tr>
        <w:tc>
          <w:tcPr>
            <w:tcW w:type="dxa" w:w="1814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Сайт и посадочные страницы</w:t>
            </w:r>
          </w:p>
        </w:tc>
        <w:tc>
          <w:tcPr>
            <w:tcW w:type="dxa" w:w="5556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Коммерческое взаимодействие предполагается через сайт или посадочные страницы, на которых клиент получает информацию, оставляет заявку или оформляет заказ.</w:t>
            </w:r>
          </w:p>
        </w:tc>
        <w:tc>
          <w:tcPr>
            <w:tcW w:type="dxa" w:w="2268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Точка преобразования интереса в заявку.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Социальные сети</w:t>
            </w:r>
          </w:p>
        </w:tc>
        <w:tc>
          <w:tcPr>
            <w:tcW w:type="dxa" w:w="5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Социальные сети рассматриваются как канал формирования доверия, демонстрации компетенции и привлечения клиентов к услуге [услуга].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Контентный спрос и вовлечение.</w:t>
            </w:r>
          </w:p>
        </w:tc>
      </w:tr>
      <w:tr>
        <w:tc>
          <w:tcPr>
            <w:tcW w:type="dxa" w:w="1814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Рекламные кабинеты</w:t>
            </w:r>
          </w:p>
        </w:tc>
        <w:tc>
          <w:tcPr>
            <w:tcW w:type="dxa" w:w="5556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Рекламные платформы используются как источник данных об охвате, стоимости привлечения и конкурентности запросов.</w:t>
            </w:r>
          </w:p>
        </w:tc>
        <w:tc>
          <w:tcPr>
            <w:tcW w:type="dxa" w:w="2268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Оценка достижимого спроса и затрат.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Маркетплейсы / платформы</w:t>
            </w:r>
          </w:p>
        </w:tc>
        <w:tc>
          <w:tcPr>
            <w:tcW w:type="dxa" w:w="5556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Если продажа осуществляется через цифровую площадку, границы рынка дополнительно учитывают правила, аудиторию и конкурентную среду этой площадки.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Платформенная зависимость спроса.</w:t>
            </w:r>
          </w:p>
        </w:tc>
      </w:tr>
    </w:tbl>
    <w:p/>
    <w:p>
      <w:pPr>
        <w:pStyle w:val="Heading1"/>
      </w:pPr>
      <w:r>
        <w:t>4. Шаблоны включения и исключения элементов рынка</w:t>
      </w:r>
    </w:p>
    <w:p>
      <w:r>
        <w:t>Фиксация границ рынка должна не только перечислять включаемые элементы, но и ясно показывать, что исключается из анализа. Это снижает риск завышения рынка и повышает доказательность последующего расчета.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147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Элемент</w:t>
            </w:r>
          </w:p>
        </w:tc>
        <w:tc>
          <w:tcPr>
            <w:tcW w:type="dxa" w:w="408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Шаблон включения</w:t>
            </w:r>
          </w:p>
        </w:tc>
        <w:tc>
          <w:tcPr>
            <w:tcW w:type="dxa" w:w="4082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Шаблон исключения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Услуги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В анализ включаются услуги [перечень], поскольку они решают задачу [задача] для [клиент].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Из анализа исключаются услуги [перечень], так как они решают иную задачу или обращены к иной аудитории.</w:t>
            </w:r>
          </w:p>
        </w:tc>
      </w:tr>
      <w:tr>
        <w:tc>
          <w:tcPr>
            <w:tcW w:type="dxa" w:w="1474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Клиенты</w:t>
            </w:r>
          </w:p>
        </w:tc>
        <w:tc>
          <w:tcPr>
            <w:tcW w:type="dxa" w:w="4082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В клиентские границы включаются [сегменты], поскольку для них проблема [проблема] имеет коммерческую значимость.</w:t>
            </w:r>
          </w:p>
        </w:tc>
        <w:tc>
          <w:tcPr>
            <w:tcW w:type="dxa" w:w="4082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Не включаются [сегменты], так как их потребность, бюджет или способ покупки существенно отличаются.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Территории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В географические границы включается [территория], где выявлены признаки спроса и возможность обслуживания клиентов.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Не включаются [территории], поскольку для них отсутствуют достаточные данные, платежные механизмы или возможность операционного обслуживания.</w:t>
            </w:r>
          </w:p>
        </w:tc>
      </w:tr>
      <w:tr>
        <w:tc>
          <w:tcPr>
            <w:tcW w:type="dxa" w:w="1474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Каналы</w:t>
            </w:r>
          </w:p>
        </w:tc>
        <w:tc>
          <w:tcPr>
            <w:tcW w:type="dxa" w:w="4082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В канальные границы включаются [каналы], через которые аудитория ищет и покупает решение.</w:t>
            </w:r>
          </w:p>
        </w:tc>
        <w:tc>
          <w:tcPr>
            <w:tcW w:type="dxa" w:w="4082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Не включаются каналы [каналы], если они не являются значимыми для привлечения или обслуживания клиентов.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Запросы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В семантические границы включаются запросы с признаками коммерческого, проблемного и локального интереса.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Исключаются учебные, справочные и нерелевантные запросы, не подтверждающие готовность клиента искать решение.</w:t>
            </w:r>
          </w:p>
        </w:tc>
      </w:tr>
      <w:tr>
        <w:tc>
          <w:tcPr>
            <w:tcW w:type="dxa" w:w="1474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Заменители</w:t>
            </w:r>
          </w:p>
        </w:tc>
        <w:tc>
          <w:tcPr>
            <w:tcW w:type="dxa" w:w="4082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В конкурентные границы включаются альтернативные способы решения той же клиентской задачи.</w:t>
            </w:r>
          </w:p>
        </w:tc>
        <w:tc>
          <w:tcPr>
            <w:tcW w:type="dxa" w:w="4082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Не включаются продукты, которые имеют сходное название, но решают иную задачу потребителя.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</w:tblPr>
      <w:tblGrid>
        <w:gridCol w:w="10313"/>
      </w:tblGrid>
      <w:tr>
        <w:tc>
          <w:tcPr>
            <w:tcW w:type="dxa" w:w="10313"/>
            <w:shd w:fill="E2E8F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Готовая формулировка включения и исключения</w:t>
            </w:r>
          </w:p>
        </w:tc>
      </w:tr>
      <w:tr>
        <w:tc>
          <w:tcPr>
            <w:tcW w:type="dxa" w:w="10313"/>
            <w:shd w:fill="F8FAFC"/>
          </w:tcPr>
          <w:p>
            <w:pPr>
              <w:spacing w:after="0"/>
            </w:pPr>
            <w:r/>
            <w:r>
              <w:rPr>
                <w:sz w:val="19"/>
              </w:rPr>
              <w:t>В границы анализируемого рынка включаются [услуги / продукты], ориентированные на [целевые потребители] и решающие задачу [клиентская задача] в пределах [география]. Из анализа исключаются [исключаемые элементы], поскольку они относятся к иной клиентской задаче, другой модели потребления или другой территории спроса.</w:t>
            </w:r>
            <w:r>
              <w:br/>
            </w:r>
          </w:p>
        </w:tc>
      </w:tr>
    </w:tbl>
    <w:p/>
    <w:p>
      <w:pPr>
        <w:pStyle w:val="Heading1"/>
      </w:pPr>
      <w:r>
        <w:t>5. Шаблоны для электронного бизнеса и цифровых рынков</w:t>
      </w:r>
    </w:p>
    <w:p>
      <w:pPr>
        <w:pStyle w:val="Heading2"/>
      </w:pPr>
      <w:r>
        <w:t>5.1. Семантические границы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Группа запросов</w:t>
            </w:r>
          </w:p>
        </w:tc>
        <w:tc>
          <w:tcPr>
            <w:tcW w:type="dxa" w:w="5669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Шаблон формулировки</w:t>
            </w:r>
          </w:p>
        </w:tc>
        <w:tc>
          <w:tcPr>
            <w:tcW w:type="dxa" w:w="215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Как использовать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Общие запросы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Общие запросы [перечень] используются для оценки широты интереса к направлению, но не рассматриваются как прямое подтверждение платежеспособного спроса.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Для оценки известности и общей актуальности темы.</w:t>
            </w:r>
          </w:p>
        </w:tc>
      </w:tr>
      <w:tr>
        <w:tc>
          <w:tcPr>
            <w:tcW w:type="dxa" w:w="1814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Проблемные запросы</w:t>
            </w:r>
          </w:p>
        </w:tc>
        <w:tc>
          <w:tcPr>
            <w:tcW w:type="dxa" w:w="5669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Проблемные запросы [перечень] показывают наличие осознанной потребности аудитории в решении задачи [задача].</w:t>
            </w:r>
          </w:p>
        </w:tc>
        <w:tc>
          <w:tcPr>
            <w:tcW w:type="dxa" w:w="2154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Для выявления боли клиента.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Коммерческие запросы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Коммерческие запросы [перечень] используются как основной признак приближения интереса к возможной покупке.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Для оценки потенциального спроса.</w:t>
            </w:r>
          </w:p>
        </w:tc>
      </w:tr>
      <w:tr>
        <w:tc>
          <w:tcPr>
            <w:tcW w:type="dxa" w:w="1814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Региональные запросы</w:t>
            </w:r>
          </w:p>
        </w:tc>
        <w:tc>
          <w:tcPr>
            <w:tcW w:type="dxa" w:w="5669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Региональные запросы [перечень] подтверждают территориальную привязку интереса и используются для обоснования географических границ.</w:t>
            </w:r>
          </w:p>
        </w:tc>
        <w:tc>
          <w:tcPr>
            <w:tcW w:type="dxa" w:w="2154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Для выбора страны, города или региона.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Исключаемые запросы</w:t>
            </w:r>
          </w:p>
        </w:tc>
        <w:tc>
          <w:tcPr>
            <w:tcW w:type="dxa" w:w="566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Запросы [перечень] исключаются из расчетов, так как они отражают обучение, справочную информацию или нерелевантное значение термина.</w:t>
            </w:r>
          </w:p>
        </w:tc>
        <w:tc>
          <w:tcPr>
            <w:tcW w:type="dxa" w:w="215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Для очистки семантического ядра.</w:t>
            </w:r>
          </w:p>
        </w:tc>
      </w:tr>
    </w:tbl>
    <w:p/>
    <w:p>
      <w:pPr>
        <w:pStyle w:val="Heading2"/>
      </w:pPr>
      <w:r>
        <w:t>5.2. Заменители и альтернативные решения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Тип заменителя</w:t>
            </w:r>
          </w:p>
        </w:tc>
        <w:tc>
          <w:tcPr>
            <w:tcW w:type="dxa" w:w="5329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Шаблон формулировки</w:t>
            </w:r>
          </w:p>
        </w:tc>
        <w:tc>
          <w:tcPr>
            <w:tcW w:type="dxa" w:w="249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Пример для маркетингового бизнеса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Прямой конкурент</w:t>
            </w:r>
          </w:p>
        </w:tc>
        <w:tc>
          <w:tcPr>
            <w:tcW w:type="dxa" w:w="532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 прямым заменителям относятся поставщики, предлагающие сопоставимые услуги [услуги] для той же целевой аудитории.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Маркетинговые агентства.</w:t>
            </w:r>
          </w:p>
        </w:tc>
      </w:tr>
      <w:tr>
        <w:tc>
          <w:tcPr>
            <w:tcW w:type="dxa" w:w="1814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Частичный конкурент</w:t>
            </w:r>
          </w:p>
        </w:tc>
        <w:tc>
          <w:tcPr>
            <w:tcW w:type="dxa" w:w="5329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 частичным заменителям относятся решения, закрывающие отдельную часть клиентской задачи.</w:t>
            </w:r>
          </w:p>
        </w:tc>
        <w:tc>
          <w:tcPr>
            <w:tcW w:type="dxa" w:w="2494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Специалисты по рекламе, специалисты по социальным сетям.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Внутреннее решение клиента</w:t>
            </w:r>
          </w:p>
        </w:tc>
        <w:tc>
          <w:tcPr>
            <w:tcW w:type="dxa" w:w="532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В анализ включается вариант самостоятельного выполнения задачи клиентом или найма штатного сотрудника.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Штатный маркетолог или предприниматель, который сам ведет продвижение.</w:t>
            </w:r>
          </w:p>
        </w:tc>
      </w:tr>
      <w:tr>
        <w:tc>
          <w:tcPr>
            <w:tcW w:type="dxa" w:w="1814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Автоматизированный сервис</w:t>
            </w:r>
          </w:p>
        </w:tc>
        <w:tc>
          <w:tcPr>
            <w:tcW w:type="dxa" w:w="5329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Цифровые сервисы рассматриваются как заменители, если они позволяют клиенту решить задачу без обращения к поставщику услуги.</w:t>
            </w:r>
          </w:p>
        </w:tc>
        <w:tc>
          <w:tcPr>
            <w:tcW w:type="dxa" w:w="2494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Автоматические рекламные кабинеты, конструкторы сайтов, сервисы рассылок.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Информационный заменитель</w:t>
            </w:r>
          </w:p>
        </w:tc>
        <w:tc>
          <w:tcPr>
            <w:tcW w:type="dxa" w:w="532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Обучающие материалы учитываются как слабый заменитель, если часть аудитории предпочитает самостоятельное освоение решения.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Курсы, инструкции, бесплатные материалы.</w:t>
            </w:r>
          </w:p>
        </w:tc>
      </w:tr>
    </w:tbl>
    <w:p/>
    <w:p>
      <w:pPr>
        <w:pStyle w:val="Heading2"/>
      </w:pPr>
      <w:r>
        <w:t>5.3. Многосторонний цифровой рынок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</w:tblPr>
      <w:tblGrid>
        <w:gridCol w:w="10313"/>
      </w:tblGrid>
      <w:tr>
        <w:tc>
          <w:tcPr>
            <w:tcW w:type="dxa" w:w="10313"/>
            <w:shd w:fill="E2E8F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Шаблон для платформы</w:t>
            </w:r>
          </w:p>
        </w:tc>
      </w:tr>
      <w:tr>
        <w:tc>
          <w:tcPr>
            <w:tcW w:type="dxa" w:w="10313"/>
            <w:shd w:fill="F8FAFC"/>
          </w:tcPr>
          <w:p>
            <w:pPr>
              <w:spacing w:after="0"/>
            </w:pPr>
            <w:r/>
            <w:r>
              <w:rPr>
                <w:sz w:val="19"/>
              </w:rPr>
              <w:t>Если бизнес реализуется как цифровая платформа, границы рынка необходимо фиксировать по каждой стороне взаимодействия. Для стороны [сторона 1] рынок описывается как спрос на [потребность 1], а для стороны [сторона 2] - как предложение [ресурс / услуга]. Ценность платформы возникает не только из отдельного продукта, но и из возможности соединить участников, снизить издержки поиска, обеспечить доверие и организовать сделку.</w:t>
            </w:r>
            <w:r>
              <w:br/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Сторона платформы</w:t>
            </w:r>
          </w:p>
        </w:tc>
        <w:tc>
          <w:tcPr>
            <w:tcW w:type="dxa" w:w="3175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Что фиксировать</w:t>
            </w:r>
          </w:p>
        </w:tc>
        <w:tc>
          <w:tcPr>
            <w:tcW w:type="dxa" w:w="4649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Шаблон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Заказчики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Кто платит или инициирует спрос.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Со стороны заказчиков рынок представлен [тип клиентов], которые ищут [услугу / исполнителя / товар].</w:t>
            </w:r>
          </w:p>
        </w:tc>
      </w:tr>
      <w:tr>
        <w:tc>
          <w:tcPr>
            <w:tcW w:type="dxa" w:w="1814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Исполнители / продавцы</w:t>
            </w:r>
          </w:p>
        </w:tc>
        <w:tc>
          <w:tcPr>
            <w:tcW w:type="dxa" w:w="3175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Кто создает предложение.</w:t>
            </w:r>
          </w:p>
        </w:tc>
        <w:tc>
          <w:tcPr>
            <w:tcW w:type="dxa" w:w="4649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Со стороны исполнителей рынок представлен [тип исполнителей], готовых оказывать [услуги] через цифровую площадку.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Аудитория</w:t>
            </w:r>
          </w:p>
        </w:tc>
        <w:tc>
          <w:tcPr>
            <w:tcW w:type="dxa" w:w="317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Кто формирует внимание и данные.</w:t>
            </w:r>
          </w:p>
        </w:tc>
        <w:tc>
          <w:tcPr>
            <w:tcW w:type="dxa" w:w="464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Если монетизация связана с рекламой или данными, дополнительно учитывается аудитория, генерирующая внимание и поведенческие данные.</w:t>
            </w:r>
          </w:p>
        </w:tc>
      </w:tr>
    </w:tbl>
    <w:p/>
    <w:p>
      <w:pPr>
        <w:pStyle w:val="Heading1"/>
      </w:pPr>
      <w:r>
        <w:t>6. Паспорт зафиксированных границ рынка</w:t>
      </w:r>
    </w:p>
    <w:p>
      <w:r>
        <w:t>Паспорт используется как итоговая рабочая форма. Его можно заполнить перед расчетом объема рынка, анализом конкурентов и подготовкой бизнес-плана.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192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Блок паспорта</w:t>
            </w:r>
          </w:p>
        </w:tc>
        <w:tc>
          <w:tcPr>
            <w:tcW w:type="dxa" w:w="2891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Что заполнить</w:t>
            </w:r>
          </w:p>
        </w:tc>
        <w:tc>
          <w:tcPr>
            <w:tcW w:type="dxa" w:w="4819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Формулировка для отчета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Название рынка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[Краткое название рынка]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Для дальнейшего анализа выбран рынок [название].</w:t>
            </w:r>
          </w:p>
        </w:tc>
      </w:tr>
      <w:tr>
        <w:tc>
          <w:tcPr>
            <w:tcW w:type="dxa" w:w="1928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Клиентская задача</w:t>
            </w:r>
          </w:p>
        </w:tc>
        <w:tc>
          <w:tcPr>
            <w:tcW w:type="dxa" w:w="2891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[Какая проблема решается]</w:t>
            </w:r>
          </w:p>
        </w:tc>
        <w:tc>
          <w:tcPr>
            <w:tcW w:type="dxa" w:w="4819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Рынок связан с решением задачи [задача клиента].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Целевые клиенты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[Сегменты клиентов]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Основными потребителями рассматриваются [сегменты].</w:t>
            </w:r>
          </w:p>
        </w:tc>
      </w:tr>
      <w:tr>
        <w:tc>
          <w:tcPr>
            <w:tcW w:type="dxa" w:w="1928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Продуктовые границы</w:t>
            </w:r>
          </w:p>
        </w:tc>
        <w:tc>
          <w:tcPr>
            <w:tcW w:type="dxa" w:w="2891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[Что входит в продукт]</w:t>
            </w:r>
          </w:p>
        </w:tc>
        <w:tc>
          <w:tcPr>
            <w:tcW w:type="dxa" w:w="4819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В продуктовые границы включаются [перечень].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Исключения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[Что не входит]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Из анализа исключаются [перечень] по причине [обоснование].</w:t>
            </w:r>
          </w:p>
        </w:tc>
      </w:tr>
      <w:tr>
        <w:tc>
          <w:tcPr>
            <w:tcW w:type="dxa" w:w="1928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Географические границы</w:t>
            </w:r>
          </w:p>
        </w:tc>
        <w:tc>
          <w:tcPr>
            <w:tcW w:type="dxa" w:w="2891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[Страна / регион / город]</w:t>
            </w:r>
          </w:p>
        </w:tc>
        <w:tc>
          <w:tcPr>
            <w:tcW w:type="dxa" w:w="4819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Географические границы определяются как [территория].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Каналы рынка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[Сайт, поиск, социальные сети, платформы]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Коммерческое взаимодействие предполагается через [каналы].</w:t>
            </w:r>
          </w:p>
        </w:tc>
      </w:tr>
      <w:tr>
        <w:tc>
          <w:tcPr>
            <w:tcW w:type="dxa" w:w="1928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Семантические признаки</w:t>
            </w:r>
          </w:p>
        </w:tc>
        <w:tc>
          <w:tcPr>
            <w:tcW w:type="dxa" w:w="2891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[Группы запросов]</w:t>
            </w:r>
          </w:p>
        </w:tc>
        <w:tc>
          <w:tcPr>
            <w:tcW w:type="dxa" w:w="4819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Интерес аудитории проверяется через запросы [группы запросов].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Заменители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[Основные альтернативы]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В качестве заменителей учитываются [альтернативы].</w:t>
            </w:r>
          </w:p>
        </w:tc>
      </w:tr>
      <w:tr>
        <w:tc>
          <w:tcPr>
            <w:tcW w:type="dxa" w:w="1928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Источники данных</w:t>
            </w:r>
          </w:p>
        </w:tc>
        <w:tc>
          <w:tcPr>
            <w:tcW w:type="dxa" w:w="2891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[Источники]</w:t>
            </w:r>
          </w:p>
        </w:tc>
        <w:tc>
          <w:tcPr>
            <w:tcW w:type="dxa" w:w="4819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Фиксация основана на данных [источники].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Ограничения</w:t>
            </w:r>
          </w:p>
        </w:tc>
        <w:tc>
          <w:tcPr>
            <w:tcW w:type="dxa" w:w="2891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[Что требует дальнейшей проверки]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Данная фиксация требует дальнейшей проверки через [направления анализа].</w:t>
            </w:r>
          </w:p>
        </w:tc>
      </w:tr>
    </w:tbl>
    <w:p/>
    <w:p>
      <w:pPr>
        <w:pStyle w:val="Heading1"/>
      </w:pPr>
      <w:r>
        <w:t>7. Пример заполнения для бизнеса на основе компетенции «маркетинг»</w:t>
      </w:r>
    </w:p>
    <w:p>
      <w:pPr>
        <w:pStyle w:val="Caption"/>
      </w:pPr>
      <w:r>
        <w:rPr>
          <w:i/>
          <w:color w:val="586069"/>
          <w:sz w:val="18"/>
        </w:rPr>
        <w:t>Пример предназначен для демонстрации логики заполнения. При использовании в конкретном проекте значения должны быть уточнены по данным выбранной территории и сегмента.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Блок</w:t>
            </w:r>
          </w:p>
        </w:tc>
        <w:tc>
          <w:tcPr>
            <w:tcW w:type="dxa" w:w="737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Заполненный пример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Название рынка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Рынок цифровых маркетинговых услуг для малого и среднего бизнеса Республики Беларусь.</w:t>
            </w:r>
          </w:p>
        </w:tc>
      </w:tr>
      <w:tr>
        <w:tc>
          <w:tcPr>
            <w:tcW w:type="dxa" w:w="2268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Клиентская задача</w:t>
            </w:r>
          </w:p>
        </w:tc>
        <w:tc>
          <w:tcPr>
            <w:tcW w:type="dxa" w:w="7370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Привлечение клиентов, повышение узнаваемости, продвижение товаров и услуг, увеличение заявок через цифровые каналы.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Целевые клиенты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Малые компании, индивидуальные предприниматели, локальные сервисные бизнесы, интернет-магазины, образовательные и консультационные проекты.</w:t>
            </w:r>
          </w:p>
        </w:tc>
      </w:tr>
      <w:tr>
        <w:tc>
          <w:tcPr>
            <w:tcW w:type="dxa" w:w="2268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Продуктовые границы</w:t>
            </w:r>
          </w:p>
        </w:tc>
        <w:tc>
          <w:tcPr>
            <w:tcW w:type="dxa" w:w="7370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Маркетинговое сопровождение, настройка интернет-рекламы, анализ аудитории, продвижение сайта, ведение рекламных кампаний, разработка маркетинговой стратегии.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Исключения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Крупные комплексные коммуникационные кампании для национальных корпораций, офлайн-мероприятия без цифрового канала, обучение маркетингу без оказания услуги продвижения.</w:t>
            </w:r>
          </w:p>
        </w:tc>
      </w:tr>
      <w:tr>
        <w:tc>
          <w:tcPr>
            <w:tcW w:type="dxa" w:w="2268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Географические границы</w:t>
            </w:r>
          </w:p>
        </w:tc>
        <w:tc>
          <w:tcPr>
            <w:tcW w:type="dxa" w:w="7370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Республика Беларусь с возможным выделением Минска и областных центров как приоритетных сегментов дальнейшего анализа.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Каналы рынка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Поисковые системы, сайт поставщика услуги, социальные сети, рекламные платформы, деловые сообщества, профессиональные каталоги и рекомендации.</w:t>
            </w:r>
          </w:p>
        </w:tc>
      </w:tr>
      <w:tr>
        <w:tc>
          <w:tcPr>
            <w:tcW w:type="dxa" w:w="2268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Семантические признаки</w:t>
            </w:r>
          </w:p>
        </w:tc>
        <w:tc>
          <w:tcPr>
            <w:tcW w:type="dxa" w:w="7370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Запросы, связанные с продвижением бизнеса, привлечением клиентов, услугами маркетолога, рекламой, настройкой рекламы, маркетинговым агентством, продвижением сайта.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Заменители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Маркетинговые агентства, частные специалисты, штатные маркетологи, самостоятельное продвижение, автоматизированные рекламные сервисы, обучающие материалы.</w:t>
            </w:r>
          </w:p>
        </w:tc>
      </w:tr>
      <w:tr>
        <w:tc>
          <w:tcPr>
            <w:tcW w:type="dxa" w:w="2268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Источники данных</w:t>
            </w:r>
          </w:p>
        </w:tc>
        <w:tc>
          <w:tcPr>
            <w:tcW w:type="dxa" w:w="7370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Google Trends, Яндекс Вордстат, сайты конкурентов, рекламные кабинеты, открытые каталоги компаний, государственная статистика организаций и предпринимателей.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Ограничения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Поисковый интерес не равен фактическому объему рынка; требуется отдельная оценка платежеспособности, цен конкурентов, емкости сегмента и достижимой доли рынка.</w:t>
            </w:r>
          </w:p>
        </w:tc>
      </w:tr>
    </w:tbl>
    <w:p/>
    <w:p>
      <w:pPr>
        <w:pStyle w:val="Heading2"/>
      </w:pPr>
      <w:r>
        <w:t>7.1. Готовая итоговая формулировка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</w:tblPr>
      <w:tblGrid>
        <w:gridCol w:w="10313"/>
      </w:tblGrid>
      <w:tr>
        <w:tc>
          <w:tcPr>
            <w:tcW w:type="dxa" w:w="10313"/>
            <w:shd w:fill="E2E8F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Итоговая формулировка для отчета</w:t>
            </w:r>
          </w:p>
        </w:tc>
      </w:tr>
      <w:tr>
        <w:tc>
          <w:tcPr>
            <w:tcW w:type="dxa" w:w="10313"/>
            <w:shd w:fill="F0F9FF"/>
          </w:tcPr>
          <w:p>
            <w:pPr>
              <w:spacing w:after="0"/>
            </w:pPr>
            <w:r/>
            <w:r>
              <w:rPr>
                <w:sz w:val="19"/>
              </w:rPr>
              <w:t>Для целей дальнейшего исследования рынок фиксируется как рынок цифровых маркетинговых услуг для малого и среднего бизнеса Республики Беларусь. В продуктовые границы включаются услуги по привлечению клиентов, настройке интернет-рекламы, продвижению сайта, анализу аудитории, разработке маркетинговой стратегии и сопровождению рекламных кампаний. Целевыми потребителями рассматриваются малые компании, индивидуальные предприниматели, локальные сервисные бизнесы, интернет-магазины, образовательные и консультационные проекты. Географические границы на первом этапе определяются как Республика Беларусь, с последующим выделением Минска и областных центров как возможных приоритетных сегментов. В качестве заменителей учитываются маркетинговые агентства, частные специалисты, штатные маркетологи, самостоятельное продвижение предпринимателем, автоматизированные рекламные сервисы и обучающие материалы. Фиксация границ основана на данных поискового интереса, семантического ядра, цифровых каналов, сайтов конкурентов и открытых источников о структуре деловой активности. Данная фиксация не подтверждает объем рынка автоматически, но задает корректную основу для его последующей оценки.</w:t>
            </w:r>
            <w:r>
              <w:br/>
            </w:r>
          </w:p>
        </w:tc>
      </w:tr>
    </w:tbl>
    <w:p/>
    <w:p>
      <w:pPr>
        <w:pStyle w:val="Heading1"/>
      </w:pPr>
      <w:r>
        <w:t>8. Формулировки для перехода к оценке объема рынка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156"/>
        <w:gridCol w:w="5156"/>
      </w:tblGrid>
      <w:tr>
        <w:trPr>
          <w:tblHeader w:val="true"/>
        </w:trPr>
        <w:tc>
          <w:tcPr>
            <w:tcW w:type="dxa" w:w="243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Назначение формулировки</w:t>
            </w:r>
          </w:p>
        </w:tc>
        <w:tc>
          <w:tcPr>
            <w:tcW w:type="dxa" w:w="7200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Готовый текст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Переход к TAM / SAM / SOM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После фиксации продуктовых, клиентских и географических границ рынка появляется возможность перейти к поэтапной оценке его объема: общего потенциального рынка, доступного рынка и достижимой доли нового бизнеса.</w:t>
            </w:r>
          </w:p>
        </w:tc>
      </w:tr>
      <w:tr>
        <w:tc>
          <w:tcPr>
            <w:tcW w:type="dxa" w:w="2438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Переход к расчету снизу вверх</w:t>
            </w:r>
          </w:p>
        </w:tc>
        <w:tc>
          <w:tcPr>
            <w:tcW w:type="dxa" w:w="7200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Поскольку целевые сегменты и территория рынка определены, дальнейший расчет может строиться через количество потенциальных клиентов, частоту покупки и средний чек услуги.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Переход к конкурентному анализу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Зафиксированные границы позволяют отделить прямых конкурентов от частичных заменителей и провести сопоставление предложений, цен, каналов продвижения и позиционирования.</w:t>
            </w:r>
          </w:p>
        </w:tc>
      </w:tr>
      <w:tr>
        <w:tc>
          <w:tcPr>
            <w:tcW w:type="dxa" w:w="2438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Переход к цифровой воронке</w:t>
            </w:r>
          </w:p>
        </w:tc>
        <w:tc>
          <w:tcPr>
            <w:tcW w:type="dxa" w:w="7200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Так как рынок имеет цифровой характер, оценка его достижимого объема должна учитывать охват, переходы, заявки, конверсию в оплату и средний чек.</w:t>
            </w:r>
          </w:p>
        </w:tc>
      </w:tr>
      <w:tr>
        <w:tc>
          <w:tcPr>
            <w:tcW w:type="dxa" w:w="243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Переход к проверке платежеспособности</w:t>
            </w:r>
          </w:p>
        </w:tc>
        <w:tc>
          <w:tcPr>
            <w:tcW w:type="dxa" w:w="72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Выявленный поисковый интерес требует проверки через цены, бюджеты целевых клиентов, экономический эффект услуги и готовность оплачивать решение.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</w:tblPr>
      <w:tblGrid>
        <w:gridCol w:w="10313"/>
      </w:tblGrid>
      <w:tr>
        <w:tc>
          <w:tcPr>
            <w:tcW w:type="dxa" w:w="10313"/>
            <w:shd w:fill="E2E8F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Универсальный абзац перехода</w:t>
            </w:r>
          </w:p>
        </w:tc>
      </w:tr>
      <w:tr>
        <w:tc>
          <w:tcPr>
            <w:tcW w:type="dxa" w:w="10313"/>
            <w:shd w:fill="F8FAFC"/>
          </w:tcPr>
          <w:p>
            <w:pPr>
              <w:spacing w:after="0"/>
            </w:pPr>
            <w:r/>
            <w:r>
              <w:rPr>
                <w:sz w:val="19"/>
              </w:rPr>
              <w:t>Зафиксированные границы рынка позволяют перейти от предварительного интереса аудитории к расчету возможного объема рынка. На следующем этапе необходимо оценить количество потенциальных клиентов в выбранной территории, средний чек, частоту покупки, конкурентную насыщенность, стоимость привлечения клиента и реалистичную долю рынка, которую может занять новый электронный бизнес.</w:t>
            </w:r>
            <w:r>
              <w:br/>
            </w:r>
          </w:p>
        </w:tc>
      </w:tr>
    </w:tbl>
    <w:p/>
    <w:p>
      <w:pPr>
        <w:pStyle w:val="Heading1"/>
      </w:pPr>
      <w:r>
        <w:t>9. Контрольный список качества формулировки</w:t>
      </w:r>
    </w:p>
    <w:p>
      <w:pPr>
        <w:pStyle w:val="ListBullet"/>
        <w:spacing w:after="40"/>
        <w:ind w:left="340"/>
      </w:pPr>
      <w:r>
        <w:rPr>
          <w:sz w:val="20"/>
        </w:rPr>
        <w:t>Название рынка не является слишком широким: вместо «рынок маркетинга» указана конкретная услуга или группа услуг.</w:t>
      </w:r>
    </w:p>
    <w:p>
      <w:pPr>
        <w:pStyle w:val="ListBullet"/>
        <w:spacing w:after="40"/>
        <w:ind w:left="340"/>
      </w:pPr>
      <w:r>
        <w:rPr>
          <w:sz w:val="20"/>
        </w:rPr>
        <w:t>Клиентская задача описана через проблему потребителя, а не только через профессиональный термин.</w:t>
      </w:r>
    </w:p>
    <w:p>
      <w:pPr>
        <w:pStyle w:val="ListBullet"/>
        <w:spacing w:after="40"/>
        <w:ind w:left="340"/>
      </w:pPr>
      <w:r>
        <w:rPr>
          <w:sz w:val="20"/>
        </w:rPr>
        <w:t>Целевые клиенты названы конкретно: физические лица, малый бизнес, интернет-магазины, образовательные проекты, платформы и т.п.</w:t>
      </w:r>
    </w:p>
    <w:p>
      <w:pPr>
        <w:pStyle w:val="ListBullet"/>
        <w:spacing w:after="40"/>
        <w:ind w:left="340"/>
      </w:pPr>
      <w:r>
        <w:rPr>
          <w:sz w:val="20"/>
        </w:rPr>
        <w:t>Продуктовые границы показывают, что входит в анализ и что исключается.</w:t>
      </w:r>
    </w:p>
    <w:p>
      <w:pPr>
        <w:pStyle w:val="ListBullet"/>
        <w:spacing w:after="40"/>
        <w:ind w:left="340"/>
      </w:pPr>
      <w:r>
        <w:rPr>
          <w:sz w:val="20"/>
        </w:rPr>
        <w:t>Географические границы обоснованы языком, платежной средой, каналами продаж и данными интереса аудитории.</w:t>
      </w:r>
    </w:p>
    <w:p>
      <w:pPr>
        <w:pStyle w:val="ListBullet"/>
        <w:spacing w:after="40"/>
        <w:ind w:left="340"/>
      </w:pPr>
      <w:r>
        <w:rPr>
          <w:sz w:val="20"/>
        </w:rPr>
        <w:t>Указаны цифровые каналы, через которые возникает и реализуется спрос.</w:t>
      </w:r>
    </w:p>
    <w:p>
      <w:pPr>
        <w:pStyle w:val="ListBullet"/>
        <w:spacing w:after="40"/>
        <w:ind w:left="340"/>
      </w:pPr>
      <w:r>
        <w:rPr>
          <w:sz w:val="20"/>
        </w:rPr>
        <w:t>Учет заменителей не ограничивается прямыми конкурентами.</w:t>
      </w:r>
    </w:p>
    <w:p>
      <w:pPr>
        <w:pStyle w:val="ListBullet"/>
        <w:spacing w:after="40"/>
        <w:ind w:left="340"/>
      </w:pPr>
      <w:r>
        <w:rPr>
          <w:sz w:val="20"/>
        </w:rPr>
        <w:t>Информационные и коммерческие запросы не смешиваются в одном выводе.</w:t>
      </w:r>
    </w:p>
    <w:p>
      <w:pPr>
        <w:pStyle w:val="ListBullet"/>
        <w:spacing w:after="40"/>
        <w:ind w:left="340"/>
      </w:pPr>
      <w:r>
        <w:rPr>
          <w:sz w:val="20"/>
        </w:rPr>
        <w:t>Источники данных перечислены так, чтобы вывод можно было проверить.</w:t>
      </w:r>
    </w:p>
    <w:p>
      <w:pPr>
        <w:pStyle w:val="ListBullet"/>
        <w:spacing w:after="40"/>
        <w:ind w:left="340"/>
      </w:pPr>
      <w:r>
        <w:rPr>
          <w:sz w:val="20"/>
        </w:rPr>
        <w:t>В формулировке есть ограничение: поисковый интерес не приравнивается к объему рынка.</w:t>
      </w:r>
    </w:p>
    <w:p>
      <w:pPr>
        <w:pStyle w:val="Heading1"/>
      </w:pPr>
      <w:r>
        <w:t>10. Типовые ошибки и корректные варианты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438"/>
        <w:gridCol w:w="3438"/>
        <w:gridCol w:w="3438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Ошибка</w:t>
            </w:r>
          </w:p>
        </w:tc>
        <w:tc>
          <w:tcPr>
            <w:tcW w:type="dxa" w:w="3685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Почему это снижает качество анализа</w:t>
            </w:r>
          </w:p>
        </w:tc>
        <w:tc>
          <w:tcPr>
            <w:tcW w:type="dxa" w:w="3685"/>
            <w:shd w:fill="1F4E79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Корректный вариант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Писать: «рынок маркетинга»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Слишком широкая формулировка не позволяет посчитать объем и определить конкурентов.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Рынок цифровых маркетинговых услуг для малого и среднего бизнеса в [территория].</w:t>
            </w:r>
          </w:p>
        </w:tc>
      </w:tr>
      <w:tr>
        <w:tc>
          <w:tcPr>
            <w:tcW w:type="dxa" w:w="2268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Фиксировать рынок только по товару</w:t>
            </w:r>
          </w:p>
        </w:tc>
        <w:tc>
          <w:tcPr>
            <w:tcW w:type="dxa" w:w="3685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Неясно, какую клиентскую задачу решает продукт.</w:t>
            </w:r>
          </w:p>
        </w:tc>
        <w:tc>
          <w:tcPr>
            <w:tcW w:type="dxa" w:w="3685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Рынок решений для [задача клиента], включающий [услуги / продукты].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Не указывать географию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Нельзя корректно сравнивать спрос, цены и конкурентов.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Географические границы определяются как [страна / регион / город].</w:t>
            </w:r>
          </w:p>
        </w:tc>
      </w:tr>
      <w:tr>
        <w:tc>
          <w:tcPr>
            <w:tcW w:type="dxa" w:w="2268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Считать всех конкурентов одинаковыми</w:t>
            </w:r>
          </w:p>
        </w:tc>
        <w:tc>
          <w:tcPr>
            <w:tcW w:type="dxa" w:w="3685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Прямые конкуренты, заменители и самостоятельные решения клиента имеют разную силу влияния.</w:t>
            </w:r>
          </w:p>
        </w:tc>
        <w:tc>
          <w:tcPr>
            <w:tcW w:type="dxa" w:w="3685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Разделить конкурентов на прямых, частичных, внутренних и цифровых заменителей.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Включать все поисковые запросы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Информационный интерес может завысить оценку коммерческого спроса.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Отдельно учитывать информационные, проблемные, коммерческие и региональные запросы.</w:t>
            </w:r>
          </w:p>
        </w:tc>
      </w:tr>
      <w:tr>
        <w:tc>
          <w:tcPr>
            <w:tcW w:type="dxa" w:w="2268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Писать без ограничений</w:t>
            </w:r>
          </w:p>
        </w:tc>
        <w:tc>
          <w:tcPr>
            <w:tcW w:type="dxa" w:w="3685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Вывод выглядит недоказательным и чрезмерным.</w:t>
            </w:r>
          </w:p>
        </w:tc>
        <w:tc>
          <w:tcPr>
            <w:tcW w:type="dxa" w:w="3685"/>
            <w:vAlign w:val="top"/>
            <w:shd w:fill="F7FAFC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Добавить ограничение: границы задают основу анализа, но объем рынка требует отдельной оценки.</w:t>
            </w:r>
          </w:p>
        </w:tc>
      </w:tr>
    </w:tbl>
    <w:p/>
    <w:p>
      <w:pPr>
        <w:pStyle w:val="Heading1"/>
      </w:pPr>
      <w:r>
        <w:t>Итоговая форма для копирования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BD5E1"/>
          <w:left w:val="single" w:sz="8" w:space="0" w:color="CBD5E1"/>
          <w:bottom w:val="single" w:sz="8" w:space="0" w:color="CBD5E1"/>
          <w:right w:val="single" w:sz="8" w:space="0" w:color="CBD5E1"/>
          <w:insideH w:val="single" w:sz="8" w:space="0" w:color="CBD5E1"/>
          <w:insideV w:val="single" w:sz="8" w:space="0" w:color="CBD5E1"/>
        </w:tblBorders>
      </w:tblPr>
      <w:tblGrid>
        <w:gridCol w:w="10313"/>
      </w:tblGrid>
      <w:tr>
        <w:tc>
          <w:tcPr>
            <w:tcW w:type="dxa" w:w="10313"/>
            <w:shd w:fill="E2E8F0"/>
          </w:tcPr>
          <w:p>
            <w:pPr>
              <w:spacing w:after="0"/>
            </w:pPr>
            <w:r/>
            <w:r>
              <w:rPr>
                <w:b/>
                <w:sz w:val="20"/>
              </w:rPr>
              <w:t>Полная универсальная формулировка</w:t>
            </w:r>
          </w:p>
        </w:tc>
      </w:tr>
      <w:tr>
        <w:tc>
          <w:tcPr>
            <w:tcW w:type="dxa" w:w="10313"/>
            <w:shd w:fill="F8FAFC"/>
          </w:tcPr>
          <w:p>
            <w:pPr>
              <w:spacing w:after="0"/>
            </w:pPr>
            <w:r/>
            <w:r>
              <w:rPr>
                <w:sz w:val="19"/>
              </w:rPr>
              <w:t>Для целей дальнейшего анализа рынок фиксируется как рынок [услуга / продукт / цифровое решение] для [целевые потребители] в пределах [географическая территория]. В продуктовые границы включаются [что входит], поскольку эти решения направлены на [клиентская задача]. Из анализа исключаются [что исключается], так как они относятся к иной задаче, иной аудитории или иной модели потребления. Основными каналами возникновения и реализации спроса являются [цифровые каналы]. В качестве заменителей учитываются [заменители]. Фиксация границ основана на данных [источники данных], включая поисковый интерес, семантическое ядро, открытые сведения о конкурентах и статистические источники. Данная формулировка задает основу для дальнейшей оценки объема рынка, анализа конкурентов, целевой аудитории, цен и модели монетизации.</w:t>
            </w:r>
            <w:r>
              <w:br/>
            </w:r>
          </w:p>
        </w:tc>
      </w:tr>
    </w:tbl>
    <w:p/>
    <w:p>
      <w:r>
        <w:t>Итоговое правило: границы рынка должны быть сформулированы так, чтобы по ним можно было перейти к расчету объема рынка, анализу конкурентов, оценке каналов продвижения и проверке платежеспособного спроса.</w:t>
      </w:r>
    </w:p>
    <w:sectPr w:rsidR="00FC693F" w:rsidRPr="0006063C" w:rsidSect="00034616">
      <w:footerReference w:type="default" r:id="rId9"/>
      <w:pgSz w:w="12240" w:h="15840"/>
      <w:pgMar w:top="964" w:right="907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Страница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293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80"/>
    </w:pPr>
    <w:rPr>
      <w:rFonts w:asciiTheme="majorHAnsi" w:eastAsiaTheme="majorEastAsia" w:hAnsiTheme="majorHAnsi" w:cstheme="majorBidi" w:ascii="Times New Roman" w:hAnsi="Times New Roman" w:eastAsia="Times New Roman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/>
      <w:b/>
      <w:bCs/>
      <w:i/>
      <w:color w:val="58606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Шаблоны формулирования зафиксированных границ рынка</dc:title>
  <dc:subject>Методические шаблоны для анализа электронного бизнеса</dc:subject>
  <dc:creator/>
  <cp:keywords>границы рынка, электронный бизнес, анализ рынка, шаблоны, маркетинг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