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Times New Roman"/>
          <w:b/>
          <w:color w:val="1F4E79"/>
          <w:sz w:val="44"/>
        </w:rPr>
        <w:t>Методика оценки объема рынка</w:t>
        <w:br/>
        <w:t>через количество потенциальных клиентов</w:t>
      </w:r>
    </w:p>
    <w:p>
      <w:pPr>
        <w:jc w:val="center"/>
      </w:pPr>
      <w:r>
        <w:rPr>
          <w:rFonts w:ascii="Times New Roman" w:hAnsi="Times New Roman" w:eastAsia="Times New Roman"/>
          <w:color w:val="595959"/>
          <w:sz w:val="30"/>
        </w:rPr>
        <w:t>для анализа электронного бизнеса</w:t>
      </w:r>
    </w:p>
    <w:p>
      <w:pPr>
        <w:spacing w:before="480"/>
        <w:jc w:val="center"/>
      </w:pPr>
      <w:r>
        <w:rPr>
          <w:rFonts w:ascii="Times New Roman" w:hAnsi="Times New Roman" w:eastAsia="Times New Roman"/>
          <w:sz w:val="22"/>
        </w:rPr>
        <w:t>Практическая методика расчета емкости рынка, доступного рынка и достижимой выручки на основе численности потенциальных клиентов, коэффициентов потребности, цифровой доступности, платежеспособности и частоты покупки.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Назначение</w:t>
            </w:r>
          </w:p>
        </w:tc>
        <w:tc>
          <w:tcPr>
            <w:tcW w:type="dxa" w:w="6803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Перевести предварительно зафиксированные границы рынка в расчетный показатель объема рынка через количество потенциальных клиентов.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Объект применения</w:t>
            </w:r>
          </w:p>
        </w:tc>
        <w:tc>
          <w:tcPr>
            <w:tcW w:type="dxa" w:w="6803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Электронный бизнес: услуги, интернет-магазины, цифровые продукты, образовательные проекты, платформы и профессиональные сервисы.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Ключевая идея</w:t>
            </w:r>
          </w:p>
        </w:tc>
        <w:tc>
          <w:tcPr>
            <w:tcW w:type="dxa" w:w="6803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Рынок оценивается не по общему интересу, а по числу клиентов, которые входят в выбранные границы рынка и потенциально способны купить продукт или услугу.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Итоговый результат</w:t>
            </w:r>
          </w:p>
        </w:tc>
        <w:tc>
          <w:tcPr>
            <w:tcW w:type="dxa" w:w="6803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Оценочный диапазон объема рынка: общий потенциальный рынок, доступный рынок, достижимая часть рынка и расчетная выручка по сценариям.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Содержание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1. Назначение методики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2. Место метода в общей логике анализа рынка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3. Базовая расчетная логика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4. Источники данных о потенциальных клиентах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5. Пошаговый алгоритм оценки рынка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6. Коэффициенты сужения клиентской базы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7. Расчетные модели для электронного бизнеса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8. Использование Similarweb и цифровых источников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9. Сценарная оценка объема рынка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10. Пример для бизнеса на основе компетенции «маркетинг»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11. Рабочие таблицы для заполнения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12. Шаблоны итоговых формулировок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13. Типовые ошибки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14. Контрольный чек-лист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15. Источники данных и журнал фиксации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Назначение методики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Методика предназначена для оценки объема рынка электронного бизнеса через количество потенциальных клиентов. Она применяется после того, как уже зафиксированы продуктовые, клиентские, географические, канальные и семантические границы рынка.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Главная задача методики состоит в том, чтобы перейти от общей гипотезы о наличии интереса аудитории к расчетной оценке возможного количества покупателей и денежного объема рынка. Такой подход особенно полезен для направлений, где прямой отраслевой статистики мало, но можно установить число потенциальных клиентов и оценить их вероятность покупки.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Метод не утверждает точный размер рынка. Он формирует расчетный диапазон, основанный на прозрачных допущениях: сколько клиентов существует в выбранных границах, какая часть из них имеет потребность, какая часть доступна через цифровые каналы, какая часть готова платить и какой средний чек может быть получен.</w:t>
      </w:r>
    </w:p>
    <w:p>
      <w:pPr>
        <w:pStyle w:val="Heading1"/>
      </w:pPr>
      <w:r>
        <w:rPr>
          <w:rFonts w:ascii="Times New Roman" w:hAnsi="Times New Roman" w:eastAsia="Times New Roman"/>
        </w:rPr>
        <w:t>Место метода в общей логике анализа рынка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Методика через количество потенциальных клиентов используется после фиксации границ рынка и до окончательного вывода о коммерческой перспективности. Она хорошо сочетается с оценкой поискового спроса, Similarweb, цифровой воронкой и конкурентным анализом.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Этап анализа</w:t>
            </w:r>
          </w:p>
        </w:tc>
        <w:tc>
          <w:tcPr>
            <w:tcW w:type="dxa" w:w="3969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2835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Фиксация границ рынка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Определить, какой рынок анализируется: продукт, клиенты, территория, каналы, заменители.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Паспорт границ рынка.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Оценка через потенциальных клиентов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Посчитать, сколько клиентов может относиться к выбранному рынку.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Расчетная клиентская база и объем рынка.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Проверка цифрового спроса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Сопоставить расчет с поисковыми запросами, трафиком сайтов и активностью конкурентов.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Подтверждение или корректировка расчетных допущений.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Сценарный расчет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Показать осторожный, базовый и оптимистичный варианты.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Оценочный диапазон рынка.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Коммерческий вывод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Сформулировать возможность дальнейшего изучения рынка и запуска пилотного предложения.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Итоговая аргументация.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Базовая расчетная логика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В основе методики лежит последовательное сужение общей клиентской базы до той части аудитории, которая потенциально может купить продукт или услугу в выбранных границах рынка.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Базовая формула оценки рынка</w:t>
              <w:br/>
            </w:r>
            <w:r>
              <w:rPr>
                <w:rFonts w:ascii="Times New Roman" w:hAnsi="Times New Roman" w:eastAsia="Times New Roman"/>
                <w:sz w:val="20"/>
              </w:rPr>
              <w:t>Объем рынка = Количество потенциальных клиентов × Доля клиентов с потребностью × Доля цифровой доступности × Доля готовности платить × Средний чек × Частота покупки</w:t>
            </w:r>
          </w:p>
        </w:tc>
      </w:tr>
      <w:tr>
        <w:tc>
          <w:tcPr>
            <w:tcW w:type="dxa" w:w="1020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Формула применяется для оценки денежного объема рынка за выбранный период, обычно за год.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Формула для годовой выручки нового бизнеса</w:t>
              <w:br/>
            </w:r>
            <w:r>
              <w:rPr>
                <w:rFonts w:ascii="Times New Roman" w:hAnsi="Times New Roman" w:eastAsia="Times New Roman"/>
                <w:sz w:val="20"/>
              </w:rPr>
              <w:t>Достижимая выручка = Доступный рынок × Реалистичная доля привлечения нового бизнеса</w:t>
            </w:r>
          </w:p>
        </w:tc>
      </w:tr>
      <w:tr>
        <w:tc>
          <w:tcPr>
            <w:tcW w:type="dxa" w:w="1020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Эта формула показывает не весь рынок, а достижимую часть, которую новый электронный бизнес может получить в первые периоды работы.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969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2721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интерпретировать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Количество потенциальных клиентов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клиенты, которые входят в выбранные границы рынка.</w:t>
            </w:r>
          </w:p>
        </w:tc>
        <w:tc>
          <w:tcPr>
            <w:tcW w:type="dxa" w:w="272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Это исходная база, которую нельзя автоматически считать покупателями.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Доля клиентов с потребностью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Часть клиентов, у которых действительно есть проблема или задача, связанная с продуктом.</w:t>
            </w:r>
          </w:p>
        </w:tc>
        <w:tc>
          <w:tcPr>
            <w:tcW w:type="dxa" w:w="272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Показывает реальную потребность, а не формальную принадлежность к сегменту.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Доля цифровой доступности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Часть клиентов, которых можно достичь через сайт, поиск, рекламу, социальные сети, платформы.</w:t>
            </w:r>
          </w:p>
        </w:tc>
        <w:tc>
          <w:tcPr>
            <w:tcW w:type="dxa" w:w="272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Особенно важна для электронного бизнеса.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Доля готовности платить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Часть клиентов, которые не только интересуются, но потенциально имеют бюджет.</w:t>
            </w:r>
          </w:p>
        </w:tc>
        <w:tc>
          <w:tcPr>
            <w:tcW w:type="dxa" w:w="272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Отделяет интерес от платежеспособного спроса.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Средний чек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Средняя сумма одной покупки или годового договора.</w:t>
            </w:r>
          </w:p>
        </w:tc>
        <w:tc>
          <w:tcPr>
            <w:tcW w:type="dxa" w:w="272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Для услуг лучше считать годовой чек, для товаров - средний чек покупки.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Частота покупки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Сколько раз клиент покупает за год.</w:t>
            </w:r>
          </w:p>
        </w:tc>
        <w:tc>
          <w:tcPr>
            <w:tcW w:type="dxa" w:w="272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Позволяет учесть повторные покупки и подписку.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Источники данных о потенциальных клиентах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Главное требование к оценке через количество потенциальных клиентов - отделять подтвержденные источники данных от экспертных допущений. Ниже приведены основные источники, которые можно использовать для электронного бизнеса.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92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Тип данных</w:t>
            </w:r>
          </w:p>
        </w:tc>
        <w:tc>
          <w:tcPr>
            <w:tcW w:type="dxa" w:w="249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2665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можно получить</w:t>
            </w:r>
          </w:p>
        </w:tc>
        <w:tc>
          <w:tcPr>
            <w:tcW w:type="dxa" w:w="198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Число организаций и предпринимателей</w:t>
            </w:r>
          </w:p>
        </w:tc>
        <w:tc>
          <w:tcPr>
            <w:tcW w:type="dxa" w:w="249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Национальная статистика, государственные реестры, отраслевые сборники.</w:t>
            </w:r>
          </w:p>
        </w:tc>
        <w:tc>
          <w:tcPr>
            <w:tcW w:type="dxa" w:w="266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компаний, индивидуальных предпринимателей, субъектов малого и среднего предпринимательства.</w:t>
            </w:r>
          </w:p>
        </w:tc>
        <w:tc>
          <w:tcPr>
            <w:tcW w:type="dxa" w:w="198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Исходная база для B2B-расчета.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Отраслевая структура клиентов</w:t>
            </w:r>
          </w:p>
        </w:tc>
        <w:tc>
          <w:tcPr>
            <w:tcW w:type="dxa" w:w="249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Статистика по видам деятельности, отраслевые обзоры, бизнес-каталоги.</w:t>
            </w:r>
          </w:p>
        </w:tc>
        <w:tc>
          <w:tcPr>
            <w:tcW w:type="dxa" w:w="266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Распределение компаний по торговле, услугам, образованию, производству, электронной торговле.</w:t>
            </w:r>
          </w:p>
        </w:tc>
        <w:tc>
          <w:tcPr>
            <w:tcW w:type="dxa" w:w="198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Сегментация клиентской базы.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Цифровая активность клиентов</w:t>
            </w:r>
          </w:p>
        </w:tc>
        <w:tc>
          <w:tcPr>
            <w:tcW w:type="dxa" w:w="249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Similarweb, Google Trends, Яндекс Вордстат, рекламные кабинеты, социальные сети.</w:t>
            </w:r>
          </w:p>
        </w:tc>
        <w:tc>
          <w:tcPr>
            <w:tcW w:type="dxa" w:w="266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Трафик, поисковый интерес, география, каналы привлечения, цифровые признаки спроса.</w:t>
            </w:r>
          </w:p>
        </w:tc>
        <w:tc>
          <w:tcPr>
            <w:tcW w:type="dxa" w:w="198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Проверка того, что клиенты доступны через цифровые каналы.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Конкурентное предложение</w:t>
            </w:r>
          </w:p>
        </w:tc>
        <w:tc>
          <w:tcPr>
            <w:tcW w:type="dxa" w:w="249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Сайты конкурентов, карты, каталоги, маркетплейсы услуг, социальные сети.</w:t>
            </w:r>
          </w:p>
        </w:tc>
        <w:tc>
          <w:tcPr>
            <w:tcW w:type="dxa" w:w="266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Количество поставщиков, цены, пакеты услуг, отзывы, видимая активность.</w:t>
            </w:r>
          </w:p>
        </w:tc>
        <w:tc>
          <w:tcPr>
            <w:tcW w:type="dxa" w:w="198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Проверка среднего чека и насыщенности рынка.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Платежеспособность</w:t>
            </w:r>
          </w:p>
        </w:tc>
        <w:tc>
          <w:tcPr>
            <w:tcW w:type="dxa" w:w="249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Прайсы конкурентов, опросы клиентов, пилотные продажи, открытые коммерческие предложения.</w:t>
            </w:r>
          </w:p>
        </w:tc>
        <w:tc>
          <w:tcPr>
            <w:tcW w:type="dxa" w:w="266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Диапазон цен и готовность платить.</w:t>
            </w:r>
          </w:p>
        </w:tc>
        <w:tc>
          <w:tcPr>
            <w:tcW w:type="dxa" w:w="198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Расчет среднего чека и сценариев.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Поведение на собственных каналах</w:t>
            </w:r>
          </w:p>
        </w:tc>
        <w:tc>
          <w:tcPr>
            <w:tcW w:type="dxa" w:w="249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Веб-аналитика, заявки, форма обратной связи, рекламные кабинеты.</w:t>
            </w:r>
          </w:p>
        </w:tc>
        <w:tc>
          <w:tcPr>
            <w:tcW w:type="dxa" w:w="266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Посещения, конверсии, стоимость заявки, стоимость продажи.</w:t>
            </w:r>
          </w:p>
        </w:tc>
        <w:tc>
          <w:tcPr>
            <w:tcW w:type="dxa" w:w="198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Уточнение достижимой доли рынка.</w:t>
            </w:r>
          </w:p>
        </w:tc>
      </w:tr>
    </w:tbl>
    <w:p/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Для Республики Беларусь в качестве официального исходного источника можно использовать разделы Белстата по малому и среднему предпринимательству и структурной статистике. Они дают данные по субъектам малого и среднего предпринимательства, микроорганизациям, малым и средним организациям, а также индивидуальным предпринимателям. Источник фиксируется в журнале данных с указанием даты обращения.</w:t>
      </w:r>
    </w:p>
    <w:p>
      <w:pPr>
        <w:pStyle w:val="Heading1"/>
      </w:pPr>
      <w:r>
        <w:rPr>
          <w:rFonts w:ascii="Times New Roman" w:hAnsi="Times New Roman" w:eastAsia="Times New Roman"/>
        </w:rPr>
        <w:t>Пошаговый алгоритм оценки рынка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1. Зафиксировать рынок: продукт, клиентская задача, территория, каналы, типы клиентов и заменители.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2. Определить единицу потенциального клиента: организация, индивидуальный предприниматель, домохозяйство, пользователь, продавец, исполнитель, подписчик или заказчик.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3. Собрать исходную численность клиентской базы из официальной статистики, отраслевых источников, каталогов, платформ или рекламных кабинетов.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4. Разделить клиентскую базу на сегменты: отрасль, размер бизнеса, территория, цифровая зрелость, тип потребности.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5. Оценить долю клиентов, у которых есть релевантная потребность.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6. Оценить долю клиентов, доступных через цифровые каналы.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7. Оценить долю клиентов, которые потенциально готовы платить за решение.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8. Задать средний чек и частоту покупки.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9. Рассчитать объем рынка по каждому сегменту и суммарный объем.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10. Построить осторожный, базовый и оптимистичный сценарии.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11. Проверить расчет через поисковый спрос, Similarweb, конкурентов и цифровую воронку.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12. Сформулировать итоговый вывод с ограничениями и перечнем данных, требующих уточнения.</w:t>
      </w:r>
    </w:p>
    <w:p>
      <w:pPr>
        <w:pStyle w:val="Heading1"/>
      </w:pPr>
      <w:r>
        <w:rPr>
          <w:rFonts w:ascii="Times New Roman" w:hAnsi="Times New Roman" w:eastAsia="Times New Roman"/>
        </w:rPr>
        <w:t>Коэффициенты сужения клиентской базы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Коэффициенты сужения нужны для того, чтобы не завышать оценку рынка. Они показывают, какая часть исходной клиентской базы действительно относится к анализируемому рынку.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92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Коэффициент</w:t>
            </w:r>
          </w:p>
        </w:tc>
        <w:tc>
          <w:tcPr>
            <w:tcW w:type="dxa" w:w="260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показывает</w:t>
            </w:r>
          </w:p>
        </w:tc>
        <w:tc>
          <w:tcPr>
            <w:tcW w:type="dxa" w:w="2381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Пример источника</w:t>
            </w:r>
          </w:p>
        </w:tc>
        <w:tc>
          <w:tcPr>
            <w:tcW w:type="dxa" w:w="215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Диапазон для сценариев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К1. Релевантность сегмента</w:t>
            </w:r>
          </w:p>
        </w:tc>
        <w:tc>
          <w:tcPr>
            <w:tcW w:type="dxa" w:w="260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клиентов, относящихся к выбранному сегменту.</w:t>
            </w:r>
          </w:p>
        </w:tc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Отраслевая статистика, каталоги, классификация клиентов.</w:t>
            </w:r>
          </w:p>
        </w:tc>
        <w:tc>
          <w:tcPr>
            <w:tcW w:type="dxa" w:w="215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Осторожно: 10-20%; базово: 20-40%; оптимистично: 40-60%.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К2. Наличие потребности</w:t>
            </w:r>
          </w:p>
        </w:tc>
        <w:tc>
          <w:tcPr>
            <w:tcW w:type="dxa" w:w="260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клиентов, которым действительно нужна услуга или продукт.</w:t>
            </w:r>
          </w:p>
        </w:tc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Опросы, поисковые запросы, проблемы аудитории, конкурентные кейсы.</w:t>
            </w:r>
          </w:p>
        </w:tc>
        <w:tc>
          <w:tcPr>
            <w:tcW w:type="dxa" w:w="215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Осторожно: 5-15%; базово: 15-30%; оптимистично: 30-50%.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К3. Цифровая доступность</w:t>
            </w:r>
          </w:p>
        </w:tc>
        <w:tc>
          <w:tcPr>
            <w:tcW w:type="dxa" w:w="260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клиентов, которых можно найти и привлечь через интернет.</w:t>
            </w:r>
          </w:p>
        </w:tc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Similarweb, рекламные кабинеты, социальные сети, сайты компаний.</w:t>
            </w:r>
          </w:p>
        </w:tc>
        <w:tc>
          <w:tcPr>
            <w:tcW w:type="dxa" w:w="215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Осторожно: 20-40%; базово: 40-70%; оптимистично: 70-90%.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К4. Готовность платить</w:t>
            </w:r>
          </w:p>
        </w:tc>
        <w:tc>
          <w:tcPr>
            <w:tcW w:type="dxa" w:w="260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клиентов, которые могут выделить бюджет.</w:t>
            </w:r>
          </w:p>
        </w:tc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Цены конкурентов, пилотные продажи, переговоры, заявки.</w:t>
            </w:r>
          </w:p>
        </w:tc>
        <w:tc>
          <w:tcPr>
            <w:tcW w:type="dxa" w:w="215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Осторожно: 5-10%; базово: 10-25%; оптимистично: 25-40%.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К5. Достижимая доля нового бизнеса</w:t>
            </w:r>
          </w:p>
        </w:tc>
        <w:tc>
          <w:tcPr>
            <w:tcW w:type="dxa" w:w="260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Какая часть доступного рынка может быть привлечена новым проектом.</w:t>
            </w:r>
          </w:p>
        </w:tc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Конкурентность, бюджет продвижения, мощности команды.</w:t>
            </w:r>
          </w:p>
        </w:tc>
        <w:tc>
          <w:tcPr>
            <w:tcW w:type="dxa" w:w="215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Осторожно: 0,5-1%; базово: 1-3%; оптимистично: 3-7%.</w:t>
            </w:r>
          </w:p>
        </w:tc>
      </w:tr>
    </w:tbl>
    <w:p/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Диапазоны в таблице являются методическими ориентирами, а не универсальными нормами. Их необходимо корректировать с учетом отрасли, стадии бизнеса, конкуренции, цены, сложности продукта и географии рынка.</w:t>
      </w:r>
    </w:p>
    <w:p>
      <w:pPr>
        <w:pStyle w:val="Heading1"/>
      </w:pPr>
      <w:r>
        <w:rPr>
          <w:rFonts w:ascii="Times New Roman" w:hAnsi="Times New Roman" w:eastAsia="Times New Roman"/>
        </w:rPr>
        <w:t>Расчетные модели для электронного бизнеса</w:t>
      </w:r>
    </w:p>
    <w:p>
      <w:pPr>
        <w:pStyle w:val="Heading2"/>
      </w:pPr>
      <w:r>
        <w:rPr>
          <w:rFonts w:ascii="Times New Roman" w:hAnsi="Times New Roman" w:eastAsia="Times New Roman"/>
        </w:rPr>
        <w:t>7.1. Модель для B2B-услуг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Эта модель подходит для маркетинговых, бухгалтерских, юридических, образовательных, консультационных и ИТ-услуг, которые продаются организациям и предпринимателям.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B2B-формула</w:t>
              <w:br/>
            </w:r>
            <w:r>
              <w:rPr>
                <w:rFonts w:ascii="Times New Roman" w:hAnsi="Times New Roman" w:eastAsia="Times New Roman"/>
                <w:sz w:val="20"/>
              </w:rPr>
              <w:t>Годовой объем рынка = Количество организаций в сегменте × Доля клиентов с потребностью × Доля готовности платить × Средний годовой чек</w:t>
            </w:r>
          </w:p>
        </w:tc>
      </w:tr>
      <w:tr>
        <w:tc>
          <w:tcPr>
            <w:tcW w:type="dxa" w:w="1020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Если услуга продается как подписка или сопровождение, используется годовой чек. Если услуга разовая, дополнительно учитывается частота покупки.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835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вводить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Количество организаций в сегменте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Число компаний, ИП или учреждений в выбранной территории.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Берется из статистики, реестров, каталогов или отраслевых источников.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Доля клиентов с потребностью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Процент компаний, которым нужна услуга.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Определяется через поисковый спрос, опросы, экспертную оценку, активность конкурентов.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Доля готовности платить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Процент клиентов, которые имеют бюджет.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Уточняется через цены, пилотные продажи и коммерческие запросы.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Средний годовой чек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Средняя стоимость обслуживания клиента за год.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Для услуг сопровождения обычно важнее годовой чек, а не цена одной консультации.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7.2. Модель для B2C-электронной торговли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B2C-формула</w:t>
              <w:br/>
            </w:r>
            <w:r>
              <w:rPr>
                <w:rFonts w:ascii="Times New Roman" w:hAnsi="Times New Roman" w:eastAsia="Times New Roman"/>
                <w:sz w:val="20"/>
              </w:rPr>
              <w:t>Годовой объем рынка = Число потенциальных покупателей × Доля покупателей категории × Частота покупок в год × Средний чек</w:t>
            </w:r>
          </w:p>
        </w:tc>
      </w:tr>
      <w:tr>
        <w:tc>
          <w:tcPr>
            <w:tcW w:type="dxa" w:w="1020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Подходит для интернет-магазинов, цифровых продуктов, подписок и онлайн-курсов для физических лиц.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835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вводить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Число потенциальных покупателей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Население выбранной территории или цифровая аудитория.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Можно брать из статистики, рекламных кабинетов или аналитики платформ.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Доля покупателей категории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Доля людей, которые потенциально покупают такой продукт.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Определяется через исследования, платформы, поисковый спрос, аналогичные категории.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Частота покупок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Сколько покупок в год совершает один клиент.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Важна для повторных товаров, подписок и обучения.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Средний чек</w:t>
            </w:r>
          </w:p>
        </w:tc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Средняя стоимость покупки.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Берется из конкурентов, маркетплейсов, прайсов и пилотных продаж.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7.3. Модель для цифровой платформы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Для платформы важно отдельно оценивать стороны рынка: например, заказчиков и исполнителей, продавцов и покупателей, рекламодателей и аудиторию. Объем сделок платформы и собственная выручка платформы не совпадают.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Платформенная формула</w:t>
              <w:br/>
            </w:r>
            <w:r>
              <w:rPr>
                <w:rFonts w:ascii="Times New Roman" w:hAnsi="Times New Roman" w:eastAsia="Times New Roman"/>
                <w:sz w:val="20"/>
              </w:rPr>
              <w:t>Объем сделок = Количество активных участников × Среднее число сделок × Средняя сумма сделки</w:t>
            </w:r>
          </w:p>
        </w:tc>
      </w:tr>
      <w:tr>
        <w:tc>
          <w:tcPr>
            <w:tcW w:type="dxa" w:w="1020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Собственная выручка платформы рассчитывается отдельно: комиссия, подписка, реклама или плата за доступ.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Выручка платформы</w:t>
              <w:br/>
            </w:r>
            <w:r>
              <w:rPr>
                <w:rFonts w:ascii="Times New Roman" w:hAnsi="Times New Roman" w:eastAsia="Times New Roman"/>
                <w:sz w:val="20"/>
              </w:rPr>
              <w:t>Выручка платформы = Объем сделок × Комиссия платформы + Подписки + Рекламные доходы</w:t>
            </w:r>
          </w:p>
        </w:tc>
      </w:tr>
      <w:tr>
        <w:tc>
          <w:tcPr>
            <w:tcW w:type="dxa" w:w="1020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 анализе платформы нужно различать общий оборот сделок и доход владельца платформы.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Использование Similarweb и цифровых источников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Similarweb не показывает количество всех потенциальных клиентов на рынке напрямую. Его роль в данной методике - проверять цифровую активность рынка: посещаемость сайтов конкурентов, географию аудитории, каналы трафика, поисковые запросы и похожие сайты.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Данные Similarweb</w:t>
            </w:r>
          </w:p>
        </w:tc>
        <w:tc>
          <w:tcPr>
            <w:tcW w:type="dxa" w:w="3969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использовать в методике</w:t>
            </w:r>
          </w:p>
        </w:tc>
        <w:tc>
          <w:tcPr>
            <w:tcW w:type="dxa" w:w="2721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Посещения сайтов конкурентов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Оценить цифровую активность сегмента и приблизительный масштаб спроса вокруг конкурентов.</w:t>
            </w:r>
          </w:p>
        </w:tc>
        <w:tc>
          <w:tcPr>
            <w:tcW w:type="dxa" w:w="272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Посещения не равны клиентам и продажам.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 аудитории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Проверить, соответствует ли трафик выбранным географическим границам рынка.</w:t>
            </w:r>
          </w:p>
        </w:tc>
        <w:tc>
          <w:tcPr>
            <w:tcW w:type="dxa" w:w="272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могут быть оценочными и ограниченными в бесплатном доступе.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Каналы трафика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Понять, какие каналы приводят клиентов: поиск, прямой трафик, социальные сети, рекомендации.</w:t>
            </w:r>
          </w:p>
        </w:tc>
        <w:tc>
          <w:tcPr>
            <w:tcW w:type="dxa" w:w="272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Канал не показывает платежеспособность клиента.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Ключевые слова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Уточнить семантическое ядро и коммерческие формулировки.</w:t>
            </w:r>
          </w:p>
        </w:tc>
        <w:tc>
          <w:tcPr>
            <w:tcW w:type="dxa" w:w="272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Ключевые слова конкурента не равны всему спросу рынка.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Похожие сайты</w:t>
            </w:r>
          </w:p>
        </w:tc>
        <w:tc>
          <w:tcPr>
            <w:tcW w:type="dxa" w:w="3969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Расширить список конкурентов и проверить полноту рынка.</w:t>
            </w:r>
          </w:p>
        </w:tc>
        <w:tc>
          <w:tcPr>
            <w:tcW w:type="dxa" w:w="272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Нужна ручная проверка релевантности сайтов.</w:t>
            </w:r>
          </w:p>
        </w:tc>
      </w:tr>
    </w:tbl>
    <w:p/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Для усиления расчета рекомендуется сопоставлять данные Similarweb с Google Trends, Яндекс Вордстат, рекламными кабинетами, данными веб-аналитики собственного сайта и открытыми статистическими источниками.</w:t>
      </w:r>
    </w:p>
    <w:p>
      <w:pPr>
        <w:pStyle w:val="Heading1"/>
      </w:pPr>
      <w:r>
        <w:rPr>
          <w:rFonts w:ascii="Times New Roman" w:hAnsi="Times New Roman" w:eastAsia="Times New Roman"/>
        </w:rPr>
        <w:t>Сценарная оценка объема рынка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При недостатке точных данных итог нужно считать не одним числом, а диапазоном. Сценарии показывают, как меняется объем рынка при разных допущениях.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226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Осторожный сценарий</w:t>
            </w:r>
          </w:p>
        </w:tc>
        <w:tc>
          <w:tcPr>
            <w:tcW w:type="dxa" w:w="226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Базовый сценарий</w:t>
            </w:r>
          </w:p>
        </w:tc>
        <w:tc>
          <w:tcPr>
            <w:tcW w:type="dxa" w:w="226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Оптимистичный сценарий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Исходная клиентская база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[ввести]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[ввести]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[ввести]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клиентов с потребностью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Низкая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Средняя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Повышенная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цифровой доступности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Низкая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Средняя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Высокая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готовности платить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Низкая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Средняя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Высокая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Средний чек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Минимальный рыночный уровень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Средний рыночный уровень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Повышенный уровень за счет ценности предложения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Частота покупки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Редкая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Регулярная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Регулярная + повторные продажи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Итоговый объем рынка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[расчет]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[расчет]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[расчет]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Пример для бизнеса на основе компетенции «маркетинг»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Ниже приведен демонстрационный пример. Числа в таблицах являются учебными расчетными значениями; в реальной работе они должны быть заменены фактическими данными из статистики, реестров, Similarweb, Google Trends, Яндекс Вордстат, сайтов конкурентов и собственных исследований.</w:t>
      </w:r>
    </w:p>
    <w:p>
      <w:pPr>
        <w:pStyle w:val="Heading2"/>
      </w:pPr>
      <w:r>
        <w:rPr>
          <w:rFonts w:ascii="Times New Roman" w:hAnsi="Times New Roman" w:eastAsia="Times New Roman"/>
        </w:rPr>
        <w:t>10.1. Описание бизнес-идеи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236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Пример заполнения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Бизнес-идея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Маркетинговое сопровождение малого бизнеса через цифровые каналы.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Клиентская задача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Привлечение клиентов, повышение узнаваемости, настройка рекламы, развитие продаж.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Целевая аудитория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Малые организации, индивидуальные предприниматели, локальные сервисные компании, интернет-магазины.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Географические границы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Республика Беларусь; отдельный анализ Минска и областных центров возможен после первичной оценки.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Единица потенциального клиента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Одна организация или один предприниматель, способный купить маркетинговую услугу.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10.2. Демонстрационный расчет по сегментам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249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Сегмент клиентов</w:t>
            </w:r>
          </w:p>
        </w:tc>
        <w:tc>
          <w:tcPr>
            <w:tcW w:type="dxa" w:w="130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Клиентская база</w:t>
            </w:r>
          </w:p>
        </w:tc>
        <w:tc>
          <w:tcPr>
            <w:tcW w:type="dxa" w:w="1361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Доля с потребностью</w:t>
            </w:r>
          </w:p>
        </w:tc>
        <w:tc>
          <w:tcPr>
            <w:tcW w:type="dxa" w:w="1417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Доля готовности платить</w:t>
            </w:r>
          </w:p>
        </w:tc>
        <w:tc>
          <w:tcPr>
            <w:tcW w:type="dxa" w:w="1417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Средний годовой чек</w:t>
            </w:r>
          </w:p>
        </w:tc>
        <w:tc>
          <w:tcPr>
            <w:tcW w:type="dxa" w:w="1417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Оценка объема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Интернет-магазины и онлайн-продавцы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2 000</w:t>
            </w:r>
          </w:p>
        </w:tc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35%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20%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2 400 руб.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336 000 руб.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Локальные услуги для населения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5 000</w:t>
            </w:r>
          </w:p>
        </w:tc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25%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12%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1 800 руб.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270 000 руб.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Образовательные и консультационные проекты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1 200</w:t>
            </w:r>
          </w:p>
        </w:tc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30%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18%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2 200 руб.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142 560 руб.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Малые производственные компании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1 500</w:t>
            </w:r>
          </w:p>
        </w:tc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15%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10%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2 800 руб.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63 000 руб.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Итого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9 700</w:t>
            </w:r>
          </w:p>
        </w:tc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-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-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-</w:t>
            </w:r>
          </w:p>
        </w:tc>
        <w:tc>
          <w:tcPr>
            <w:tcW w:type="dxa" w:w="141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811 560 руб.</w:t>
            </w:r>
          </w:p>
        </w:tc>
      </w:tr>
    </w:tbl>
    <w:p/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Интерпретация: расчет показывает не гарантированную выручку нового бизнеса, а оценочный объем доступного сегмента при заданных допущениях. Для перехода к достижимой выручке нового проекта нужно умножить доступный объем на реалистичную долю привлечения.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Переход к достижимой выручке</w:t>
              <w:br/>
            </w:r>
            <w:r>
              <w:rPr>
                <w:rFonts w:ascii="Times New Roman" w:hAnsi="Times New Roman" w:eastAsia="Times New Roman"/>
                <w:sz w:val="20"/>
              </w:rPr>
              <w:t>Достижимая выручка нового бизнеса = Доступный объем рынка × Доля привлечения</w:t>
            </w:r>
          </w:p>
        </w:tc>
      </w:tr>
      <w:tr>
        <w:tc>
          <w:tcPr>
            <w:tcW w:type="dxa" w:w="1020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Например, при доступном объеме 811 560 руб. и доле привлечения 2% достижимая выручка составит 16 231 руб. в год. Это значение требует проверки через цифровую воронку и пилотные продажи.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10.3. Проверка демонстрационного расчета цифровыми данными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Проверочный источник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проверить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Как влияет на расчет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Google Trends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Есть ли устойчивый интерес к запросам: маркетинг, продвижение бизнеса, реклама, привлечение клиентов.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Подтверждает или ослабляет гипотезу о наличии интереса.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Яндекс Вордстат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Частотность коммерческих запросов: услуги маркетолога, маркетинговое агентство, заказать рекламу.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Помогает оценить близость интереса к покупке.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Similarweb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Трафик сайтов маркетинговых агентств, география аудитории, каналы привлечения.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Показывает цифровую активность конкурентов.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Сайты конкурентов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Цены, пакеты, кейсы, целевые сегменты.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Уточняет средний чек и типы клиентов.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Пилотное предложение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Конверсия из обращения в оплату.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Проверяет готовность платить.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Рабочие таблицы для заполнения</w:t>
      </w:r>
    </w:p>
    <w:p>
      <w:pPr>
        <w:pStyle w:val="Heading2"/>
      </w:pPr>
      <w:r>
        <w:rPr>
          <w:rFonts w:ascii="Times New Roman" w:hAnsi="Times New Roman" w:eastAsia="Times New Roman"/>
        </w:rPr>
        <w:t>11.1. Паспорт клиентской базы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Название рынка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[указать]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Продуктовые границы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[указать товар, услугу или цифровое решение]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Клиентские границы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[указать тип клиента]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Географические границы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[указать страну, регион, город]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Каналы цифрового доступа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[поиск, сайт, социальные сети, маркетплейсы, реклама, платформы]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Единица потенциального клиента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[организация, ИП, пользователь, покупатель, продавец, исполнитель]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Главные заменители</w:t>
            </w:r>
          </w:p>
        </w:tc>
        <w:tc>
          <w:tcPr>
            <w:tcW w:type="dxa" w:w="6236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[указать альтернативные способы решения задачи]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11.2. Таблица расчета по сегментам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true"/>
          <w:cantSplit/>
        </w:trPr>
        <w:tc>
          <w:tcPr>
            <w:tcW w:type="dxa" w:w="1361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Сегмент</w:t>
            </w:r>
          </w:p>
        </w:tc>
        <w:tc>
          <w:tcPr>
            <w:tcW w:type="dxa" w:w="1587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Источник численности</w:t>
            </w:r>
          </w:p>
        </w:tc>
        <w:tc>
          <w:tcPr>
            <w:tcW w:type="dxa" w:w="113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Клиентская база</w:t>
            </w:r>
          </w:p>
        </w:tc>
        <w:tc>
          <w:tcPr>
            <w:tcW w:type="dxa" w:w="1020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К1 потребность</w:t>
            </w:r>
          </w:p>
        </w:tc>
        <w:tc>
          <w:tcPr>
            <w:tcW w:type="dxa" w:w="130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К2 цифровая доступность</w:t>
            </w:r>
          </w:p>
        </w:tc>
        <w:tc>
          <w:tcPr>
            <w:tcW w:type="dxa" w:w="130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К3 готовность платить</w:t>
            </w:r>
          </w:p>
        </w:tc>
        <w:tc>
          <w:tcPr>
            <w:tcW w:type="dxa" w:w="113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Средний чек</w:t>
            </w:r>
          </w:p>
        </w:tc>
        <w:tc>
          <w:tcPr>
            <w:tcW w:type="dxa" w:w="1134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Объем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[сегмент 1]</w:t>
            </w:r>
          </w:p>
        </w:tc>
        <w:tc>
          <w:tcPr>
            <w:tcW w:type="dxa" w:w="158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[источник]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[число]</w:t>
            </w:r>
          </w:p>
        </w:tc>
        <w:tc>
          <w:tcPr>
            <w:tcW w:type="dxa" w:w="102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[%]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[%]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[%]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[сумма]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[расчет]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[сегмент 2]</w:t>
            </w:r>
          </w:p>
        </w:tc>
        <w:tc>
          <w:tcPr>
            <w:tcW w:type="dxa" w:w="158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[источник]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[число]</w:t>
            </w:r>
          </w:p>
        </w:tc>
        <w:tc>
          <w:tcPr>
            <w:tcW w:type="dxa" w:w="102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[%]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[%]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[%]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[сумма]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[расчет]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[сегмент 3]</w:t>
            </w:r>
          </w:p>
        </w:tc>
        <w:tc>
          <w:tcPr>
            <w:tcW w:type="dxa" w:w="158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[источник]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[число]</w:t>
            </w:r>
          </w:p>
        </w:tc>
        <w:tc>
          <w:tcPr>
            <w:tcW w:type="dxa" w:w="102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[%]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[%]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[%]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[сумма]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[расчет]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Итого</w:t>
            </w:r>
          </w:p>
        </w:tc>
        <w:tc>
          <w:tcPr>
            <w:tcW w:type="dxa" w:w="158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</w:t>
            </w:r>
          </w:p>
        </w:tc>
        <w:tc>
          <w:tcPr>
            <w:tcW w:type="dxa" w:w="102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</w:t>
            </w:r>
          </w:p>
        </w:tc>
        <w:tc>
          <w:tcPr>
            <w:tcW w:type="dxa" w:w="130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</w:t>
            </w:r>
          </w:p>
        </w:tc>
        <w:tc>
          <w:tcPr>
            <w:tcW w:type="dxa" w:w="1134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[расчет]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11.3. Журнал допущений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Допущение</w:t>
            </w:r>
          </w:p>
        </w:tc>
        <w:tc>
          <w:tcPr>
            <w:tcW w:type="dxa" w:w="1361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685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Источник / обоснование</w:t>
            </w:r>
          </w:p>
        </w:tc>
        <w:tc>
          <w:tcPr>
            <w:tcW w:type="dxa" w:w="1757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Уровень надежности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клиентов с потребностью</w:t>
            </w:r>
          </w:p>
        </w:tc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[%]</w:t>
            </w:r>
          </w:p>
        </w:tc>
        <w:tc>
          <w:tcPr>
            <w:tcW w:type="dxa" w:w="368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[источник или экспертное обоснование]</w:t>
            </w:r>
          </w:p>
        </w:tc>
        <w:tc>
          <w:tcPr>
            <w:tcW w:type="dxa" w:w="175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[низкий / средний / высокий]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цифровой доступности</w:t>
            </w:r>
          </w:p>
        </w:tc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[%]</w:t>
            </w:r>
          </w:p>
        </w:tc>
        <w:tc>
          <w:tcPr>
            <w:tcW w:type="dxa" w:w="368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[источник или экспертное обоснование]</w:t>
            </w:r>
          </w:p>
        </w:tc>
        <w:tc>
          <w:tcPr>
            <w:tcW w:type="dxa" w:w="175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[низкий / средний / высокий]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Доля готовности платить</w:t>
            </w:r>
          </w:p>
        </w:tc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[%]</w:t>
            </w:r>
          </w:p>
        </w:tc>
        <w:tc>
          <w:tcPr>
            <w:tcW w:type="dxa" w:w="368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[источник или экспертное обоснование]</w:t>
            </w:r>
          </w:p>
        </w:tc>
        <w:tc>
          <w:tcPr>
            <w:tcW w:type="dxa" w:w="175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[низкий / средний / высокий]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Средний чек</w:t>
            </w:r>
          </w:p>
        </w:tc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[сумма]</w:t>
            </w:r>
          </w:p>
        </w:tc>
        <w:tc>
          <w:tcPr>
            <w:tcW w:type="dxa" w:w="368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[прайсы конкурентов, пилот, опрос]</w:t>
            </w:r>
          </w:p>
        </w:tc>
        <w:tc>
          <w:tcPr>
            <w:tcW w:type="dxa" w:w="175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[низкий / средний / высокий]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Частота покупки</w:t>
            </w:r>
          </w:p>
        </w:tc>
        <w:tc>
          <w:tcPr>
            <w:tcW w:type="dxa" w:w="136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[число в год]</w:t>
            </w:r>
          </w:p>
        </w:tc>
        <w:tc>
          <w:tcPr>
            <w:tcW w:type="dxa" w:w="368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[поведение клиентов, модель услуги]</w:t>
            </w:r>
          </w:p>
        </w:tc>
        <w:tc>
          <w:tcPr>
            <w:tcW w:type="dxa" w:w="175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[низкий / средний / высокий]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Шаблоны итоговых формулировок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/>
          <w:sz w:val="22"/>
        </w:rPr>
        <w:t>Шаблон 1.</w:t>
      </w:r>
      <w:r>
        <w:rPr>
          <w:rFonts w:ascii="Times New Roman" w:hAnsi="Times New Roman" w:eastAsia="Times New Roman"/>
          <w:sz w:val="22"/>
        </w:rPr>
        <w:t xml:space="preserve"> Краткий вывод: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На основании оценки количества потенциальных клиентов в зафиксированных границах рынка можно сделать вывод, что анализируемое направление имеет расчетную клиентскую базу в размере [указать число] потенциальных клиентов. После применения коэффициентов потребности, цифровой доступности и готовности платить доступный рынок оценивается в диапазоне от [указать] до [указать] в год.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/>
          <w:sz w:val="22"/>
        </w:rPr>
        <w:t>Шаблон 2.</w:t>
      </w:r>
      <w:r>
        <w:rPr>
          <w:rFonts w:ascii="Times New Roman" w:hAnsi="Times New Roman" w:eastAsia="Times New Roman"/>
          <w:sz w:val="22"/>
        </w:rPr>
        <w:t xml:space="preserve"> Вывод с ограничениями: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Полученная оценка не является точным измерением фактической емкости рынка, поскольку часть параметров основана на расчетных допущениях. Однако она позволяет определить порядок величины рынка и выделить ключевые факторы, влияющие на коммерческую перспективность: численность клиентской базы, долю клиентов с выраженной потребностью, цифровую достижимость, платежеспособность и средний чек.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b/>
          <w:sz w:val="22"/>
        </w:rPr>
        <w:t>Шаблон 3.</w:t>
      </w:r>
      <w:r>
        <w:rPr>
          <w:rFonts w:ascii="Times New Roman" w:hAnsi="Times New Roman" w:eastAsia="Times New Roman"/>
          <w:sz w:val="22"/>
        </w:rPr>
        <w:t xml:space="preserve"> Переход к дальнейшему анализу: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Следующим этапом исследования целесообразно сопоставить расчет через количество потенциальных клиентов с данными поискового спроса, Similarweb, цифровой воронки и конкурентного анализа. Это позволит проверить, соответствует ли расчетная клиентская база фактической цифровой активности и видимой рыночной конкуренции.</w:t>
      </w:r>
    </w:p>
    <w:p>
      <w:pPr>
        <w:pStyle w:val="Heading1"/>
      </w:pPr>
      <w:r>
        <w:rPr>
          <w:rFonts w:ascii="Times New Roman" w:hAnsi="Times New Roman" w:eastAsia="Times New Roman"/>
        </w:rPr>
        <w:t>Типовые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43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3402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Почему это проблема</w:t>
            </w:r>
          </w:p>
        </w:tc>
        <w:tc>
          <w:tcPr>
            <w:tcW w:type="dxa" w:w="3231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Как исправить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Считать всех потенциальных клиентов покупателями.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Это завышает рынок и игнорирует потребность, бюджет и канал привлечения.</w:t>
            </w:r>
          </w:p>
        </w:tc>
        <w:tc>
          <w:tcPr>
            <w:tcW w:type="dxa" w:w="323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Использовать коэффициенты сужения.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Брать слишком широкий рынок.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Итоговый объем становится нерелевантным для конкретного бизнеса.</w:t>
            </w:r>
          </w:p>
        </w:tc>
        <w:tc>
          <w:tcPr>
            <w:tcW w:type="dxa" w:w="323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Сначала зафиксировать границы рынка.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Не разделять B2B, B2C и платформенную модель.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 разных моделей разные единицы клиента и разные формулы.</w:t>
            </w:r>
          </w:p>
        </w:tc>
        <w:tc>
          <w:tcPr>
            <w:tcW w:type="dxa" w:w="323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Выбрать расчетную модель до сбора данных.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Использовать средний чек без проверки.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Цена может не соответствовать реальной готовности платить.</w:t>
            </w:r>
          </w:p>
        </w:tc>
        <w:tc>
          <w:tcPr>
            <w:tcW w:type="dxa" w:w="323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Сравнить с конкурентами и пилотными продажами.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Игнорировать цифровую доступность.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Для электронного бизнеса важно не только существование клиента, но и возможность привлечь его онлайн.</w:t>
            </w:r>
          </w:p>
        </w:tc>
        <w:tc>
          <w:tcPr>
            <w:tcW w:type="dxa" w:w="323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Учитывать поисковый спрос, трафик, рекламу, социальные сети.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Не указывать источники чисел.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Расчет становится недоказательным.</w:t>
            </w:r>
          </w:p>
        </w:tc>
        <w:tc>
          <w:tcPr>
            <w:tcW w:type="dxa" w:w="323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Вести журнал источников и допущений.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Делать один расчет без сценариев.</w:t>
            </w:r>
          </w:p>
        </w:tc>
        <w:tc>
          <w:tcPr>
            <w:tcW w:type="dxa" w:w="3402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Одно число скрывает неопределенность.</w:t>
            </w:r>
          </w:p>
        </w:tc>
        <w:tc>
          <w:tcPr>
            <w:tcW w:type="dxa" w:w="323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Считать осторожный, базовый и оптимистичный сценарии.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Контрольный чек-лист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1"/>
        </w:rPr>
        <w:t>Зафиксированы ли продуктовые, клиентские, географические и цифровые границы рынка?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1"/>
        </w:rPr>
        <w:t>Определена ли единица потенциального клиента?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1"/>
        </w:rPr>
        <w:t>Есть ли источник исходной численности клиентской базы?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1"/>
        </w:rPr>
        <w:t>Разделена ли клиентская база на сегменты?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1"/>
        </w:rPr>
        <w:t>Обоснована ли доля клиентов с потребностью?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1"/>
        </w:rPr>
        <w:t>Учтена ли цифровая доступность клиентов?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1"/>
        </w:rPr>
        <w:t>Отделена ли готовность платить от общего интереса?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1"/>
        </w:rPr>
        <w:t>Проверен ли средний чек через конкурентов или пилотные данные?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1"/>
        </w:rPr>
        <w:t>Рассчитаны ли осторожный, базовый и оптимистичный сценарии?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1"/>
        </w:rPr>
        <w:t>Сопоставлен ли расчет с поисковым спросом, Similarweb и цифровой воронкой?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1"/>
        </w:rPr>
        <w:t>Указаны ли ограничения и источники данных?</w:t>
      </w:r>
    </w:p>
    <w:p>
      <w:pPr>
        <w:pStyle w:val="Heading1"/>
      </w:pPr>
      <w:r>
        <w:rPr>
          <w:rFonts w:ascii="Times New Roman" w:hAnsi="Times New Roman" w:eastAsia="Times New Roman"/>
        </w:rPr>
        <w:t>Источники данных и журнал фиксации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В итоговой работе необходимо указывать не только используемые числа, но и источник, дату обращения, период данных и методическое ограничение. Ниже приведена рекомендуемая форма журнала.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1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3005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Какие данные взяты</w:t>
            </w:r>
          </w:p>
        </w:tc>
        <w:tc>
          <w:tcPr>
            <w:tcW w:type="dxa" w:w="1247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Дата обращения</w:t>
            </w:r>
          </w:p>
        </w:tc>
        <w:tc>
          <w:tcPr>
            <w:tcW w:type="dxa" w:w="2268"/>
            <w:vAlign w:val="center"/>
            <w:shd w:fill="1F4E79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Белстат: статистика малого и среднего предпринимательства</w:t>
            </w:r>
          </w:p>
        </w:tc>
        <w:tc>
          <w:tcPr>
            <w:tcW w:type="dxa" w:w="300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Число субъектов малого и среднего предпринимательства, основные показатели деятельности, структура организаций.</w:t>
            </w:r>
          </w:p>
        </w:tc>
        <w:tc>
          <w:tcPr>
            <w:tcW w:type="dxa" w:w="124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[дата]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Данные агрегированы; могут не совпадать с узкими цифровыми сегментами.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Similarweb: Traffic and Engagement</w:t>
            </w:r>
          </w:p>
        </w:tc>
        <w:tc>
          <w:tcPr>
            <w:tcW w:type="dxa" w:w="300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Посещения сайтов, каналы трафика, география аудитории, похожие сайты.</w:t>
            </w:r>
          </w:p>
        </w:tc>
        <w:tc>
          <w:tcPr>
            <w:tcW w:type="dxa" w:w="124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[дата]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Оценочные данные; бесплатный доступ может быть ограничен.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Google Ads Reach Planner / рекламные кабинеты</w:t>
            </w:r>
          </w:p>
        </w:tc>
        <w:tc>
          <w:tcPr>
            <w:tcW w:type="dxa" w:w="300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Оценка охвата и прогнозов по аудитории, бюджету и географии.</w:t>
            </w:r>
          </w:p>
        </w:tc>
        <w:tc>
          <w:tcPr>
            <w:tcW w:type="dxa" w:w="124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[дата]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Прогнозные данные зависят от настроек кампании.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Google Trends / Яндекс Вордстат</w:t>
            </w:r>
          </w:p>
        </w:tc>
        <w:tc>
          <w:tcPr>
            <w:tcW w:type="dxa" w:w="300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Динамика интереса, частотность запросов, регионы, похожие запросы.</w:t>
            </w:r>
          </w:p>
        </w:tc>
        <w:tc>
          <w:tcPr>
            <w:tcW w:type="dxa" w:w="124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[дата]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Поисковый интерес не равен фактическому числу клиентов.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Сайты конкурентов</w:t>
            </w:r>
          </w:p>
        </w:tc>
        <w:tc>
          <w:tcPr>
            <w:tcW w:type="dxa" w:w="3005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Цены, пакеты, целевые сегменты, кейсы.</w:t>
            </w:r>
          </w:p>
        </w:tc>
        <w:tc>
          <w:tcPr>
            <w:tcW w:type="dxa" w:w="124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[дата]</w:t>
            </w:r>
          </w:p>
        </w:tc>
        <w:tc>
          <w:tcPr>
            <w:tcW w:type="dxa" w:w="2268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Публичные цены могут отличаться от фактических договоров.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Список рекомендуемых источников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1. Национальный статистический комитет Республики Беларусь. Статистика малого и среднего предпринимательства. URL: https://www.belstat.gov.by/ofitsialnaya-statistika/realny-sector-ekonomiki/strukturnaja_statistika/osnovnye-pokazateli-deyatelnosti-mikroorganizatsiy-i-malykh-organizatsiy/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2. Национальный статистический комитет Республики Беларусь. Структурная статистика, включая статистику малого и среднего предпринимательства. URL: https://www.belstat.gov.by/ofitsialnaya-statistika/realny-sector-ekonomiki/strukturnaja_statistika/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3. Similarweb. Data Methodology. URL: https://support.similarweb.com/hc/en-us/articles/360001631538-Similarweb-Data-Methodology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4. Similarweb. View Traffic &amp; Engagement. URL: https://support.similarweb.com/hc/en-us/articles/115004606345-View-Traffic-Engagement</w:t>
      </w:r>
    </w:p>
    <w:p>
      <w:pPr>
        <w:spacing w:after="40"/>
        <w:ind w:left="283" w:hanging="198"/>
      </w:pPr>
      <w:r>
        <w:rPr>
          <w:rFonts w:ascii="Times New Roman" w:hAnsi="Times New Roman" w:eastAsia="Times New Roman"/>
          <w:sz w:val="21"/>
        </w:rPr>
        <w:t>5. Google Ads Help. About Reach Planner. URL: https://support.google.com/google-ads/answer/9427120</w:t>
      </w:r>
    </w:p>
    <w:p>
      <w:pPr>
        <w:pStyle w:val="Heading1"/>
      </w:pPr>
      <w:r>
        <w:rPr>
          <w:rFonts w:ascii="Times New Roman" w:hAnsi="Times New Roman" w:eastAsia="Times New Roman"/>
        </w:rPr>
        <w:t>Итоговое методическое правило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2"/>
        </w:rPr>
        <w:t>Оценка рынка через количество потенциальных клиентов является сильной только тогда, когда каждое число связано с источником или прозрачным допущением. Исходная клиентская база показывает масштаб возможного рынка, коэффициенты сужения приближают расчет к реальности, а цифровые источники помогают проверить, проявляется ли этот рынок в поиске, трафике, рекламе и активности конкурентов.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46464"/>
        <w:sz w:val="18"/>
      </w:rPr>
      <w:t>Методика оценки рынка через количество потенциальных клиентов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оценки объема рынка через количество потенциальных клиентов</dc:title>
  <dc:subject>Электронный бизнес, анализ рынка, потенциальные клиенты</dc:subject>
  <dc:creator/>
  <cp:keywords>рынок, электронный бизнес, потенциальные клиенты, оценка объема рынка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