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eastAsia="Arial"/>
          <w:b/>
          <w:color w:val="1F4E79"/>
          <w:sz w:val="40"/>
        </w:rPr>
        <w:t>Методика оценки рынка электронного бизнеса</w:t>
        <w:br/>
        <w:t>на основе данных Similarweb</w:t>
      </w:r>
    </w:p>
    <w:p>
      <w:pPr>
        <w:jc w:val="center"/>
      </w:pPr>
      <w:r>
        <w:rPr>
          <w:rFonts w:ascii="Arial" w:hAnsi="Arial" w:eastAsia="Arial"/>
          <w:sz w:val="22"/>
        </w:rPr>
        <w:t>Практический алгоритм перехода от данных о трафике конкурентов к оценке цифрового объема рынка, рыночной доли, каналов спроса и сценариев выручки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38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59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Назначение документа</w:t>
            </w:r>
          </w:p>
        </w:tc>
        <w:tc>
          <w:tcPr>
            <w:tcW w:type="dxa" w:w="75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Дать единую методику оценки рынка электронного бизнеса с использованием данных Similarweb: посещаемости, каналов трафика, географии, поисковых запросов, конкурентов и вовлеченности.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Объект анализа</w:t>
            </w:r>
          </w:p>
        </w:tc>
        <w:tc>
          <w:tcPr>
            <w:tcW w:type="dxa" w:w="75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Сайты конкурентов, цифровые площадки, интернет-магазины, сервисные сайты, платформы, отраслевые порталы и сайты потенциальных заменителей.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Ключевой результат</w:t>
            </w:r>
          </w:p>
        </w:tc>
        <w:tc>
          <w:tcPr>
            <w:tcW w:type="dxa" w:w="75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Оценочный диапазон объема цифрового рынка, доли конкурентов, структуры каналов привлечения, географической концентрации аудитории и потенциальной выручки нового бизнеса.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Методическое ограничение</w:t>
            </w:r>
          </w:p>
        </w:tc>
        <w:tc>
          <w:tcPr>
            <w:tcW w:type="dxa" w:w="75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Similarweb не является системой внутренней аналитики конкурента. Его данные имеют оценочный характер и должны использоваться вместе с другими источниками: поисковым спросом, статистикой, рекламными кабинетами, сайтами конкурентов и экспертной проверкой.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Дата подготовки</w:t>
            </w:r>
          </w:p>
        </w:tc>
        <w:tc>
          <w:tcPr>
            <w:tcW w:type="dxa" w:w="75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02.05.2026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1. Назначение методики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Методика предназначена для оценки рынка электронного бизнеса через цифровые следы спроса и предложения. В качестве исходных данных используются показатели Similarweb по посещаемости сайтов, источникам трафика, географии аудитории, поисковым запросам, реферальным переходам, вовлеченности и конкурентному окружению.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Главная задача состоит не в механическом переписывании посещаемости отдельных сайтов, а в построении расчетной цепочки: сайты конкурентов -&gt; суммарный трафик сегмента -&gt; релевантная аудитория -&gt; потенциальные заявки или заказы -&gt; расчетный объем рынка в денежном выражении.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Методика особенно полезна для электронного бизнеса, где значительная часть рыночного интереса проявляется не только через официальную статистику, но и через посещаемость сайтов, поисковое поведение, рекламные каналы, платформенные взаимодействия и цифровые маршруты клиента.</w:t>
      </w:r>
    </w:p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2. Что именно можно оценивать по Similarweb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Объект оценки</w:t>
            </w:r>
          </w:p>
        </w:tc>
        <w:tc>
          <w:tcPr>
            <w:tcW w:type="dxa" w:w="362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показывает Similarweb</w:t>
            </w:r>
          </w:p>
        </w:tc>
        <w:tc>
          <w:tcPr>
            <w:tcW w:type="dxa" w:w="408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Как используется для оценки рынка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Цифровой масштаб рынка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Суммарную посещаемость сайтов конкурентов и динамику трафика.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Позволяет оценить размер цифрового внимания к сегменту и рассчитать доли игроков.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Рыночные доли конкурентов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Посещения отдельных сайтов и сравнительную видимость конкурентов.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Используется для расчета доли трафика и концентрации цифрового рынка.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География аудитории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Доли трафика по странам и территориям, если показатель доступен.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Помогает уточнить географические границы рынка и выбрать приоритетную территорию.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Каналы привлечения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Direct, Search, Referrals, Social, Display, Email и другие каналы.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Показывает, через какие цифровые каналы формируется спрос.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Поисковый спрос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Ключевые слова и поисковые направления, приводящие трафик на сайты.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Помогает связать анализ Similarweb с семантическим ядром, Google Trends и Яндекс Вордстат.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Вовлеченность аудитории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Страницы за визит, средняя длительность посещения, показатель отказов, если доступно.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Используется для оценки качества трафика и вероятности коммерческого намерения.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Реферальные источники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Сайты и площадки, направляющие трафик конкурентам.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Показывает партнерские, медийные и отраслевые каналы доступа к аудитории.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Сходные сайты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Список похожих ресурсов и конкурентов.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Позволяет расширить конкурентную выборку и избежать слишком узкой оценки рынка.</w:t>
            </w:r>
          </w:p>
        </w:tc>
      </w:tr>
    </w:tbl>
    <w:p>
      <w:pPr>
        <w:spacing w:after="120" w:line="259" w:lineRule="auto"/>
      </w:pPr>
      <w:r>
        <w:rPr>
          <w:rFonts w:ascii="Arial" w:hAnsi="Arial" w:eastAsia="Arial"/>
          <w:sz w:val="21"/>
        </w:rPr>
        <w:t>Similarweb указывает, что бесплатный Website Traffic Checker позволяет анализировать посещаемость, вовлеченность, источники трафика, ключевые слова, реферальные домены, рекламные объявления, технологии сайтов и похожие ресурсы. Для более крупных выгрузок Similarweb предлагает Data Exporter, API и Batch API, но такие способы обычно зависят от подписки и единиц извлечения данных.</w:t>
      </w:r>
    </w:p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3. Основной принцип оценки рынка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Данные Similarweb не следует напрямую отождествлять с объемом рынка. Посещаемость сайта не равна количеству клиентов, а трафик конкурента не равен его выручке. Поэтому оценка рынка строится как последовательное преобразование цифровых показателей в коммерческие показатели через набор прозрачных допущений.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shd w:fill="EAF2F8"/>
          </w:tcPr>
          <w:p>
            <w:r/>
            <w:r>
              <w:rPr>
                <w:rFonts w:ascii="Arial" w:hAnsi="Arial" w:eastAsia="Arial"/>
                <w:b/>
                <w:sz w:val="20"/>
              </w:rPr>
              <w:t>Базовая расчетная цепочка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1. Суммарный трафик сегмента = сумма посещений сайтов выбранных конкурентов.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2. Географически релевантный трафик = суммарный трафик × доля выбранной страны или региона.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3. Коммерчески релевантный трафик = географически релевантный трафик × доля каналов или страниц, связанных с покупкой.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4. Потенциальные заявки = коммерчески релевантный трафик × конверсия из посещения в заявку.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5. Потенциальные продажи = заявки × конверсия из заявки в оплату.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6. Объем рынка = потенциальные продажи × средний чек.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7. Годовой объем рынка = месячный объем рынка × 12 или сумма месячных оценок за год.</w:t>
            </w:r>
          </w:p>
        </w:tc>
      </w:tr>
    </w:tbl>
    <w:p>
      <w:pPr>
        <w:spacing w:after="120" w:line="259" w:lineRule="auto"/>
      </w:pPr>
      <w:r>
        <w:rPr>
          <w:rFonts w:ascii="Arial" w:hAnsi="Arial" w:eastAsia="Arial"/>
          <w:sz w:val="21"/>
        </w:rPr>
        <w:t>Методика требует обязательного сценарного расчета: осторожного, базового и оптимистичного. Это нужно потому, что конверсия, средний чек и полнота охвата конкурентов обычно известны приблизительно.</w:t>
      </w:r>
    </w:p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4. Подготовительный этап: фиксация границ рынка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Перед сбором данных Similarweb необходимо зафиксировать, какой рынок оценивается. Без этого в расчет могут попасть нерелевантные сайты, широкие порталы, информационные ресурсы, обучающие проекты или международные игроки, которые искажают оценку.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09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Тип границы</w:t>
            </w:r>
          </w:p>
        </w:tc>
        <w:tc>
          <w:tcPr>
            <w:tcW w:type="dxa" w:w="345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нужно зафиксировать</w:t>
            </w:r>
          </w:p>
        </w:tc>
        <w:tc>
          <w:tcPr>
            <w:tcW w:type="dxa" w:w="442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Пример для бизнеса на основе компетенции «маркетинг»</w:t>
            </w:r>
          </w:p>
        </w:tc>
      </w:tr>
      <w:tr>
        <w:trPr>
          <w:cantSplit/>
        </w:trP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Продуктовые границы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Какие услуги, товары или цифровые решения входят в анализ.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Услуги интернет-продвижения, настройка рекламы, маркетинговое сопровождение малого бизнеса.</w:t>
            </w:r>
          </w:p>
        </w:tc>
      </w:tr>
      <w:tr>
        <w:trPr>
          <w:cantSplit/>
        </w:trP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Клиентские границы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Кто является потенциальным покупателем.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Малый и средний бизнес, интернет-магазины, локальные сервисные компании.</w:t>
            </w:r>
          </w:p>
        </w:tc>
      </w:tr>
      <w:tr>
        <w:trPr>
          <w:cantSplit/>
        </w:trP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Географические границы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Какая территория считается рынком.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Республика Беларусь, при необходимости отдельно Минск и областные центры.</w:t>
            </w:r>
          </w:p>
        </w:tc>
      </w:tr>
      <w:tr>
        <w:trPr>
          <w:cantSplit/>
        </w:trP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Канальные границы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какие цифровые каналы клиент ищет и покупает решение.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Поиск, сайты агентств, социальные сети, профессиональные каталоги, рекламные платформы.</w:t>
            </w:r>
          </w:p>
        </w:tc>
      </w:tr>
      <w:tr>
        <w:trPr>
          <w:cantSplit/>
        </w:trP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Семантические границы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Какие формулировки запросов описывают потребность клиента.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Маркетинговые услуги, продвижение бизнеса, реклама в интернете, маркетолог для бизнеса.</w:t>
            </w:r>
          </w:p>
        </w:tc>
      </w:tr>
      <w:tr>
        <w:trPr>
          <w:cantSplit/>
        </w:trPr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Границы заменителей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Какие альтернативы решают ту же задачу клиента.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Штатный маркетолог, самостоятельное продвижение, фрилансер, рекламный сервис, обучающий курс.</w:t>
            </w:r>
          </w:p>
        </w:tc>
      </w:tr>
    </w:tbl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5. Формирование конкурентной выборки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Конкурентная выборка — это список сайтов, по которым будет рассчитываться цифровой масштаб рынка. Она должна включать не только прямых конкурентов, но и заметных заменителей, если клиент реально может выбрать их вместо анализируемого бизнеса.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32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Группа сайтов</w:t>
            </w:r>
          </w:p>
        </w:tc>
        <w:tc>
          <w:tcPr>
            <w:tcW w:type="dxa" w:w="459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Критерий включения</w:t>
            </w:r>
          </w:p>
        </w:tc>
        <w:tc>
          <w:tcPr>
            <w:tcW w:type="dxa" w:w="306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Пример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конкуренты</w:t>
            </w:r>
          </w:p>
        </w:tc>
        <w:tc>
          <w:tcPr>
            <w:tcW w:type="dxa" w:w="4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Предлагают сопоставимую услугу или продукт в выбранной географии.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Маркетинговые агентства, сайты специалистов по рекламе.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Крупные цифровые игроки</w:t>
            </w:r>
          </w:p>
        </w:tc>
        <w:tc>
          <w:tcPr>
            <w:tcW w:type="dxa" w:w="4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Имеют сильную видимость и могут оттягивать спрос.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Крупные агентства, международные сервисы продвижения.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Платформы и каталоги</w:t>
            </w:r>
          </w:p>
        </w:tc>
        <w:tc>
          <w:tcPr>
            <w:tcW w:type="dxa" w:w="4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Собирают спрос и предложение в выбранном сегменте.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Каталоги услуг, площадки поиска исполнителей, деловые справочники.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Заменители</w:t>
            </w:r>
          </w:p>
        </w:tc>
        <w:tc>
          <w:tcPr>
            <w:tcW w:type="dxa" w:w="4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Решают ту же клиентскую задачу и конкурируют за бюджет клиента.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Конструкторы сайтов, рекламные кабинеты, обучающие платформы.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Информационные ресурсы</w:t>
            </w:r>
          </w:p>
        </w:tc>
        <w:tc>
          <w:tcPr>
            <w:tcW w:type="dxa" w:w="45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Включаются только если они конвертируют трафик в услуги, лиды или партнерские продажи.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Блоги агентств, образовательные ресурсы с платными консультациями.</w:t>
            </w:r>
          </w:p>
        </w:tc>
      </w:tr>
    </w:tbl>
    <w:p>
      <w:pPr>
        <w:spacing w:after="120" w:line="259" w:lineRule="auto"/>
      </w:pPr>
      <w:r>
        <w:rPr>
          <w:rFonts w:ascii="Arial" w:hAnsi="Arial" w:eastAsia="Arial"/>
          <w:sz w:val="21"/>
        </w:rPr>
        <w:t>Рекомендуемый минимум для предварительной оценки: 5-10 сайтов. Для более устойчивой оценки: 15-30 сайтов. Если рынок фрагментирован, желательно выделить 3 группы: лидеры, средние игроки и нишевые участники.</w:t>
      </w:r>
    </w:p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6. Карточка сбора данных по каждому сайту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Для каждого сайта заполняется одинаковая карточка. Это обеспечивает сопоставимость данных и позволяет позже построить сводную таблицу.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Поле карточки</w:t>
            </w:r>
          </w:p>
        </w:tc>
        <w:tc>
          <w:tcPr>
            <w:tcW w:type="dxa" w:w="419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фиксировать</w:t>
            </w:r>
          </w:p>
        </w:tc>
        <w:tc>
          <w:tcPr>
            <w:tcW w:type="dxa" w:w="351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Как использовать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Домен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Адрес сайта без лишних параметров.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Идентификатор конкурента в сводной таблице.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Тип игрока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Агентство, интернет-магазин, платформа, сервис, портал, каталог.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Разделение конкурентов по бизнес-модели.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Территория деятельности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Страна, город, международный рынок.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Проверка соответствия географическим границам.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Период анализа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Месяц, квартал или год, доступный в Similarweb.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Обеспечение сопоставимости временного горизонта.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Посещения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Общее число визитов за период.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База для расчета доли трафика.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Динамика посещений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Рост, снижение, стабильность по месяцам.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Признак расширения или сжатия цифрового сегмента.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Вовлеченность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Страницы за визит, длительность, показатель отказов, если доступны.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Оценка качества аудитории.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География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Доля трафика из выбранной страны или региона.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Расчет территориально релевантного рынка.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Каналы трафика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Поиск, прямые переходы, рефералы, социальные сети, медийная реклама, почта.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Оценка структуры цифрового спроса.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Поисковые запросы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Ключевые слова, приводящие трафик.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Связь с семантическим ядром и коммерческим намерением.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Похожие сайты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Сайты, которые предлагает Similarweb.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Расширение конкурентной выборки.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Комментарий исследователя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Почему сайт включен или исключен.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Контроль качества выборки.</w:t>
            </w:r>
          </w:p>
        </w:tc>
      </w:tr>
    </w:tbl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7. Сводная таблица для первичной оценки цифрового рынка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  <w:cantSplit/>
        </w:trPr>
        <w:tc>
          <w:tcPr>
            <w:tcW w:type="dxa" w:w="153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Домен</w:t>
            </w:r>
          </w:p>
        </w:tc>
        <w:tc>
          <w:tcPr>
            <w:tcW w:type="dxa" w:w="181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Тип игрока</w:t>
            </w:r>
          </w:p>
        </w:tc>
        <w:tc>
          <w:tcPr>
            <w:tcW w:type="dxa" w:w="170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Посещения в месяц</w:t>
            </w:r>
          </w:p>
        </w:tc>
        <w:tc>
          <w:tcPr>
            <w:tcW w:type="dxa" w:w="181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Доля выбранной географии</w:t>
            </w:r>
          </w:p>
        </w:tc>
        <w:tc>
          <w:tcPr>
            <w:tcW w:type="dxa" w:w="181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Релевантные посещения</w:t>
            </w:r>
          </w:p>
        </w:tc>
        <w:tc>
          <w:tcPr>
            <w:tcW w:type="dxa" w:w="124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Доля в выборке</w:t>
            </w:r>
          </w:p>
        </w:tc>
        <w:tc>
          <w:tcPr>
            <w:tcW w:type="dxa" w:w="175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15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site1.by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Агентство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[число]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[%]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= посещения × доля географии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= релевантные посещения / сумма</w:t>
            </w:r>
          </w:p>
        </w:tc>
        <w:tc>
          <w:tcPr>
            <w:tcW w:type="dxa" w:w="175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Прямой конкурент</w:t>
            </w:r>
          </w:p>
        </w:tc>
      </w:tr>
      <w:tr>
        <w:trPr>
          <w:cantSplit/>
        </w:trPr>
        <w:tc>
          <w:tcPr>
            <w:tcW w:type="dxa" w:w="15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site2.by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Фриланс / услуги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[число]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[%]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= посещения × доля географии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= релевантные посещения / сумма</w:t>
            </w:r>
          </w:p>
        </w:tc>
        <w:tc>
          <w:tcPr>
            <w:tcW w:type="dxa" w:w="175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Заменитель</w:t>
            </w:r>
          </w:p>
        </w:tc>
      </w:tr>
      <w:tr>
        <w:trPr>
          <w:cantSplit/>
        </w:trPr>
        <w:tc>
          <w:tcPr>
            <w:tcW w:type="dxa" w:w="15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site3.by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Платформа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[число]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[%]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= посещения × доля географии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= релевантные посещения / сумма</w:t>
            </w:r>
          </w:p>
        </w:tc>
        <w:tc>
          <w:tcPr>
            <w:tcW w:type="dxa" w:w="175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Площадка спроса</w:t>
            </w:r>
          </w:p>
        </w:tc>
      </w:tr>
      <w:tr>
        <w:trPr>
          <w:cantSplit/>
        </w:trPr>
        <w:tc>
          <w:tcPr>
            <w:tcW w:type="dxa" w:w="15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Итого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= сумма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= сумма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100%</w:t>
            </w:r>
          </w:p>
        </w:tc>
        <w:tc>
          <w:tcPr>
            <w:tcW w:type="dxa" w:w="175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Цифровая база расчетов</w:t>
            </w:r>
          </w:p>
        </w:tc>
      </w:tr>
    </w:tbl>
    <w:p>
      <w:pPr>
        <w:spacing w:after="120" w:line="259" w:lineRule="auto"/>
      </w:pPr>
      <w:r>
        <w:rPr>
          <w:rFonts w:ascii="Arial" w:hAnsi="Arial" w:eastAsia="Arial"/>
          <w:sz w:val="21"/>
        </w:rPr>
        <w:t>Если в Similarweb доступна только ограниченная карточка сайта, показатели можно фиксировать вручную в таблицу, указывая дату обращения и скриншот как подтверждение. Если доступен Data Exporter или API, данные выгружаются массово, но логика расчета остается такой же.</w:t>
      </w:r>
    </w:p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8. Расчет цифрового объема рынка через трафик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Первый расчет отвечает на вопрос: какой объем цифрового внимания сосредоточен вокруг выбранного рынка. Это еще не денежный объем, но важный промежуточный показатель.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shd w:fill="EAF2F8"/>
          </w:tcPr>
          <w:p>
            <w:r/>
            <w:r>
              <w:rPr>
                <w:rFonts w:ascii="Arial" w:hAnsi="Arial" w:eastAsia="Arial"/>
                <w:b/>
                <w:sz w:val="20"/>
              </w:rPr>
              <w:t>Расчет 1. Цифровой объем аудитории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V_sample = сумма посещений сайтов из конкурентной выборки.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V_geo = V_sample × средняя или индивидуальная доля трафика из выбранной географии.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V_total = V_geo / коэффициент охвата выборки.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где коэффициент охвата выборки показывает, какую часть рынка, по оценке исследователя, покрывают выбранные сайты.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38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Коэффициент охвата выборки</w:t>
            </w:r>
          </w:p>
        </w:tc>
        <w:tc>
          <w:tcPr>
            <w:tcW w:type="dxa" w:w="408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Когда применять</w:t>
            </w:r>
          </w:p>
        </w:tc>
        <w:tc>
          <w:tcPr>
            <w:tcW w:type="dxa" w:w="351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Как интерпретировать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0,80-0,90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Выборка включает почти всех заметных конкурентов.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Оценка достаточно плотная, корректировка небольшая.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0,60-0,75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Учтены основные игроки, но часть нишевых участников неизвестна.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Типовая ситуация для предварительного анализа.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0,40-0,55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Рынок фрагментирован, много малых исполнителей и социальных каналов.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Оценка требует осторожности и широкого диапазона.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ниже 0,40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Выборка слабая или рынок плохо представлен сайтами.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Расчет использовать только как разведочный ориентир.</w:t>
            </w:r>
          </w:p>
        </w:tc>
      </w:tr>
    </w:tbl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9. Расчет денежного объема рынка для сервисного электронного бизнеса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Для сервисного бизнеса, например маркетингового сопровождения, разработки сайтов, консалтинга или образовательных услуг, трафик необходимо перевести в заявки и оплаченные сделки.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shd w:fill="EAF2F8"/>
          </w:tcPr>
          <w:p>
            <w:r/>
            <w:r>
              <w:rPr>
                <w:rFonts w:ascii="Arial" w:hAnsi="Arial" w:eastAsia="Arial"/>
                <w:b/>
                <w:sz w:val="20"/>
              </w:rPr>
              <w:t>Расчет 2. Сервисная модель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Лиды = релевантные посещения × конверсия из посещения в заявку.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Продажи = лиды × конверсия из заявки в оплату.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Месячный объем рынка = продажи × средний чек.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Годовой объем рынка = сумма месячных объемов или месячный объем × 12.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Если услуга повторная: годовой объем = клиенты × средний месячный платеж × средняя длительность обслуживания.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83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38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Осторожный сценарий</w:t>
            </w:r>
          </w:p>
        </w:tc>
        <w:tc>
          <w:tcPr>
            <w:tcW w:type="dxa" w:w="238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Базовый сценарий</w:t>
            </w:r>
          </w:p>
        </w:tc>
        <w:tc>
          <w:tcPr>
            <w:tcW w:type="dxa" w:w="238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Оптимистичный сценарий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Конверсия посещения в заявку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0,2-0,5 %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0,5-1,5 %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1,5-3,0 %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Конверсия заявки в оплату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5-10 %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10-25 %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25-40 %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Средний чек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Минимальный пакет / разовая услуга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Типовой пакет сопровождения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Расширенное сопровождение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Коэффициент охвата выборки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0,40-0,55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0,60-0,75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0,80-0,90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Итоговая оценка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Нижняя граница рынка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Рабочая оценка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Верхняя граница рынка</w:t>
            </w:r>
          </w:p>
        </w:tc>
      </w:tr>
    </w:tbl>
    <w:p>
      <w:pPr>
        <w:spacing w:after="120" w:line="259" w:lineRule="auto"/>
      </w:pPr>
      <w:r>
        <w:rPr>
          <w:rFonts w:ascii="Arial" w:hAnsi="Arial" w:eastAsia="Arial"/>
          <w:sz w:val="21"/>
        </w:rPr>
        <w:t>Диапазоны конверсий являются методическими ориентирами. В конкретном исследовании они должны уточняться через собственную аналитику сайта, рекламные кабинеты, опросы, данные продаж или экспертную оценку.</w:t>
      </w:r>
    </w:p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10. Расчет денежного объема рынка для интернет-магазина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shd w:fill="EAF2F8"/>
          </w:tcPr>
          <w:p>
            <w:r/>
            <w:r>
              <w:rPr>
                <w:rFonts w:ascii="Arial" w:hAnsi="Arial" w:eastAsia="Arial"/>
                <w:b/>
                <w:sz w:val="20"/>
              </w:rPr>
              <w:t>Расчет 3. Модель электронной торговли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Покупки = релевантные посещения × конверсия в покупку.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Объем продаж = покупки × средний чек.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Годовой объем = сумма месячных оценок с учетом сезонности.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Если известна частота повторных покупок: объем = покупатели × средний чек × число покупок в год.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32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68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3969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означает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Релевантные посещения конкурентов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Similarweb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Цифровая база спроса в выбранном сегменте.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Средний чек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Сайты конкурентов, маркетплейсы, собственные гипотезы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Средняя стоимость заказа или корзины.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Конверсия в покупку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Собственная аналитика, отраслевые ориентиры, рекламные тесты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Доля посещений, превращающихся в заказ.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Сезонный коэффициент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Similarweb, Google Trends, Яндекс Вордстат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Усиление или ослабление спроса по месяцам.</w:t>
            </w:r>
          </w:p>
        </w:tc>
      </w:tr>
    </w:tbl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11. Расчет рынка для платформы или маркетплейса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Если электронный бизнес представляет собой платформу, необходимо различать общий объем сделок и собственную выручку платформы. Для платформенного бизнеса основной расчет может строиться через GMV, то есть общий объем сделок, и через комиссию, подписку или рекламные доходы платформы.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shd w:fill="EAF2F8"/>
          </w:tcPr>
          <w:p>
            <w:r/>
            <w:r>
              <w:rPr>
                <w:rFonts w:ascii="Arial" w:hAnsi="Arial" w:eastAsia="Arial"/>
                <w:b/>
                <w:sz w:val="20"/>
              </w:rPr>
              <w:t>Расчет 4. Платформенная модель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GMV = количество сделок × средняя сумма сделки.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Выручка платформы = GMV × комиссия платформы.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Альтернативно: выручка = количество платных продавцов × подписка + рекламные доходы + комиссия за сделки.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Трафик Similarweb используется для оценки масштаба аудитории и доли платформы среди конкурентов.</w:t>
            </w:r>
          </w:p>
        </w:tc>
      </w:tr>
    </w:tbl>
    <w:p>
      <w:pPr>
        <w:spacing w:after="120" w:line="259" w:lineRule="auto"/>
      </w:pPr>
      <w:r>
        <w:rPr>
          <w:rFonts w:ascii="Arial" w:hAnsi="Arial" w:eastAsia="Arial"/>
          <w:sz w:val="21"/>
        </w:rPr>
        <w:t>Для платформы Similarweb особенно полезен при оценке структуры сторон рынка: сколько трафика привлекает площадка, откуда приходит аудитория, насколько сильна зависимость от поиска, рекламы, социальных сетей и прямых переходов.</w:t>
      </w:r>
    </w:p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12. Расчет рыночных долей и концентрации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На основе посещаемости можно рассчитать цифровые доли конкурентов. Это не юридически точная доля рынка, но важный показатель распределения внимания аудитории между сайтами.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shd w:fill="EAF2F8"/>
          </w:tcPr>
          <w:p>
            <w:r/>
            <w:r>
              <w:rPr>
                <w:rFonts w:ascii="Arial" w:hAnsi="Arial" w:eastAsia="Arial"/>
                <w:b/>
                <w:sz w:val="20"/>
              </w:rPr>
              <w:t>Расчет 5. Доля трафика и концентрация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Доля трафика сайта = релевантные посещения сайта / сумма релевантных посещений всех сайтов выборки.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HHI по трафику = сумма квадратов долей конкурентов × 10 000.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Чем выше HHI, тем сильнее концентрация цифрового внимания у нескольких игроков.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83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Значение HHI по трафику</w:t>
            </w:r>
          </w:p>
        </w:tc>
        <w:tc>
          <w:tcPr>
            <w:tcW w:type="dxa" w:w="7143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Интерпретация для цифрового рынка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До 1 500</w:t>
            </w:r>
          </w:p>
        </w:tc>
        <w:tc>
          <w:tcPr>
            <w:tcW w:type="dxa" w:w="714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Низкая концентрация: трафик распределен между многими игроками.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1 500-2 500</w:t>
            </w:r>
          </w:p>
        </w:tc>
        <w:tc>
          <w:tcPr>
            <w:tcW w:type="dxa" w:w="714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Умеренная концентрация: есть заметные лидеры, но рынок не закрыт.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Выше 2 500</w:t>
            </w:r>
          </w:p>
        </w:tc>
        <w:tc>
          <w:tcPr>
            <w:tcW w:type="dxa" w:w="714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Высокая концентрация: несколько игроков удерживают значительную часть цифрового внимания.</w:t>
            </w:r>
          </w:p>
        </w:tc>
      </w:tr>
    </w:tbl>
    <w:p>
      <w:pPr>
        <w:spacing w:after="120" w:line="259" w:lineRule="auto"/>
      </w:pPr>
      <w:r>
        <w:rPr>
          <w:rFonts w:ascii="Arial" w:hAnsi="Arial" w:eastAsia="Arial"/>
          <w:sz w:val="21"/>
        </w:rPr>
        <w:t>Такой расчет следует называть именно оценкой концентрации трафика, а не окончательной оценкой рыночной власти. Для полноценного вывода нужны данные о выручке, клиентах, ценах, барьерах входа и заменителях.</w:t>
      </w:r>
    </w:p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13. Анализ каналов трафика как оценка структуры спроса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70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Канал Similarweb</w:t>
            </w:r>
          </w:p>
        </w:tc>
        <w:tc>
          <w:tcPr>
            <w:tcW w:type="dxa" w:w="408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может означать</w:t>
            </w:r>
          </w:p>
        </w:tc>
        <w:tc>
          <w:tcPr>
            <w:tcW w:type="dxa" w:w="419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Коммерческий вывод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Direct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Пользователи знают сайт или бренд и заходят напрямую.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Сильная узнаваемость конкурентов; новому игроку сложнее быстро догнать лидеров.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Search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Переходы из поисковых систем.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Высокая роль поискового спроса; нужны семантическое ядро, оптимизация сайта и работа с рекламой.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Referrals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Переходы с других сайтов.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Важны партнерства, каталоги, отраслевые порталы и публикации.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Social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Переходы из социальных сетей.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Спрос формируется через контент, сообщества и визуальные коммуникации.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Display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Медийная и баннерная реклама.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Конкуренты активно покупают охват; вход на рынок может требовать рекламного бюджета.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Email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Переходы из почтовых коммуникаций.</w:t>
            </w:r>
          </w:p>
        </w:tc>
        <w:tc>
          <w:tcPr>
            <w:tcW w:type="dxa" w:w="419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Есть повторные контакты с клиентами, рассылки, база подписчиков и удержание.</w:t>
            </w:r>
          </w:p>
        </w:tc>
      </w:tr>
    </w:tbl>
    <w:p>
      <w:pPr>
        <w:spacing w:after="120" w:line="259" w:lineRule="auto"/>
      </w:pPr>
      <w:r>
        <w:rPr>
          <w:rFonts w:ascii="Arial" w:hAnsi="Arial" w:eastAsia="Arial"/>
          <w:sz w:val="21"/>
        </w:rPr>
        <w:t>Структура каналов помогает не только оценивать рынок, но и проектировать стратегию входа. Если большая часть трафика конкурентов идет из поиска, необходимо изучать поисковый спрос. Если значима доля социальных сетей, следует анализировать контент и сообщества. Если высока доля прямых переходов, рынок может быть зависим от доверия и узнаваемости.</w:t>
      </w:r>
    </w:p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14. Географическая оценка рынка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Географические данные Similarweb используются для проверки того, соответствует ли выбранная территория фактическому цифровому спросу. Для электронного бизнеса это особенно важно: сайт может быть международным, но реальная аудитория и платежеспособность могут концентрироваться в нескольких странах.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shd w:fill="EAF2F8"/>
          </w:tcPr>
          <w:p>
            <w:r/>
            <w:r>
              <w:rPr>
                <w:rFonts w:ascii="Arial" w:hAnsi="Arial" w:eastAsia="Arial"/>
                <w:b/>
                <w:sz w:val="20"/>
              </w:rPr>
              <w:t>Расчет 6. Географически релевантный рынок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Трафик выбранной территории = общий трафик сайта × доля трафика из выбранной страны.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Трафик территории по рынку = сумма территориального трафика всех сайтов выборки.</w:t>
            </w:r>
          </w:p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Если доля территории низкая, сайт не должен сильно влиять на оценку локального рынка.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4649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5329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Вывод для границ рынка</w:t>
            </w:r>
          </w:p>
        </w:tc>
      </w:tr>
      <w:tr>
        <w:trPr>
          <w:cantSplit/>
        </w:trPr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У большинства конкурентов высокая доля трафика из выбранной страны.</w:t>
            </w:r>
          </w:p>
        </w:tc>
        <w:tc>
          <w:tcPr>
            <w:tcW w:type="dxa" w:w="532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Географическая граница подтверждается цифровыми данными.</w:t>
            </w:r>
          </w:p>
        </w:tc>
      </w:tr>
      <w:tr>
        <w:trPr>
          <w:cantSplit/>
        </w:trPr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Трафик распределен международно, доля выбранной страны низкая.</w:t>
            </w:r>
          </w:p>
        </w:tc>
        <w:tc>
          <w:tcPr>
            <w:tcW w:type="dxa" w:w="532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Нужно либо расширить рынок, либо искать локальных конкурентов.</w:t>
            </w:r>
          </w:p>
        </w:tc>
      </w:tr>
      <w:tr>
        <w:trPr>
          <w:cantSplit/>
        </w:trPr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Один крупный международный сайт доминирует по трафику, но локальная доля мала.</w:t>
            </w:r>
          </w:p>
        </w:tc>
        <w:tc>
          <w:tcPr>
            <w:tcW w:type="dxa" w:w="532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Его нужно учитывать как заменитель, но не завышать локальный рынок.</w:t>
            </w:r>
          </w:p>
        </w:tc>
      </w:tr>
      <w:tr>
        <w:trPr>
          <w:cantSplit/>
        </w:trPr>
        <w:tc>
          <w:tcPr>
            <w:tcW w:type="dxa" w:w="464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Локальные сайты имеют малый общий трафик, но высокую территориальную релевантность.</w:t>
            </w:r>
          </w:p>
        </w:tc>
        <w:tc>
          <w:tcPr>
            <w:tcW w:type="dxa" w:w="532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Они важны для оценки доступного рынка в конкретной стране или городе.</w:t>
            </w:r>
          </w:p>
        </w:tc>
      </w:tr>
    </w:tbl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15. Работа с поисковыми запросами и семантическим ядром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Поисковые данные Similarweb позволяют понять, какие запросы реально приводят аудиторию на сайты конкурентов. Эти запросы нужно сопоставлять с заранее составленным семантическим ядром, Google Trends и Яндекс Вордстат.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Тип запроса</w:t>
            </w:r>
          </w:p>
        </w:tc>
        <w:tc>
          <w:tcPr>
            <w:tcW w:type="dxa" w:w="357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Пример для маркетингового бизнеса</w:t>
            </w:r>
          </w:p>
        </w:tc>
        <w:tc>
          <w:tcPr>
            <w:tcW w:type="dxa" w:w="4139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Как использовать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Общий тематический</w:t>
            </w:r>
          </w:p>
        </w:tc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маркетинг, интернет-маркетинг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Показывает общий интерес, но не всегда готовность купить.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Проблемный</w:t>
            </w:r>
          </w:p>
        </w:tc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как привлечь клиентов, как увеличить продажи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Показывает боль аудитории и основание для коммерческого предложения.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Коммерческий</w:t>
            </w:r>
          </w:p>
        </w:tc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маркетинговые услуги, заказать рекламу, маркетолог цена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Наиболее важен для оценки платежеспособного спроса.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Локальный</w:t>
            </w:r>
          </w:p>
        </w:tc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маркетолог Минск, продвижение бизнеса Беларусь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Помогает уточнить географические границы.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Брендовый</w:t>
            </w:r>
          </w:p>
        </w:tc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название агентства или платформы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Показывает силу конкретного конкурента, но не весь рыночный спрос.</w:t>
            </w:r>
          </w:p>
        </w:tc>
      </w:tr>
    </w:tbl>
    <w:p>
      <w:pPr>
        <w:spacing w:after="120" w:line="259" w:lineRule="auto"/>
      </w:pPr>
      <w:r>
        <w:rPr>
          <w:rFonts w:ascii="Arial" w:hAnsi="Arial" w:eastAsia="Arial"/>
          <w:sz w:val="21"/>
        </w:rPr>
        <w:t>Если трафик конкурентов в основном идет по брендовым запросам, это означает, что рынок уже частично связан с известностью конкретных игроков. Если значимы небрендовые коммерческие запросы, у нового участника больше возможностей войти через поиск и рекламу.</w:t>
      </w:r>
    </w:p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16. Сценарный расчет объема рынка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Оценка рынка по Similarweb должна завершаться диапазоном, а не одним числом. Диапазон показывает, как меняется итоговая оценка при разных предположениях о конверсии, среднем чеке и охвате выборки.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94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2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Осторожный сценарий</w:t>
            </w:r>
          </w:p>
        </w:tc>
        <w:tc>
          <w:tcPr>
            <w:tcW w:type="dxa" w:w="232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Базовый сценарий</w:t>
            </w:r>
          </w:p>
        </w:tc>
        <w:tc>
          <w:tcPr>
            <w:tcW w:type="dxa" w:w="238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Оптимистичный сценарий</w:t>
            </w:r>
          </w:p>
        </w:tc>
      </w:tr>
      <w:tr>
        <w:trPr>
          <w:cantSplit/>
        </w:trP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Суммарные посещения выборки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[ввести]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[ввести]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[ввести]</w:t>
            </w:r>
          </w:p>
        </w:tc>
      </w:tr>
      <w:tr>
        <w:trPr>
          <w:cantSplit/>
        </w:trP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Коэффициент географической релевантности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[низкая доля]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[средняя доля]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[высокая доля]</w:t>
            </w:r>
          </w:p>
        </w:tc>
      </w:tr>
      <w:tr>
        <w:trPr>
          <w:cantSplit/>
        </w:trP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Коэффициент охвата выборки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0,45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0,65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0,85</w:t>
            </w:r>
          </w:p>
        </w:tc>
      </w:tr>
      <w:tr>
        <w:trPr>
          <w:cantSplit/>
        </w:trP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Коммерчески релевантная доля трафика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20 %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35 %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50 %</w:t>
            </w:r>
          </w:p>
        </w:tc>
      </w:tr>
      <w:tr>
        <w:trPr>
          <w:cantSplit/>
        </w:trP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Конверсия в заявку / заказ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[низкая]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[средняя]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[высокая]</w:t>
            </w:r>
          </w:p>
        </w:tc>
      </w:tr>
      <w:tr>
        <w:trPr>
          <w:cantSplit/>
        </w:trP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Средний чек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[минимальный]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[типовой]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[расширенный]</w:t>
            </w:r>
          </w:p>
        </w:tc>
      </w:tr>
      <w:tr>
        <w:trPr>
          <w:cantSplit/>
        </w:trP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Месячный объем рынка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[расчет]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[расчет]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[расчет]</w:t>
            </w:r>
          </w:p>
        </w:tc>
      </w:tr>
      <w:tr>
        <w:trPr>
          <w:cantSplit/>
        </w:trP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Годовой объем рынка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[расчет]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[расчет]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[расчет]</w:t>
            </w:r>
          </w:p>
        </w:tc>
      </w:tr>
    </w:tbl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17. Пример расчетной логики для бизнеса на основе компетенции «маркетинг»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Ниже приведен демонстрационный пример. Числа условные и используются только для показа логики расчета. В реальном исследовании они заменяются данными Similarweb и проверяются по Google Trends, Яндекс Вордстат, сайтам конкурентов и рекламным кабинетам.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351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55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Условное значение</w:t>
            </w:r>
          </w:p>
        </w:tc>
        <w:tc>
          <w:tcPr>
            <w:tcW w:type="dxa" w:w="391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Расчет / комментарий</w:t>
            </w:r>
          </w:p>
        </w:tc>
      </w:tr>
      <w:tr>
        <w:trPr>
          <w:cantSplit/>
        </w:trP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Суммарные посещения 10 сайтов конкурентов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120 000 визитов в месяц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Сумма посещений по выборке Similarweb.</w:t>
            </w:r>
          </w:p>
        </w:tc>
      </w:tr>
      <w:tr>
        <w:trPr>
          <w:cantSplit/>
        </w:trP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Средняя доля трафика из Беларуси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55 %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 географии сайтов.</w:t>
            </w:r>
          </w:p>
        </w:tc>
      </w:tr>
      <w:tr>
        <w:trPr>
          <w:cantSplit/>
        </w:trP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Релевантный локальный трафик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66 000 визитов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120 000 × 55 %.</w:t>
            </w:r>
          </w:p>
        </w:tc>
      </w:tr>
      <w:tr>
        <w:trPr>
          <w:cantSplit/>
        </w:trP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Охват выборки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65 %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Предполагается, что 10 сайтов покрывают около 65 % заметного цифрового сегмента.</w:t>
            </w:r>
          </w:p>
        </w:tc>
      </w:tr>
      <w:tr>
        <w:trPr>
          <w:cantSplit/>
        </w:trP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Оценка полного локального трафика рынка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101 538 визитов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66 000 / 0,65.</w:t>
            </w:r>
          </w:p>
        </w:tc>
      </w:tr>
      <w:tr>
        <w:trPr>
          <w:cantSplit/>
        </w:trP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Коммерчески релевантная доля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35 %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трафика, связанная с коммерческим намерением.</w:t>
            </w:r>
          </w:p>
        </w:tc>
      </w:tr>
      <w:tr>
        <w:trPr>
          <w:cantSplit/>
        </w:trP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Коммерчески релевантные визиты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35 538 визитов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101 538 × 35 %.</w:t>
            </w:r>
          </w:p>
        </w:tc>
      </w:tr>
      <w:tr>
        <w:trPr>
          <w:cantSplit/>
        </w:trP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Конверсия визита в заявку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1 %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Базовое допущение.</w:t>
            </w:r>
          </w:p>
        </w:tc>
      </w:tr>
      <w:tr>
        <w:trPr>
          <w:cantSplit/>
        </w:trP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Заявки по рынку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355 заявок в месяц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35 538 × 1 %.</w:t>
            </w:r>
          </w:p>
        </w:tc>
      </w:tr>
      <w:tr>
        <w:trPr>
          <w:cantSplit/>
        </w:trP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Конверсия заявки в оплату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20 %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Базовое допущение.</w:t>
            </w:r>
          </w:p>
        </w:tc>
      </w:tr>
      <w:tr>
        <w:trPr>
          <w:cantSplit/>
        </w:trP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Оплаченные сделки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71 сделка в месяц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355 × 20 %.</w:t>
            </w:r>
          </w:p>
        </w:tc>
      </w:tr>
      <w:tr>
        <w:trPr>
          <w:cantSplit/>
        </w:trP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Средний чек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800 бел. руб.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Средняя стоимость услуги или пакета сопровождения.</w:t>
            </w:r>
          </w:p>
        </w:tc>
      </w:tr>
      <w:tr>
        <w:trPr>
          <w:cantSplit/>
        </w:trP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Месячный объем рынка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56 800 бел. руб.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71 × 800.</w:t>
            </w:r>
          </w:p>
        </w:tc>
      </w:tr>
      <w:tr>
        <w:trPr>
          <w:cantSplit/>
        </w:trPr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Годовой объем рынка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681 600 бел. руб.</w:t>
            </w:r>
          </w:p>
        </w:tc>
        <w:tc>
          <w:tcPr>
            <w:tcW w:type="dxa" w:w="391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56 800 × 12.</w:t>
            </w:r>
          </w:p>
        </w:tc>
      </w:tr>
    </w:tbl>
    <w:p>
      <w:pPr>
        <w:spacing w:after="120" w:line="259" w:lineRule="auto"/>
      </w:pPr>
      <w:r>
        <w:rPr>
          <w:rFonts w:ascii="Arial" w:hAnsi="Arial" w:eastAsia="Arial"/>
          <w:sz w:val="21"/>
        </w:rPr>
        <w:t>Такой расчет нельзя считать точным измерением рынка. Его назначение — получить аргументированный диапазон и показать, какие параметры сильнее всего влияют на оценку: число релевантных конкурентов, география, конверсия, средний чек и коммерческая доля трафика.</w:t>
      </w:r>
    </w:p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18. Контроль качества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72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57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Почему важна</w:t>
            </w:r>
          </w:p>
        </w:tc>
        <w:tc>
          <w:tcPr>
            <w:tcW w:type="dxa" w:w="368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Как выполнить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Период одинаковый для всех сайтов</w:t>
            </w:r>
          </w:p>
        </w:tc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Сравнение разных месяцев может искажать доли.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Фиксировать один месяц, квартал или год.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Сайты действительно относятся к рынку</w:t>
            </w:r>
          </w:p>
        </w:tc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Нерелевантные порталы завышают объем.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Проверить услуги, географию, целевую аудиторию и бизнес-модель.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Учтены заменители</w:t>
            </w:r>
          </w:p>
        </w:tc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Клиент может покупать решение не у прямого конкурента.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Добавить фрилансеров, платформы, сервисы и внутренние альтернативы.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География не смешана</w:t>
            </w:r>
          </w:p>
        </w:tc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Международный трафик может завысить локальный рынок.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Использовать долю выбранной страны или отдельную локальную выборку.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Брендовый трафик отделен от небрендового</w:t>
            </w:r>
          </w:p>
        </w:tc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Сильные бренды не равны общему спросу.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Смотреть структуру поисковых запросов.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Показатели перепроверены другими источниками</w:t>
            </w:r>
          </w:p>
        </w:tc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Similarweb дает оценочные данные.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Сравнить с Google Trends, Яндекс Вордстат, рекламными кабинетами и сайтами конкурентов.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Все допущения записаны</w:t>
            </w:r>
          </w:p>
        </w:tc>
        <w:tc>
          <w:tcPr>
            <w:tcW w:type="dxa" w:w="357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Без допущений расчет невозможно проверить.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Вести журнал коэффициентов и источников.</w:t>
            </w:r>
          </w:p>
        </w:tc>
      </w:tr>
    </w:tbl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19. Работа при бесплатном доступе Similarweb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При бесплатном доступе Similarweb можно использовать как инструмент предварительной цифровой разведки рынка. В этом случае методика выполняется вручную: исследователь открывает карточки сайтов, фиксирует доступные показатели, делает снимки экрана, записывает дату обращения и переносит показатели в рабочую таблицу.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83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делать бесплатно</w:t>
            </w:r>
          </w:p>
        </w:tc>
        <w:tc>
          <w:tcPr>
            <w:tcW w:type="dxa" w:w="3969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Как фиксировать</w:t>
            </w:r>
          </w:p>
        </w:tc>
        <w:tc>
          <w:tcPr>
            <w:tcW w:type="dxa" w:w="317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Проверить сайт конкурента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Записать посещаемость, каналы, географию и вовлеченность, если доступны.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могут быть ограничены по глубине и периоду.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Сравнить несколько конкурентов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Вручную внести показатели в таблицу.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Массовая выгрузка обычно недоступна.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Найти похожие сайты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Добавить их в конкурентную выборку после ручной проверки.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Автоматический список может включать нерелевантные ресурсы.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Оценить каналы трафика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Записать доли каналов в процентах.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Не все детализации могут быть открыты.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Подготовить сценарный расчет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Использовать вручную собранные данные и осторожные коэффициенты.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Итог должен быть обозначен как предварительный диапазон.</w:t>
            </w:r>
          </w:p>
        </w:tc>
      </w:tr>
    </w:tbl>
    <w:p>
      <w:pPr>
        <w:spacing w:after="120" w:line="259" w:lineRule="auto"/>
      </w:pPr>
      <w:r>
        <w:rPr>
          <w:rFonts w:ascii="Arial" w:hAnsi="Arial" w:eastAsia="Arial"/>
          <w:sz w:val="21"/>
        </w:rPr>
        <w:t>При наличии платного доступа или выделенных единиц извлечения данных можно использовать Data Exporter, API или Batch API. Similarweb описывает Data Exporter как способ выгрузки настраиваемых наборов данных и отчетов, а Batch API — как инструмент для больших массивов данных, исторического анализа и регулярных обновлений. Данные credits используются для извлечения данных через Data Exporter и API.</w:t>
      </w:r>
    </w:p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20. Итоговый шаблон вывода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По результатам анализа Similarweb рынок формулируется не одним числом, а связанной аргументацией. Ниже приведен шаблон итогового вывода.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38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Элемент вывода</w:t>
            </w:r>
          </w:p>
        </w:tc>
        <w:tc>
          <w:tcPr>
            <w:tcW w:type="dxa" w:w="759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Шаблон формулировки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Границы рынка</w:t>
            </w:r>
          </w:p>
        </w:tc>
        <w:tc>
          <w:tcPr>
            <w:tcW w:type="dxa" w:w="75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В рамках анализа рынок определен как [описание продукта/услуги] для [целевой клиентский сегмент] в [география].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Конкурентная база</w:t>
            </w:r>
          </w:p>
        </w:tc>
        <w:tc>
          <w:tcPr>
            <w:tcW w:type="dxa" w:w="75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В конкурентную выборку включены [число] сайтов, представляющих прямых конкурентов, платформы, каталоги и заменители.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Цифровой масштаб</w:t>
            </w:r>
          </w:p>
        </w:tc>
        <w:tc>
          <w:tcPr>
            <w:tcW w:type="dxa" w:w="75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Суммарный трафик выборки составляет [значение] посещений за [период], из которых [доля] относится к выбранной географии.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Структура спроса</w:t>
            </w:r>
          </w:p>
        </w:tc>
        <w:tc>
          <w:tcPr>
            <w:tcW w:type="dxa" w:w="75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Основные каналы трафика представлены [каналы], что свидетельствует о значимости [поиска/социальных сетей/рефералов/прямых переходов] для формирования спроса.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Расчетный объем</w:t>
            </w:r>
          </w:p>
        </w:tc>
        <w:tc>
          <w:tcPr>
            <w:tcW w:type="dxa" w:w="75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 учетом коэффициента охвата выборки, коммерчески релевантной доли трафика, конверсии и среднего чека расчетный объем рынка оценивается в диапазоне от [нижняя граница] до [верхняя граница] в год.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Ограничения</w:t>
            </w:r>
          </w:p>
        </w:tc>
        <w:tc>
          <w:tcPr>
            <w:tcW w:type="dxa" w:w="75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Полученная оценка является предварительной, поскольку данные Similarweb имеют модельный характер и не раскрывают фактическую выручку конкурентов. Вывод требует проверки через данные продаж, рекламные кабинеты, поисковую статистику и анализ цен конкурентов.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Следующий шаг</w:t>
            </w:r>
          </w:p>
        </w:tc>
        <w:tc>
          <w:tcPr>
            <w:tcW w:type="dxa" w:w="75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После оценки цифрового объема рынка необходимо провести анализ конкурентов, ценовых предложений, целевой аудитории, каналов привлечения и экономической модели нового бизнеса.</w:t>
            </w:r>
          </w:p>
        </w:tc>
      </w:tr>
    </w:tbl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21. Рабочий журнал источников и допущений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  <w:cantSplit/>
        </w:trPr>
        <w:tc>
          <w:tcPr>
            <w:tcW w:type="dxa" w:w="130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232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204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Данные</w:t>
            </w:r>
          </w:p>
        </w:tc>
        <w:tc>
          <w:tcPr>
            <w:tcW w:type="dxa" w:w="136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198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взято в расчет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[дата]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Similarweb, карточка сайта [домен]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Посещения, каналы, география</w:t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[месяц/квартал]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[показатели]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Оценочные данные, ограничение бесплатного доступа.</w:t>
            </w:r>
          </w:p>
        </w:tc>
      </w:tr>
      <w:tr>
        <w:trPr>
          <w:cantSplit/>
        </w:trP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[дата]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Similarweb, список похожих сайтов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Конкуренты и заменители</w:t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[период]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[добавленные сайты]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Нужна ручная проверка релевантности.</w:t>
            </w:r>
          </w:p>
        </w:tc>
      </w:tr>
      <w:tr>
        <w:trPr>
          <w:cantSplit/>
        </w:trP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[дата]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Google Trends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Динамика интереса</w:t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[период]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[запросы]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Индекс относительный, не абсолютный объем.</w:t>
            </w:r>
          </w:p>
        </w:tc>
      </w:tr>
      <w:tr>
        <w:trPr>
          <w:cantSplit/>
        </w:trP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[дата]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Яндекс Вордстат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Частотность запросов</w:t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[период/регион]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[запросы]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Отражает аудиторию Яндекса.</w:t>
            </w:r>
          </w:p>
        </w:tc>
      </w:tr>
      <w:tr>
        <w:trPr>
          <w:cantSplit/>
        </w:trP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[дата]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Сайты конкурентов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Цены, пакеты, услуги</w:t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[актуальная дата]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[средний чек]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Цены могут быть неполными или индивидуальными.</w:t>
            </w:r>
          </w:p>
        </w:tc>
      </w:tr>
    </w:tbl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22. Список используемых источников</w:t>
      </w:r>
    </w:p>
    <w:p>
      <w:pPr>
        <w:spacing w:after="80"/>
        <w:ind w:left="227" w:hanging="227"/>
      </w:pPr>
      <w:r>
        <w:rPr>
          <w:rFonts w:ascii="Arial" w:hAnsi="Arial" w:eastAsia="Arial"/>
          <w:sz w:val="19"/>
        </w:rPr>
        <w:t>Similarweb. Website Traffic Checker: Free Analytics For Any Website. URL: https://www.similarweb.com/website/ (дата обращения: 02.05.2026).</w:t>
      </w:r>
    </w:p>
    <w:p>
      <w:pPr>
        <w:spacing w:after="80"/>
        <w:ind w:left="227" w:hanging="227"/>
      </w:pPr>
      <w:r>
        <w:rPr>
          <w:rFonts w:ascii="Arial" w:hAnsi="Arial" w:eastAsia="Arial"/>
          <w:sz w:val="19"/>
        </w:rPr>
        <w:t>Similarweb Knowledge Center. Data Exporter. URL: https://support.similarweb.com/hc/en-us/articles/13252032019101-Data-Exporter (дата обращения: 02.05.2026).</w:t>
      </w:r>
    </w:p>
    <w:p>
      <w:pPr>
        <w:spacing w:after="80"/>
        <w:ind w:left="227" w:hanging="227"/>
      </w:pPr>
      <w:r>
        <w:rPr>
          <w:rFonts w:ascii="Arial" w:hAnsi="Arial" w:eastAsia="Arial"/>
          <w:sz w:val="19"/>
        </w:rPr>
        <w:t>Similarweb Knowledge Center. Similarweb Data Methodology. URL: https://support.similarweb.com/hc/en-us/articles/360001631538-Similarweb-Data-Methodology (дата обращения: 02.05.2026).</w:t>
      </w:r>
    </w:p>
    <w:p>
      <w:pPr>
        <w:spacing w:after="80"/>
        <w:ind w:left="227" w:hanging="227"/>
      </w:pPr>
      <w:r>
        <w:rPr>
          <w:rFonts w:ascii="Arial" w:hAnsi="Arial" w:eastAsia="Arial"/>
          <w:sz w:val="19"/>
        </w:rPr>
        <w:t>Similarweb Knowledge Center. Batch API. URL: https://support.similarweb.com/hc/en-us/articles/22089634448413-Batch-API (дата обращения: 02.05.2026).</w:t>
      </w:r>
    </w:p>
    <w:p>
      <w:pPr>
        <w:spacing w:after="80"/>
        <w:ind w:left="227" w:hanging="227"/>
      </w:pPr>
      <w:r>
        <w:rPr>
          <w:rFonts w:ascii="Arial" w:hAnsi="Arial" w:eastAsia="Arial"/>
          <w:sz w:val="19"/>
        </w:rPr>
        <w:t>Similarweb Knowledge Center. Data Credits. URL: https://support.similarweb.com/hc/en-us/articles/11550179057693-Data-Credits (дата обращения: 02.05.2026).</w:t>
      </w:r>
    </w:p>
    <w:p>
      <w:pPr>
        <w:pStyle w:val="Heading1"/>
        <w:spacing w:before="200" w:after="100"/>
      </w:pPr>
      <w:r>
        <w:rPr>
          <w:rFonts w:ascii="Arial" w:hAnsi="Arial" w:eastAsia="Arial"/>
          <w:color w:val="1F4E79"/>
          <w:sz w:val="30"/>
        </w:rPr>
        <w:t>23. Краткий итоговый алгоритм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85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5329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379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532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Зафиксировать продуктовые, клиентские и географические границы рынка.</w:t>
            </w:r>
          </w:p>
        </w:tc>
        <w:tc>
          <w:tcPr>
            <w:tcW w:type="dxa" w:w="379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Понятно, какие сайты и данные относятся к анализу.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532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Составить конкурентную выборку сайтов.</w:t>
            </w:r>
          </w:p>
        </w:tc>
        <w:tc>
          <w:tcPr>
            <w:tcW w:type="dxa" w:w="379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Список прямых конкурентов, заменителей и платформ.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532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Собрать по каждому сайту посещаемость, географию, каналы, вовлеченность и поисковые запросы.</w:t>
            </w:r>
          </w:p>
        </w:tc>
        <w:tc>
          <w:tcPr>
            <w:tcW w:type="dxa" w:w="379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Сводная таблица Similarweb.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532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Рассчитать суммарный и географически релевантный трафик.</w:t>
            </w:r>
          </w:p>
        </w:tc>
        <w:tc>
          <w:tcPr>
            <w:tcW w:type="dxa" w:w="379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Цифровая база рынка.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532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Скорректировать данные на охват выборки.</w:t>
            </w:r>
          </w:p>
        </w:tc>
        <w:tc>
          <w:tcPr>
            <w:tcW w:type="dxa" w:w="379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Оценка полного цифрового объема сегмента.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532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Перевести трафик в заявки, продажи и выручку через сценарные коэффициенты.</w:t>
            </w:r>
          </w:p>
        </w:tc>
        <w:tc>
          <w:tcPr>
            <w:tcW w:type="dxa" w:w="379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Диапазон денежного объема рынка.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7</w:t>
            </w:r>
          </w:p>
        </w:tc>
        <w:tc>
          <w:tcPr>
            <w:tcW w:type="dxa" w:w="532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Рассчитать доли конкурентов и концентрацию трафика.</w:t>
            </w:r>
          </w:p>
        </w:tc>
        <w:tc>
          <w:tcPr>
            <w:tcW w:type="dxa" w:w="379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Оценка структуры цифровой конкуренции.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8</w:t>
            </w:r>
          </w:p>
        </w:tc>
        <w:tc>
          <w:tcPr>
            <w:tcW w:type="dxa" w:w="532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Сопоставить выводы с Google Trends, Яндекс Вордстат, ценами и рекламными данными.</w:t>
            </w:r>
          </w:p>
        </w:tc>
        <w:tc>
          <w:tcPr>
            <w:tcW w:type="dxa" w:w="379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Проверенный рыночный вывод.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9</w:t>
            </w:r>
          </w:p>
        </w:tc>
        <w:tc>
          <w:tcPr>
            <w:tcW w:type="dxa" w:w="532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Оформить итоговый вывод с ограничениями.</w:t>
            </w:r>
          </w:p>
        </w:tc>
        <w:tc>
          <w:tcPr>
            <w:tcW w:type="dxa" w:w="379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Методически корректная оценка рынка электронного бизнеса.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46464"/>
        <w:sz w:val="16"/>
      </w:rPr>
      <w:t>Методика оценки рынка на основе данных Similarweb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