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9"/>
          <w:sz w:val="44"/>
        </w:rPr>
        <w:t>Методика проверки рынка через платежеспособность</w:t>
      </w:r>
    </w:p>
    <w:p>
      <w:pPr>
        <w:jc w:val="center"/>
      </w:pPr>
      <w:r>
        <w:rPr>
          <w:color w:val="595959"/>
          <w:sz w:val="26"/>
        </w:rPr>
        <w:t>для оценки коммерческой реализуемости электронного бизнеса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Назначение документа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Дать последовательную методику проверки того, способен ли выявленный интерес аудитории перейти в платежеспособный спрос и денежный объем рынка.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Область применения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Электронный бизнес, цифровые услуги, интернет-магазины, платформы, маркетинговые услуги, образовательные и консультационные продукты.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Главная логика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Проверяется не только наличие интереса, но и способность клиента оплатить решение, экономическая оправданность покупки и достижимая выручка.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Итоговый результат</w:t>
            </w:r>
          </w:p>
        </w:tc>
        <w:tc>
          <w:tcPr>
            <w:tcW w:type="dxa" w:w="708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Заключение о платежеспособности целевых сегментов, ценовом коридоре, допустимом среднем чеке, сценариях продаж и ограничениях вывода.</w:t>
            </w:r>
          </w:p>
        </w:tc>
      </w:tr>
    </w:tbl>
    <w:p/>
    <w:p>
      <w:pPr>
        <w:pStyle w:val="Heading1"/>
        <w:keepNext/>
      </w:pPr>
      <w:r>
        <w:t>1. Сущность проверки через платежеспособность</w:t>
      </w:r>
    </w:p>
    <w:p>
      <w:pPr>
        <w:spacing w:after="120" w:line="259" w:lineRule="auto"/>
      </w:pPr>
      <w:r>
        <w:t>Проверка через платежеспособность нужна после фиксации границ рынка и первичной оценки интереса аудитории. Поисковые запросы, посещаемость сайтов и активность в цифровых каналах показывают внимание аудитории, но не доказывают готовность платить. Поэтому следующий этап анализа должен ответить на вопрос: способен ли целевой клиент реально приобрести продукт или услугу по цене, достаточной для устойчивой бизнес-модели.</w:t>
      </w:r>
    </w:p>
    <w:p>
      <w:pPr>
        <w:spacing w:after="120" w:line="259" w:lineRule="auto"/>
      </w:pPr>
      <w:r>
        <w:t>Платежеспособный спрос возникает только тогда, когда одновременно выполняются четыре условия: у клиента есть проблема, клиент признает ценность решения, у клиента есть финансовая возможность оплатить решение, а ожидаемый эффект покупки превышает или оправдывает затраты.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4E79"/>
                <w:sz w:val="19"/>
              </w:rPr>
              <w:t>Платежеспособный спрос = потребность × готовность платить × финансовая возможность × доступность покупки</w:t>
            </w:r>
          </w:p>
        </w:tc>
      </w:tr>
    </w:tbl>
    <w:p/>
    <w:p>
      <w:pPr>
        <w:pStyle w:val="Heading1"/>
        <w:keepNext/>
      </w:pPr>
      <w:r>
        <w:t>2. Место методики в общей последовательности анализа рынка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Этап анализа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Что уже должно быть известно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Что добавляет проверка платежеспособности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Фиксация границ рынка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Продукт, клиентский сегмент, территория, каналы и заменители.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Показывает, какие из выделенных сегментов способны платить.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Оценка интереса аудитории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Поисковые запросы, динамика, сезонность, цифровые сигналы спроса.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Отделяет информационный интерес от коммерчески значимого спроса.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Оценка объема рынка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Предварительные расчеты через клиентов, трафик, воронку или конкурентов.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Корректирует объем рынка с учетом реальной покупательной способности.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Финансовая модель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Цена, средний чек, конверсия, частота покупки, затраты на привлечение.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Проверяет, может ли бизнес получать выручку при реалистичных ограничениях клиента.</w:t>
            </w:r>
          </w:p>
        </w:tc>
      </w:tr>
    </w:tbl>
    <w:p/>
    <w:p>
      <w:pPr>
        <w:pStyle w:val="Heading1"/>
        <w:keepNext/>
      </w:pPr>
      <w:r>
        <w:t>3. Исходные данные для проверки платежеспособности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Группа данных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Что собирается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Возможные источники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Данные о доходах и расходах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Средние доходы населения, структура расходов, реальная динамика доходов, региональные различия.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Национальная статистика, Белстат, открытые статистические базы, отраслевые обзоры.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Данные о бизнес-клиентах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Количество компаний, масштаб деятельности, отрасль, выручка, число сотрудников, цифровая активность.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Государственная статистика, реестры, каталоги компаний, сайты организаций, отраслевые объединения.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Данные о ценах конкурентов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Прайсы, пакеты услуг, подписки, комиссии, минимальные тарифы, премиальные тарифы.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Сайты конкурентов, маркетплейсы услуг, платформы фриланса, коммерческие предложения.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Данные о цифровом спросе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Трафик конкурентов, каналы привлечения, география аудитории, поисковые запросы, вовлеченность.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Similarweb, Google Trends, Яндекс Вордстат, рекламные кабинеты, аналитика сайта.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Данные о конверсиях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Переходы, заявки, покупки, стоимость лида, стоимость продажи, повторные покупки.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Google Analytics, Google Ads, CRM, рекламные кабинеты, внутренние отчеты продаж.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Данные о готовности платить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Ожидаемый бюджет, допустимая цена, причины отказа, ценовая чувствительность.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Опросы клиентов, интервью, тестовые продажи, предварительные заявки, эксперименты с ценой.</w:t>
            </w:r>
          </w:p>
        </w:tc>
      </w:tr>
    </w:tbl>
    <w:p/>
    <w:p>
      <w:pPr>
        <w:pStyle w:val="Heading1"/>
        <w:keepNext/>
      </w:pPr>
      <w:r>
        <w:t>4. Общий алгоритм проверки платежеспособности</w:t>
      </w:r>
    </w:p>
    <w:p>
      <w:pPr>
        <w:pStyle w:val="ListNumber"/>
        <w:spacing w:after="60"/>
      </w:pPr>
      <w:r>
        <w:t>Зафиксировать целевой сегмент: кто именно должен платить за продукт или услугу.</w:t>
      </w:r>
    </w:p>
    <w:p>
      <w:pPr>
        <w:pStyle w:val="ListNumber"/>
        <w:spacing w:after="60"/>
      </w:pPr>
      <w:r>
        <w:t>Определить единицу покупки: разовая покупка, месячная подписка, проект, комиссия, абонентское сопровождение.</w:t>
      </w:r>
    </w:p>
    <w:p>
      <w:pPr>
        <w:pStyle w:val="ListNumber"/>
        <w:spacing w:after="60"/>
      </w:pPr>
      <w:r>
        <w:t>Собрать ценовой коридор конкурентов: минимальная, средняя и высокая цена на аналогичные решения.</w:t>
      </w:r>
    </w:p>
    <w:p>
      <w:pPr>
        <w:pStyle w:val="ListNumber"/>
        <w:spacing w:after="60"/>
      </w:pPr>
      <w:r>
        <w:t>Оценить финансовую возможность клиента: доход, бюджет, размер бизнеса, допустимая доля расходов.</w:t>
      </w:r>
    </w:p>
    <w:p>
      <w:pPr>
        <w:pStyle w:val="ListNumber"/>
        <w:spacing w:after="60"/>
      </w:pPr>
      <w:r>
        <w:t>Оценить экономическую оправданность покупки: какую выгоду, экономию или дополнительную выручку получает клиент.</w:t>
      </w:r>
    </w:p>
    <w:p>
      <w:pPr>
        <w:pStyle w:val="ListNumber"/>
        <w:spacing w:after="60"/>
      </w:pPr>
      <w:r>
        <w:t>Проверить цифровую достижимость платежеспособной аудитории: каналы трафика, коммерческие запросы, географию и качество посещений.</w:t>
      </w:r>
    </w:p>
    <w:p>
      <w:pPr>
        <w:pStyle w:val="ListNumber"/>
        <w:spacing w:after="60"/>
      </w:pPr>
      <w:r>
        <w:t>Рассчитать сценарии платежеспособного рынка: осторожный, базовый и оптимистичный.</w:t>
      </w:r>
    </w:p>
    <w:p>
      <w:pPr>
        <w:pStyle w:val="ListNumber"/>
        <w:spacing w:after="60"/>
      </w:pPr>
      <w:r>
        <w:t>Сформулировать вывод: какие сегменты можно считать платежеспособными, при какой цене и с какими ограничениями.</w:t>
      </w:r>
    </w:p>
    <w:p>
      <w:pPr>
        <w:pStyle w:val="Heading1"/>
        <w:keepNext/>
      </w:pPr>
      <w:r>
        <w:t>5. Разделение интереса и платежеспособного спроса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Тип проявления интереса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Признаки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Можно ли считать платежеспособным спросом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Информационный интерес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Запросы вида «что такое», «как сделать», «бесплатно», «пример», «обучение».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Нет. Это только признак внимания к теме.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Проблемный интерес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Запросы вида «как привлечь клиентов», «нет продаж», «как увеличить заявки».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Частично. Есть проблема, но готовность платить нужно проверять отдельно.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Коммерческий интерес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Запросы со словами «услуги», «цена», «заказать», «агентство», «специалист», «стоимость».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Да, ближе к платежеспособному спросу, но требует проверки цены и конверсии.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Поведенческий интерес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Переходы на сайты конкурентов, просмотр тарифов, длительное время на сайте, повторные визиты.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Да, если сопровождается действиями: заявка, звонок, регистрация, корзина, оплата.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Фактический спрос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Оплата, договор, подписка, повторная покупка, продление услуги.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Да. Это прямое подтверждение платежеспособного спроса.</w:t>
            </w:r>
          </w:p>
        </w:tc>
      </w:tr>
    </w:tbl>
    <w:p/>
    <w:p>
      <w:pPr>
        <w:pStyle w:val="Heading1"/>
        <w:keepNext/>
      </w:pPr>
      <w:r>
        <w:t>6. Методика расчета платежеспособной клиентской базы</w:t>
      </w:r>
    </w:p>
    <w:p>
      <w:pPr>
        <w:spacing w:after="120" w:line="259" w:lineRule="auto"/>
      </w:pPr>
      <w:r>
        <w:t>Для количественной оценки необходимо последовательно сужать потенциальную клиентскую базу. Нельзя считать весь интерес аудитории платежеспособным рынком. Используются коэффициенты, которые отражают наличие потребности, финансовую возможность, цифровую доступность и готовность приобрести решение.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4E79"/>
                <w:sz w:val="19"/>
              </w:rPr>
              <w:t>Платежеспособные клиенты = потенциальные клиенты × Kпотребности × Kфинансовой возможности × Kготовности платить × Kцифровой доступности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Коэффициент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Как оценивать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Kпотребности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клиентов, у которых действительно есть решаемая проблема.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Опросы, поисковые запросы, обращения, отраслевые признаки, активность конкурентов.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Kфинансовой возможности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клиентов, которые имеют достаточный бюджет или доход.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Статистика доходов, выручка компаний, размер бизнеса, уровень цен в сегменте.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Kготовности платить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клиентов, которые готовы не только интересоваться, но и оплачивать решение.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Коммерческие запросы, заявки, тестовые продажи, интервью, платные пилоты.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Kцифровой доступности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клиентов, которых можно достичь через цифровые каналы.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Similarweb, рекламные кабинеты, социальные сети, поисковый спрос, посещаемость сайтов.</w:t>
            </w:r>
          </w:p>
        </w:tc>
      </w:tr>
    </w:tbl>
    <w:p/>
    <w:p>
      <w:pPr>
        <w:pStyle w:val="Heading1"/>
        <w:keepNext/>
      </w:pPr>
      <w:r>
        <w:t>7. Проверка ценового коридора</w:t>
      </w:r>
    </w:p>
    <w:p>
      <w:pPr>
        <w:spacing w:after="120" w:line="259" w:lineRule="auto"/>
      </w:pPr>
      <w:r>
        <w:t>Ценовой коридор показывает, какую цену рынок уже считает допустимой. Он строится на основе цен конкурентов, альтернативных решений и ценности результата для клиента. Для электронного бизнеса важно учитывать не только прямых конкурентов, но и заменители: самостоятельное решение, фриланс, агентство, программный сервис, подписку, маркетплейс услуг.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Уровень цены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Как использовать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Минимальная цена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Нижняя граница рынка, часто характерна для фриланса, самостоятельных решений или простых пакетов.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Помогает определить риск ценовой конкуренции и ожидания чувствительных клиентов.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Средняя рыночная цена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Типовая цена за сопоставимое решение у активных конкурентов.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Используется как базовый ориентир для расчета объема рынка.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Высокая цена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Премиальный сегмент: комплексная услуга, сильная экспертиза, высокий уровень доверия.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Показывает верхнюю границу платежеспособности наиболее ценных клиентов.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Цена заменителя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Стоимость альтернативы: штатный сотрудник, сервис, обучение, самостоятельное выполнение.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Позволяет понять, при какой цене клиент может уйти к альтернативному способу решения проблемы.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4E79"/>
                <w:sz w:val="19"/>
              </w:rPr>
              <w:t>Допустимый средний чек = min(рыночный ценовой коридор; бюджет клиента; экономически оправданная цена)</w:t>
            </w:r>
          </w:p>
        </w:tc>
      </w:tr>
    </w:tbl>
    <w:p/>
    <w:p>
      <w:pPr>
        <w:pStyle w:val="Heading1"/>
        <w:keepNext/>
      </w:pPr>
      <w:r>
        <w:t>8. Проверка экономической оправданности покупки</w:t>
      </w:r>
    </w:p>
    <w:p>
      <w:pPr>
        <w:spacing w:after="120" w:line="259" w:lineRule="auto"/>
      </w:pPr>
      <w:r>
        <w:t>Платежеспособность не сводится к наличию денег. Особенно в B2B-сегменте клиент покупает решение тогда, когда оно ожидаемо приносит дополнительную выручку, снижает затраты, уменьшает риск или экономит время. Поэтому цена должна быть сопоставлена с ожидаемым эффектом.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4E79"/>
                <w:sz w:val="19"/>
              </w:rPr>
              <w:t>Коэффициент оправданности покупки = ожидаемый экономический эффект / стоимость решения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Значение коэффициента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Интерпретация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Управленческий вывод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Меньше 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Покупка экономически слабо обоснована: эффект ниже цены.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Нужно снизить цену, изменить предложение или выбрать другой сегмент.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От 1 до 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Покупка может быть оправдана, но клиент будет чувствителен к цене и рискам.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Нужны доказательства результата: кейсы, гарантии, пилот, понятная окупаемость.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От 2 до 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Покупка выглядит экономически разумной.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Можно использовать как базовый коммерческий сегмент.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Больше 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Покупка имеет высокий ожидаемый эффект.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Возможен премиальный тариф, комплексное сопровождение или долгосрочный договор.</w:t>
            </w:r>
          </w:p>
        </w:tc>
      </w:tr>
    </w:tbl>
    <w:p/>
    <w:p>
      <w:pPr>
        <w:pStyle w:val="Heading1"/>
        <w:keepNext/>
      </w:pPr>
      <w:r>
        <w:t>9. Специфика проверки для B2B-рынка</w:t>
      </w:r>
    </w:p>
    <w:p>
      <w:pPr>
        <w:spacing w:after="120" w:line="259" w:lineRule="auto"/>
      </w:pPr>
      <w:r>
        <w:t>Для B2B-электронного бизнеса основной вопрос состоит в том, есть ли у компании бюджет и достаточная экономическая мотивация для покупки. В качестве клиента могут выступать малые предприятия, интернет-магазины, локальные сервисные компании, производители, образовательные проекты или профессиональные услуги.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Формула или логика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Применение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Годовой бюджет клиента на решение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Выручка клиента × допустимая доля расходов на данную функцию.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Оценивает верхнюю границу цены, которую клиент может выдержать.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затрат на услугу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Стоимость услуги / выручка клиента.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Показывает, не является ли цена чрезмерной для сегмента.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Окупаемость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Стоимость услуги / дополнительная месячная прибыль.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Показывает, за сколько месяцев клиент возвращает затраты.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Порог покупки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Минимальный ожидаемый эффект, при котором клиент готов купить.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Используется для формулирования коммерческого предложения.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Долгосрочная ценность клиента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Средний чек × число месяцев сотрудничества.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Помогает оценить, можно ли окупить привлечение клиента.</w:t>
            </w:r>
          </w:p>
        </w:tc>
      </w:tr>
    </w:tbl>
    <w:p/>
    <w:p>
      <w:pPr>
        <w:pStyle w:val="Heading1"/>
        <w:keepNext/>
      </w:pPr>
      <w:r>
        <w:t>10. Специфика проверки для B2C-рынка</w:t>
      </w:r>
    </w:p>
    <w:p>
      <w:pPr>
        <w:spacing w:after="120" w:line="259" w:lineRule="auto"/>
      </w:pPr>
      <w:r>
        <w:t>Для B2C-рынка основное внимание уделяется доходам населения, структуре расходов, частоте покупки и ценовой чувствительности. Даже при высоком интересе аудитории продукт может не иметь достаточного рынка, если его цена превышает привычный уровень расходов целевой группы.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Как рассчитывается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Как интерпретируется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цены в месячном доходе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Цена продукта / среднемесячный доход клиента.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Чем выше доля, тем сильнее барьер покупки.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цены в располагаемом бюджете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Цена продукта / свободный бюджет после обязательных расходов.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Более точная оценка доступности покупки.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Частота покупки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Количество покупок в год.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Позволяет рассчитать годовую емкость рынка.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Ценовая чувствительность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Реакция спроса на изменение цены.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Проверяется через опросы, эксперименты, конкурентов и тестовые продажи.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Порог массовости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Цена, при которой продукт перестает быть нишевым.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Используется для выбора стратегии: массовый, средний или премиальный сегмент.</w:t>
            </w:r>
          </w:p>
        </w:tc>
      </w:tr>
    </w:tbl>
    <w:p/>
    <w:p>
      <w:pPr>
        <w:pStyle w:val="Heading1"/>
        <w:keepNext/>
      </w:pPr>
      <w:r>
        <w:t>11. Использование Similarweb в проверке платежеспособности</w:t>
      </w:r>
    </w:p>
    <w:p>
      <w:pPr>
        <w:spacing w:after="120" w:line="259" w:lineRule="auto"/>
      </w:pPr>
      <w:r>
        <w:t>Similarweb не показывает платежеспособность напрямую, но помогает оценить цифровые признаки коммерческой активности: посещаемость сайтов конкурентов, географию аудитории, источники трафика, долю платного поиска, вовлеченность и похожие сайты. Эти показатели позволяют понять, есть ли в сегменте не только интерес, но и активное конкурентное предложение.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Показатель Similarweb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Что показывает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Как использовать в проверке платежеспособности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Общая посещаемость сайтов конкурентов</w:t>
            </w:r>
          </w:p>
        </w:tc>
        <w:tc>
          <w:tcPr>
            <w:tcW w:type="dxa" w:w="32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Масштаб цифрового интереса к предложениям на рынке.</w:t>
            </w:r>
          </w:p>
        </w:tc>
        <w:tc>
          <w:tcPr>
            <w:tcW w:type="dxa" w:w="379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Высокий трафик у коммерческих сайтов усиливает гипотезу о наличии платежеспособной аудитории.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География трафика</w:t>
            </w:r>
          </w:p>
        </w:tc>
        <w:tc>
          <w:tcPr>
            <w:tcW w:type="dxa" w:w="32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Из каких стран или регионов приходит аудитория.</w:t>
            </w:r>
          </w:p>
        </w:tc>
        <w:tc>
          <w:tcPr>
            <w:tcW w:type="dxa" w:w="379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Помогает проверить, соответствует ли платежеспособная аудитория выбранным географическим границам.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Каналы трафика</w:t>
            </w:r>
          </w:p>
        </w:tc>
        <w:tc>
          <w:tcPr>
            <w:tcW w:type="dxa" w:w="32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Поиск, реклама, прямые заходы, социальные сети, реферальный трафик.</w:t>
            </w:r>
          </w:p>
        </w:tc>
        <w:tc>
          <w:tcPr>
            <w:tcW w:type="dxa" w:w="379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платного и прямого трафика может косвенно указывать на коммерческую активность и узнаваемость рынка.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Поисковые запросы</w:t>
            </w:r>
          </w:p>
        </w:tc>
        <w:tc>
          <w:tcPr>
            <w:tcW w:type="dxa" w:w="32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Какие формулировки приводят аудиторию к конкурентам.</w:t>
            </w:r>
          </w:p>
        </w:tc>
        <w:tc>
          <w:tcPr>
            <w:tcW w:type="dxa" w:w="379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Позволяет отделить коммерческие запросы от информационных.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Вовлеченность</w:t>
            </w:r>
          </w:p>
        </w:tc>
        <w:tc>
          <w:tcPr>
            <w:tcW w:type="dxa" w:w="32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Время визита, страницы за визит, отказы.</w:t>
            </w:r>
          </w:p>
        </w:tc>
        <w:tc>
          <w:tcPr>
            <w:tcW w:type="dxa" w:w="379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Высокая вовлеченность может указывать на серьезное рассмотрение предложения, но не доказывает покупку.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Похожие сайты</w:t>
            </w:r>
          </w:p>
        </w:tc>
        <w:tc>
          <w:tcPr>
            <w:tcW w:type="dxa" w:w="328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Кто еще работает в том же цифровом поле.</w:t>
            </w:r>
          </w:p>
        </w:tc>
        <w:tc>
          <w:tcPr>
            <w:tcW w:type="dxa" w:w="379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Помогает расширить выборку конкурентов и оценить насыщенность предложения.</w:t>
            </w:r>
          </w:p>
        </w:tc>
      </w:tr>
    </w:tbl>
    <w:p/>
    <w:p>
      <w:pPr>
        <w:pStyle w:val="Heading1"/>
        <w:keepNext/>
      </w:pPr>
      <w:r>
        <w:t>12. Перевод платежеспособности в оценку объема рынка</w:t>
      </w:r>
    </w:p>
    <w:p>
      <w:pPr>
        <w:spacing w:after="120" w:line="259" w:lineRule="auto"/>
      </w:pPr>
      <w:r>
        <w:t>После оценки платежеспособной клиентской базы и допустимой цены можно рассчитать денежный объем рынка. Рекомендуется считать не одно число, а диапазон: осторожный, базовый и оптимистичный сценарии.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4E79"/>
                <w:sz w:val="19"/>
              </w:rPr>
              <w:t>Денежный объем рынка = платежеспособные клиенты × средний чек × частота покупки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4E79"/>
                <w:sz w:val="19"/>
              </w:rPr>
              <w:t>Объем рынка услуг = платежеспособные клиенты × средний годовой бюджет на услугу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4E79"/>
                <w:sz w:val="19"/>
              </w:rPr>
              <w:t>Объем рынка платформы = число сделок × средняя сумма сделки; выручка платформы = GMV × комиссия</w:t>
            </w:r>
          </w:p>
        </w:tc>
      </w:tr>
    </w:tbl>
    <w:p/>
    <w:p>
      <w:pPr>
        <w:pStyle w:val="Heading1"/>
        <w:keepNext/>
      </w:pPr>
      <w:r>
        <w:t>13. Сценарная модель платежеспособного спроса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Осторожный сценарий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Базовый сценарий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Оптимистичный сценарий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клиентов с потребностью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Низкая оценка, учитываются только явно заинтересованные клиенты.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Средняя оценка по данным поискового спроса и конкурентного анализа.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Высокая оценка с учетом расширения сегмента.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Доля клиентов с финансовой возможностью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Только клиенты с очевидным бюджетом.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Клиенты с умеренной способностью оплачивать решение.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Широкая база клиентов при благоприятной экономической ситуации.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Готовность платить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Низкая конверсия в оплату.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Средняя конверсия на основе аналогов и тестов.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Высокая конверсия при сильном предложении.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Средний чек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Нижняя часть рыночного коридора.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Средняя цена конкурентов.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Премиальная или комплексная цена.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Частота покупки</w:t>
            </w:r>
          </w:p>
        </w:tc>
        <w:tc>
          <w:tcPr>
            <w:tcW w:type="dxa" w:w="238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Разовая или редкая покупка.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Повторяемая покупка в обычном режиме.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Долгосрочное сопровождение или частые повторные покупки.</w:t>
            </w:r>
          </w:p>
        </w:tc>
      </w:tr>
    </w:tbl>
    <w:p/>
    <w:p>
      <w:pPr>
        <w:pStyle w:val="Heading1"/>
        <w:keepNext/>
      </w:pPr>
      <w:r>
        <w:t>14. Пример применения: бизнес на основе компетенции «маркетинг»</w:t>
      </w:r>
    </w:p>
    <w:p>
      <w:pPr>
        <w:spacing w:after="120" w:line="259" w:lineRule="auto"/>
      </w:pPr>
      <w:r>
        <w:t>Рассмотрим бизнес-идею: цифровое маркетинговое сопровождение малого бизнеса. Цель услуги — помочь клиенту получать заявки, улучшать продвижение, повышать узнаваемость и увеличивать продажи через цифровые каналы.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Элемент проверки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Пример заполнения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Вывод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Целевой клиент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Малый бизнес, локальные услуги, интернет-магазины, образовательные проекты.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Клиенты имеют коммерческую мотивацию: им нужны заявки и продажи.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Проблема клиента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Недостаток заявок, слабая реклама, отсутствие понятной стратегии продвижения.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Проблема связана с доходом клиента, поэтому услуга может иметь экономическую ценность.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Ценовой коридор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Разовые консультации, месячное сопровождение, настройка рекламы, комплексный пакет.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Нужно сравнить цену с альтернативами: фриланс, агентство, штатный специалист.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Экономический эффект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Дополнительные заявки и продажи, снижение стоимости привлечения клиента, рост повторных обращений.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Цена услуги оправдана, если дополнительная прибыль клиента превышает стоимость сопровождения.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Проверка через цифровые данные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Коммерческие запросы, посещаемость сайтов агентств, доля платного поиска, география трафика.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Если конкуренты получают устойчивый коммерческий трафик, сегмент можно считать более перспективным.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Ограничение</w:t>
            </w:r>
          </w:p>
        </w:tc>
        <w:tc>
          <w:tcPr>
            <w:tcW w:type="dxa" w:w="368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Малый бизнес может интересоваться маркетингом, но не всегда готов платить за системное сопровождение.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Нужно выделять более платежеспособные сегменты: интернет-магазины, медицинские услуги, образование, B2B-услуги.</w:t>
            </w:r>
          </w:p>
        </w:tc>
      </w:tr>
    </w:tbl>
    <w:p/>
    <w:p>
      <w:pPr>
        <w:pStyle w:val="Heading1"/>
        <w:keepNext/>
      </w:pPr>
      <w:r>
        <w:t>15. Рабочая таблица проверки платежеспособности сегмента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Сегмент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Потенциальные клиенты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K потребности</w:t>
            </w:r>
          </w:p>
        </w:tc>
        <w:tc>
          <w:tcPr>
            <w:tcW w:type="dxa" w:w="119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K фин. возможности</w:t>
            </w:r>
          </w:p>
        </w:tc>
        <w:tc>
          <w:tcPr>
            <w:tcW w:type="dxa" w:w="119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K готовности платить</w:t>
            </w:r>
          </w:p>
        </w:tc>
        <w:tc>
          <w:tcPr>
            <w:tcW w:type="dxa" w:w="119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K цифровой доступности</w:t>
            </w:r>
          </w:p>
        </w:tc>
        <w:tc>
          <w:tcPr>
            <w:tcW w:type="dxa" w:w="130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Платежеспособные клиенты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Средний чек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Объем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Малый бизнес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Интернет-магазины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Локальные услуги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Образовательные проекты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Профессиональные услуги</w:t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0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16. Рабочая таблица ценового коридора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Конкурент / заменитель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Тип решения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Минимальная цена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Средняя цена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Максимальная цена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Что входит в цену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Вывод о допустимой цене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17. Рабочая таблица экономической оправданности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Сегмент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Цена решения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Ожидаемый эффект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Период эффекта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Коэффициент оправданности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Риск отказа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18. Шаблоны итоговых формулировок</w:t>
      </w:r>
    </w:p>
    <w:p>
      <w:pPr>
        <w:pStyle w:val="Heading2"/>
        <w:keepNext/>
      </w:pPr>
      <w:r>
        <w:t>18.1. Положительный вывод</w:t>
      </w:r>
    </w:p>
    <w:p>
      <w:pPr>
        <w:spacing w:after="120" w:line="259" w:lineRule="auto"/>
      </w:pPr>
      <w:r>
        <w:t>Проверка через платежеспособность показывает, что выбранный сегмент обладает не только поисковым интересом, но и признаками платежеспособного спроса. Целевые клиенты имеют выраженную проблему, связанную с получением дохода или снижением затрат, а предполагаемая цена решения находится в пределах рыночного ценового коридора. При базовом сценарии ожидаемый экономический эффект для клиента превышает стоимость решения, что позволяет рассматривать сегмент как перспективный для дальнейшей разработки коммерческого предложения.</w:t>
      </w:r>
    </w:p>
    <w:p>
      <w:pPr>
        <w:pStyle w:val="Heading2"/>
        <w:keepNext/>
      </w:pPr>
      <w:r>
        <w:t>18.2. Осторожный вывод</w:t>
      </w:r>
    </w:p>
    <w:p>
      <w:pPr>
        <w:spacing w:after="120" w:line="259" w:lineRule="auto"/>
      </w:pPr>
      <w:r>
        <w:t>Проверка показывает наличие интереса к направлению, однако платежеспособность аудитории неоднородна. Часть клиентов демонстрирует потребность в решении, но не все сегменты способны оплачивать услугу на уровне, достаточном для устойчивой бизнес-модели. В связи с этим дальнейший анализ должен быть сосредоточен на выделении более платежеспособных клиентских групп, уточнении ценового предложения и тестировании готовности платить.</w:t>
      </w:r>
    </w:p>
    <w:p>
      <w:pPr>
        <w:pStyle w:val="Heading2"/>
        <w:keepNext/>
      </w:pPr>
      <w:r>
        <w:t>18.3. Отрицательный вывод</w:t>
      </w:r>
    </w:p>
    <w:p>
      <w:pPr>
        <w:spacing w:after="120" w:line="259" w:lineRule="auto"/>
      </w:pPr>
      <w:r>
        <w:t>Результаты проверки не позволяют подтвердить достаточный уровень платежеспособного спроса. Выявленный интерес аудитории преимущественно носит информационный или проблемный характер, а предполагаемая цена решения превышает допустимый бюджет значительной части целевых клиентов. Для продолжения работы необходимо изменить сегмент, снизить сложность предложения, пересмотреть ценовую модель или выбрать иной канал монетизации.</w:t>
      </w:r>
    </w:p>
    <w:p>
      <w:pPr>
        <w:pStyle w:val="Heading1"/>
        <w:keepNext/>
      </w:pPr>
      <w:r>
        <w:t>19. Типовые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Почему это проблема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Как исправить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Принимать поисковый интерес за платежеспособный спрос.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Запросы показывают внимание, но не факт оплаты.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Разделить запросы по коммерческой близости и проверить цены, заявки, продажи.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Считать весь целевой сегмент платежеспособным.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Часть клиентов не имеет бюджета или не готова платить.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Использовать коэффициенты сужения клиентской базы.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Опираться только на среднюю цену конкурентов.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Цена может не соответствовать ценности продукта для клиента.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Сравнивать цену с ожидаемым экономическим эффектом и заменителями.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Не учитывать региональные различия доходов и спроса.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Платежеспособность в разных территориях может существенно отличаться.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Проверять географию спроса и статистику доходов по территории.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Игнорировать стоимость привлечения клиента.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Даже платежеспособный рынок может быть невыгодным при дорогом привлечении.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Считать стоимость лида, конверсию и окупаемость привлечения.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Не фиксировать источники данных.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Расчет становится непроверяемым.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Вести журнал источников, дат и допущений.</w:t>
            </w:r>
          </w:p>
        </w:tc>
      </w:tr>
    </w:tbl>
    <w:p/>
    <w:p>
      <w:pPr>
        <w:pStyle w:val="Heading1"/>
        <w:keepNext/>
      </w:pPr>
      <w:r>
        <w:t>20. Чек-лист готовности вывода</w:t>
      </w:r>
    </w:p>
    <w:p>
      <w:pPr>
        <w:pStyle w:val="ListBullet"/>
        <w:spacing w:after="40"/>
      </w:pPr>
      <w:r>
        <w:t>Определен конкретный клиентский сегмент, который должен платить.</w:t>
      </w:r>
    </w:p>
    <w:p>
      <w:pPr>
        <w:pStyle w:val="ListBullet"/>
        <w:spacing w:after="40"/>
      </w:pPr>
      <w:r>
        <w:t>Собраны цены конкурентов и альтернативных решений.</w:t>
      </w:r>
    </w:p>
    <w:p>
      <w:pPr>
        <w:pStyle w:val="ListBullet"/>
        <w:spacing w:after="40"/>
      </w:pPr>
      <w:r>
        <w:t>Оценена финансовая возможность клиента.</w:t>
      </w:r>
    </w:p>
    <w:p>
      <w:pPr>
        <w:pStyle w:val="ListBullet"/>
        <w:spacing w:after="40"/>
      </w:pPr>
      <w:r>
        <w:t>Разделены информационный интерес, коммерческий интерес и фактический спрос.</w:t>
      </w:r>
    </w:p>
    <w:p>
      <w:pPr>
        <w:pStyle w:val="ListBullet"/>
        <w:spacing w:after="40"/>
      </w:pPr>
      <w:r>
        <w:t>Проверена экономическая оправданность покупки для клиента.</w:t>
      </w:r>
    </w:p>
    <w:p>
      <w:pPr>
        <w:pStyle w:val="ListBullet"/>
        <w:spacing w:after="40"/>
      </w:pPr>
      <w:r>
        <w:t>Использованы данные цифрового поведения: поисковый спрос, трафик, каналы, заявки или конверсии.</w:t>
      </w:r>
    </w:p>
    <w:p>
      <w:pPr>
        <w:pStyle w:val="ListBullet"/>
        <w:spacing w:after="40"/>
      </w:pPr>
      <w:r>
        <w:t>Рассчитаны осторожный, базовый и оптимистичный сценарии.</w:t>
      </w:r>
    </w:p>
    <w:p>
      <w:pPr>
        <w:pStyle w:val="ListBullet"/>
        <w:spacing w:after="40"/>
      </w:pPr>
      <w:r>
        <w:t>Указаны ограничения данных и допущения расчета.</w:t>
      </w:r>
    </w:p>
    <w:p>
      <w:pPr>
        <w:pStyle w:val="ListBullet"/>
        <w:spacing w:after="40"/>
      </w:pPr>
      <w:r>
        <w:t>Сформулирован вывод о том, какие сегменты являются платежеспособными, а какие требуют дополнительной проверки.</w:t>
      </w:r>
    </w:p>
    <w:p>
      <w:r>
        <w:br w:type="page"/>
      </w:r>
    </w:p>
    <w:p>
      <w:pPr>
        <w:pStyle w:val="Heading1"/>
        <w:keepNext/>
      </w:pPr>
      <w:r>
        <w:t>21. Журнал источников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Какие данные берутся</w:t>
            </w:r>
          </w:p>
        </w:tc>
        <w:tc>
          <w:tcPr>
            <w:tcW w:type="dxa" w:w="147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Дата обращения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7"/>
              </w:rPr>
              <w:t>Ограничения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Белстат / национальная статистика</w:t>
            </w:r>
          </w:p>
        </w:tc>
        <w:tc>
          <w:tcPr>
            <w:tcW w:type="dxa" w:w="357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Доходы населения, структура экономики, количество организаций, региональные различия.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Статистика может быть агрегированной и не отражать узкий цифровой сегмент.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Similarweb</w:t>
            </w:r>
          </w:p>
        </w:tc>
        <w:tc>
          <w:tcPr>
            <w:tcW w:type="dxa" w:w="357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Оценка посещаемости, каналы трафика, география, поисковые запросы, конкуренты.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Данные оценочные; малые сайты могут отражаться менее надежно.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Google Analytics / аналитика сайта</w:t>
            </w:r>
          </w:p>
        </w:tc>
        <w:tc>
          <w:tcPr>
            <w:tcW w:type="dxa" w:w="357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Источники трафика, поведение пользователей, события, заявки, покупки.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Доступно только для собственного сайта или при наличии доступа к данным.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Google Ads / рекламные кабинеты</w:t>
            </w:r>
          </w:p>
        </w:tc>
        <w:tc>
          <w:tcPr>
            <w:tcW w:type="dxa" w:w="357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Конверсии, стоимость клика, стоимость лида, эффективность кампаний.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Данные зависят от корректной настройки отслеживания и периода кампании.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Сайты конкурентов</w:t>
            </w:r>
          </w:p>
        </w:tc>
        <w:tc>
          <w:tcPr>
            <w:tcW w:type="dxa" w:w="357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Цены, пакеты услуг, офферы, условия покупки.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Информация может быть неполной или маркетингово приукрашенной.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Опросы и интервью</w:t>
            </w:r>
          </w:p>
        </w:tc>
        <w:tc>
          <w:tcPr>
            <w:tcW w:type="dxa" w:w="357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Готовность платить, барьеры покупки, ценовая чувствительность.</w:t>
            </w:r>
          </w:p>
        </w:tc>
        <w:tc>
          <w:tcPr>
            <w:tcW w:type="dxa" w:w="147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Выборка может быть небольшой и нерепрезентативной.</w:t>
            </w:r>
          </w:p>
        </w:tc>
      </w:tr>
    </w:tbl>
    <w:p/>
    <w:p>
      <w:pPr>
        <w:pStyle w:val="Heading1"/>
        <w:keepNext/>
      </w:pPr>
      <w:r>
        <w:t>22. Список использованных и рекомендуемых источников</w:t>
      </w:r>
    </w:p>
    <w:p>
      <w:pPr>
        <w:pStyle w:val="ListBullet"/>
        <w:spacing w:after="40"/>
      </w:pPr>
      <w:r>
        <w:t>Similarweb. Data Methodology. URL: https://support.similarweb.com/hc/en-us/articles/360001631538-Similarweb-Data-Methodology</w:t>
      </w:r>
    </w:p>
    <w:p>
      <w:pPr>
        <w:pStyle w:val="ListBullet"/>
        <w:spacing w:after="40"/>
      </w:pPr>
      <w:r>
        <w:t>Similarweb. Website Analysis. URL: https://www.similarweb.com/website/</w:t>
      </w:r>
    </w:p>
    <w:p>
      <w:pPr>
        <w:pStyle w:val="ListBullet"/>
        <w:spacing w:after="40"/>
      </w:pPr>
      <w:r>
        <w:t>Google Analytics Help. Traffic acquisition report. URL: https://support.google.com/analytics/answer/12923437</w:t>
      </w:r>
    </w:p>
    <w:p>
      <w:pPr>
        <w:pStyle w:val="ListBullet"/>
        <w:spacing w:after="40"/>
      </w:pPr>
      <w:r>
        <w:t>Google Ads Help. About conversion measurement. URL: https://support.google.com/google-ads/answer/1722022</w:t>
      </w:r>
    </w:p>
    <w:p>
      <w:pPr>
        <w:pStyle w:val="ListBullet"/>
        <w:spacing w:after="40"/>
      </w:pPr>
      <w:r>
        <w:t>Белстат. Денежные доходы населения. URL: https://www.belstat.gov.by/ofitsialnaya-statistika/solialnaya-sfera/uroven-zhizni-naseleniya/denezhnye-dokhody-naseleniya/</w:t>
      </w:r>
    </w:p>
    <w:p>
      <w:pPr>
        <w:pStyle w:val="ListBullet"/>
        <w:spacing w:after="40"/>
      </w:pPr>
      <w:r>
        <w:t>Белстат. Интерактивная информационно-аналитическая система распространения официальной статистической информации. URL: https://dataportal.belstat.gov.by/</w:t>
      </w:r>
    </w:p>
    <w:sectPr w:rsidR="00FC693F" w:rsidRPr="0006063C" w:rsidSect="00034616">
      <w:footerReference w:type="default" r:id="rId9"/>
      <w:pgSz w:w="12240" w:h="15840"/>
      <w:pgMar w:top="964" w:right="79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Методика проверки рынка через платежеспособность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0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