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Методика анализа пяти сил Портера</w:t>
        <w:br/>
        <w:t>для электронного бизнеса</w:t>
      </w:r>
    </w:p>
    <w:p>
      <w:pPr>
        <w:jc w:val="center"/>
      </w:pPr>
      <w:r>
        <w:rPr>
          <w:i/>
          <w:color w:val="595959"/>
          <w:sz w:val="24"/>
        </w:rPr>
        <w:t>Адаптированная аналитическая процедура оценки конкурентного давления, цифровых барьеров, платформенной зависимости и рыночной привлекательности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55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Параметр</w:t>
            </w:r>
          </w:p>
        </w:tc>
        <w:tc>
          <w:tcPr>
            <w:tcW w:type="dxa" w:w="6520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55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Назначение документа</w:t>
            </w:r>
          </w:p>
        </w:tc>
        <w:tc>
          <w:tcPr>
            <w:tcW w:type="dxa" w:w="652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Дать последовательную методику применения пяти сил Портера к рынкам электронного бизнеса с учетом цифровых факторов конкуренции.</w:t>
            </w:r>
          </w:p>
        </w:tc>
      </w:tr>
      <w:tr>
        <w:tc>
          <w:tcPr>
            <w:tcW w:type="dxa" w:w="255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Объект анализа</w:t>
            </w:r>
          </w:p>
        </w:tc>
        <w:tc>
          <w:tcPr>
            <w:tcW w:type="dxa" w:w="6520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Интернет-магазины, платформы услуг, цифровые сервисы, маркетплейсы, рекламные и контентные проекты, онлайн-образование, B2B-услуги, реализуемые через цифровые каналы.</w:t>
            </w:r>
          </w:p>
        </w:tc>
      </w:tr>
      <w:tr>
        <w:tc>
          <w:tcPr>
            <w:tcW w:type="dxa" w:w="255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Место в исследовании рынка</w:t>
            </w:r>
          </w:p>
        </w:tc>
        <w:tc>
          <w:tcPr>
            <w:tcW w:type="dxa" w:w="652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применяется после фиксации границ рынка и предварительной оценки спроса, но до окончательного вывода о привлекательности рынка и стратегии входа.</w:t>
            </w:r>
          </w:p>
        </w:tc>
      </w:tr>
      <w:tr>
        <w:tc>
          <w:tcPr>
            <w:tcW w:type="dxa" w:w="255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Итоговый результат</w:t>
            </w:r>
          </w:p>
        </w:tc>
        <w:tc>
          <w:tcPr>
            <w:tcW w:type="dxa" w:w="6520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Оценка силы конкурентного давления, основных рисков входа, зависимости от цифровой инфраструктуры и условий достижения устойчивой позиции на рынке.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Методическое правило. </w:t>
            </w:r>
            <w:r>
              <w:rPr>
                <w:rFonts w:ascii="Times New Roman" w:hAnsi="Times New Roman" w:eastAsia="Times New Roman"/>
                <w:sz w:val="18"/>
              </w:rPr>
              <w:t>Пять сил Портера в электронном бизнесе следует использовать не как изолированную схему, а как расширенную процедуру анализа рыночной привлекательности. Классические силы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зависимостью.</w:t>
            </w:r>
          </w:p>
        </w:tc>
      </w:tr>
    </w:tbl>
    <w:p/>
    <w:p>
      <w:pPr>
        <w:pStyle w:val="Heading1"/>
      </w:pPr>
      <w:r>
        <w:t>1. Назначение методики</w:t>
      </w:r>
    </w:p>
    <w:p>
      <w:r>
        <w:t>Методика предназначена для оценки конкурентной среды электронного бизнеса. Она помогает ответить на вопрос, насколько выбранный рынок привлекателен для входа, какие силы ограничивают прибыльность, какие участники контролируют доступ к клиенту и какие цифровые факторы могут усиливать или ослаблять позицию нового бизнеса.</w:t>
      </w:r>
    </w:p>
    <w:p>
      <w:r>
        <w:t>В классической логике Портера конкуренция не сводится к борьбе между прямыми конкурентами. На прибыльность рынка воздействуют также покупатели, поставщики, новые участники и заменители. Для электронного бизнеса эта логика сохраняет значение, однако требует расширения, поскольку цифровая среда добавляет новые источники рыночной власти: контроль трафика, данных, платформ, рейтингов, интерфейсов, алгоритмов и сетевых эффектов.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311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Задача методики</w:t>
            </w:r>
          </w:p>
        </w:tc>
        <w:tc>
          <w:tcPr>
            <w:tcW w:type="dxa" w:w="5953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Практический 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Определить интенсивность конкуренции</w:t>
            </w:r>
          </w:p>
        </w:tc>
        <w:tc>
          <w:tcPr>
            <w:tcW w:type="dxa" w:w="595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Понять, насколько сложно новому бизнесу занять позицию среди действующих цифровых игроков.</w:t>
            </w:r>
          </w:p>
        </w:tc>
      </w:tr>
      <w:tr>
        <w:tc>
          <w:tcPr>
            <w:tcW w:type="dxa" w:w="311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 угрозу входа новых участников</w:t>
            </w:r>
          </w:p>
        </w:tc>
        <w:tc>
          <w:tcPr>
            <w:tcW w:type="dxa" w:w="595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Понять, легко ли другие предприниматели могут повторить предложение и отобрать клиентов.</w:t>
            </w:r>
          </w:p>
        </w:tc>
      </w:tr>
      <w:tr>
        <w:tc>
          <w:tcPr>
            <w:tcW w:type="dxa" w:w="311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 силу покупателей</w:t>
            </w:r>
          </w:p>
        </w:tc>
        <w:tc>
          <w:tcPr>
            <w:tcW w:type="dxa" w:w="595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Понять, может ли клиент давить на цену, качество, скорость и условия обслуживания.</w:t>
            </w:r>
          </w:p>
        </w:tc>
      </w:tr>
      <w:tr>
        <w:tc>
          <w:tcPr>
            <w:tcW w:type="dxa" w:w="311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 силу поставщиков</w:t>
            </w:r>
          </w:p>
        </w:tc>
        <w:tc>
          <w:tcPr>
            <w:tcW w:type="dxa" w:w="595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Понять, кто контролирует инфраструктуру, трафик, данные, платежи, рекламу и ключевые компетенции.</w:t>
            </w:r>
          </w:p>
        </w:tc>
      </w:tr>
      <w:tr>
        <w:tc>
          <w:tcPr>
            <w:tcW w:type="dxa" w:w="311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Выявить заменители</w:t>
            </w:r>
          </w:p>
        </w:tc>
        <w:tc>
          <w:tcPr>
            <w:tcW w:type="dxa" w:w="595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Определить альтернативные способы решения клиентской задачи, включая автоматизацию, платформы и самостоятельное решение.</w:t>
            </w:r>
          </w:p>
        </w:tc>
      </w:tr>
      <w:tr>
        <w:tc>
          <w:tcPr>
            <w:tcW w:type="dxa" w:w="311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Добавить цифровые факторы</w:t>
            </w:r>
          </w:p>
        </w:tc>
        <w:tc>
          <w:tcPr>
            <w:tcW w:type="dxa" w:w="595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Проверить влияние сетевых эффектов, данных, алгоритмов, издержек переключения и платформенной зависимости.</w:t>
            </w:r>
          </w:p>
        </w:tc>
      </w:tr>
    </w:tbl>
    <w:p/>
    <w:p>
      <w:pPr>
        <w:pStyle w:val="Heading1"/>
      </w:pPr>
      <w:r>
        <w:t>2. Когда применять методику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425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Ситуация</w:t>
            </w:r>
          </w:p>
        </w:tc>
        <w:tc>
          <w:tcPr>
            <w:tcW w:type="dxa" w:w="4819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Целесообразность применения</w:t>
            </w:r>
          </w:p>
        </w:tc>
      </w:tr>
      <w:tr>
        <w:tc>
          <w:tcPr>
            <w:tcW w:type="dxa" w:w="425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Выбрана бизнес-идея, но не ясна конкурентная среда</w:t>
            </w:r>
          </w:p>
        </w:tc>
        <w:tc>
          <w:tcPr>
            <w:tcW w:type="dxa" w:w="4819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помогает выявить прямых и косвенных конкурентов, поставщиков, заменители и барьеры входа.</w:t>
            </w:r>
          </w:p>
        </w:tc>
      </w:tr>
      <w:tr>
        <w:tc>
          <w:tcPr>
            <w:tcW w:type="dxa" w:w="425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Проведена оценка поискового спроса</w:t>
            </w:r>
          </w:p>
        </w:tc>
        <w:tc>
          <w:tcPr>
            <w:tcW w:type="dxa" w:w="4819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показывает, превращается ли интерес аудитории в привлекательный рынок или конкуренция делает вход затруднительным.</w:t>
            </w:r>
          </w:p>
        </w:tc>
      </w:tr>
      <w:tr>
        <w:tc>
          <w:tcPr>
            <w:tcW w:type="dxa" w:w="425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Планируется запуск интернет-магазина или цифровой услуги</w:t>
            </w:r>
          </w:p>
        </w:tc>
        <w:tc>
          <w:tcPr>
            <w:tcW w:type="dxa" w:w="4819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помогает оценить давление маркетплейсов, агрегаторов, рекламных платформ и поисковых систем.</w:t>
            </w:r>
          </w:p>
        </w:tc>
      </w:tr>
      <w:tr>
        <w:tc>
          <w:tcPr>
            <w:tcW w:type="dxa" w:w="425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Бизнес зависит от одной платформы или одного канала привлечения</w:t>
            </w:r>
          </w:p>
        </w:tc>
        <w:tc>
          <w:tcPr>
            <w:tcW w:type="dxa" w:w="4819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показывает степень платформенного риска и необходимость диверсификации каналов.</w:t>
            </w:r>
          </w:p>
        </w:tc>
      </w:tr>
      <w:tr>
        <w:tc>
          <w:tcPr>
            <w:tcW w:type="dxa" w:w="425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Нужно сравнить несколько бизнес-идей</w:t>
            </w:r>
          </w:p>
        </w:tc>
        <w:tc>
          <w:tcPr>
            <w:tcW w:type="dxa" w:w="4819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позволяет оценить, где ниже конкурентное давление и выше возможность получить устойчивую маржу.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Место в общей последовательности. </w:t>
            </w:r>
            <w:r>
              <w:rPr>
                <w:rFonts w:ascii="Times New Roman" w:hAnsi="Times New Roman" w:eastAsia="Times New Roman"/>
                <w:sz w:val="18"/>
              </w:rPr>
              <w:t>Сначала фиксируются границы рынка, затем проверяется спрос и объем рынка, после этого применяется адаптированный анализ пяти сил Портера. Только после этого корректно формулировать вывод о привлекательности рынка и стратегии входа.</w:t>
            </w:r>
          </w:p>
        </w:tc>
      </w:tr>
    </w:tbl>
    <w:p/>
    <w:p>
      <w:pPr>
        <w:pStyle w:val="Heading1"/>
      </w:pPr>
      <w:r>
        <w:t>3. Исходные данные для анализа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Группа данных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собрать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Возможные источники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Границы рынка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Продуктовые, клиентские, географические, канальные и семантические границы.</w:t>
            </w:r>
          </w:p>
        </w:tc>
        <w:tc>
          <w:tcPr>
            <w:tcW w:type="dxa" w:w="368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Ранее подготовленная методика фиксации границ рынка; поисковая выдача; сайты конкурентов; каталоги.</w:t>
            </w:r>
          </w:p>
        </w:tc>
      </w:tr>
      <w:tr>
        <w:tc>
          <w:tcPr>
            <w:tcW w:type="dxa" w:w="198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Спрос аудитории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Поисковые запросы, динамика интереса, сезонность, коммерческие формулировки.</w:t>
            </w:r>
          </w:p>
        </w:tc>
        <w:tc>
          <w:tcPr>
            <w:tcW w:type="dxa" w:w="368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Google Trends, Яндекс Вордстат, рекламные кабинеты, внутренние данные сайта.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Конкуренты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Список прямых и частичных конкурентов, их сайты, цены, трафик, позиционирование, отзывы.</w:t>
            </w:r>
          </w:p>
        </w:tc>
        <w:tc>
          <w:tcPr>
            <w:tcW w:type="dxa" w:w="368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 Google/Яндекс, Similarweb, карты, каталоги, социальные сети, маркетплейсы.</w:t>
            </w:r>
          </w:p>
        </w:tc>
      </w:tr>
      <w:tr>
        <w:tc>
          <w:tcPr>
            <w:tcW w:type="dxa" w:w="198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Каналы привлечения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Поиск, платная реклама, социальные сети, прямые заходы, рекомендации, платформы.</w:t>
            </w:r>
          </w:p>
        </w:tc>
        <w:tc>
          <w:tcPr>
            <w:tcW w:type="dxa" w:w="368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Similarweb, счетчики аналитики, рекламные кабинеты, открытые данные конкурентов.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Поставщики и инфраструктура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Платформы, платежные сервисы, облака, рекламные системы, разработчики, логистика, поставщики данных.</w:t>
            </w:r>
          </w:p>
        </w:tc>
        <w:tc>
          <w:tcPr>
            <w:tcW w:type="dxa" w:w="368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Сайты сервисов, условия платформ, тарифы, договоры, публичные правила.</w:t>
            </w:r>
          </w:p>
        </w:tc>
      </w:tr>
      <w:tr>
        <w:tc>
          <w:tcPr>
            <w:tcW w:type="dxa" w:w="198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Заменители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Альтернативные способы решения той же задачи.</w:t>
            </w:r>
          </w:p>
        </w:tc>
        <w:tc>
          <w:tcPr>
            <w:tcW w:type="dxa" w:w="368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Поисковая выдача, форумы, платформы, образовательные сервисы, автоматизированные инструменты, искусственный интеллект.</w:t>
            </w:r>
          </w:p>
        </w:tc>
      </w:tr>
    </w:tbl>
    <w:p/>
    <w:p>
      <w:pPr>
        <w:pStyle w:val="Heading1"/>
      </w:pPr>
      <w:r>
        <w:t>4. Общая структура адаптированной модели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94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Блок анализа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Классическая логика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Цифровое уточнение</w:t>
            </w:r>
          </w:p>
        </w:tc>
      </w:tr>
      <w:tr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1. Конкуренция между существующими игроками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Соперничество между компаниями внутри рынка.</w:t>
            </w:r>
          </w:p>
        </w:tc>
        <w:tc>
          <w:tcPr>
            <w:tcW w:type="dxa" w:w="357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Борьба за трафик, поисковую видимость, рейтинги, отзывы, данные, скорость сервиса и удержание.</w:t>
            </w:r>
          </w:p>
        </w:tc>
      </w:tr>
      <w:tr>
        <w:tc>
          <w:tcPr>
            <w:tcW w:type="dxa" w:w="249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2. Угроза новых участников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Вероятность входа новых компаний и снижения прибыльности.</w:t>
            </w:r>
          </w:p>
        </w:tc>
        <w:tc>
          <w:tcPr>
            <w:tcW w:type="dxa" w:w="357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правилами.</w:t>
            </w:r>
          </w:p>
        </w:tc>
      </w:tr>
      <w:tr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3. Сила покупателей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Способность клиентов давить на цену и условия.</w:t>
            </w:r>
          </w:p>
        </w:tc>
        <w:tc>
          <w:tcPr>
            <w:tcW w:type="dxa" w:w="357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Покупатель легко сравнивает предложения, отзывы и цены, но может быть связан подпиской, данными, бонусами или интеграциями.</w:t>
            </w:r>
          </w:p>
        </w:tc>
      </w:tr>
      <w:tr>
        <w:tc>
          <w:tcPr>
            <w:tcW w:type="dxa" w:w="249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4. Сила поставщиков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Способность поставщиков влиять на стоимость и условия работы.</w:t>
            </w:r>
          </w:p>
        </w:tc>
        <w:tc>
          <w:tcPr>
            <w:tcW w:type="dxa" w:w="357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Поставщиками становятся рекламные платформы, поисковые системы, маркетплейсы, облака, платежные сервисы и владельцы данных.</w:t>
            </w:r>
          </w:p>
        </w:tc>
      </w:tr>
      <w:tr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5. Угроза заменителей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Риск, что клиент решит задачу другим продуктом.</w:t>
            </w:r>
          </w:p>
        </w:tc>
        <w:tc>
          <w:tcPr>
            <w:tcW w:type="dxa" w:w="357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инструмент.</w:t>
            </w:r>
          </w:p>
        </w:tc>
      </w:tr>
      <w:tr>
        <w:tc>
          <w:tcPr>
            <w:tcW w:type="dxa" w:w="249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Дополнительные цифровые факторы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 классической модели не выделяются отдельно.</w:t>
            </w:r>
          </w:p>
        </w:tc>
        <w:tc>
          <w:tcPr>
            <w:tcW w:type="dxa" w:w="357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Сетевые эффекты, данные, алгоритмическая видимость, издержки переключения, экосистемная зависимость.</w:t>
            </w:r>
          </w:p>
        </w:tc>
      </w:tr>
    </w:tbl>
    <w:p/>
    <w:p>
      <w:pPr>
        <w:pStyle w:val="Heading1"/>
      </w:pPr>
      <w:r>
        <w:t>5. Пошаговый алгоритм применения</w:t>
      </w:r>
    </w:p>
    <w:p>
      <w:pPr>
        <w:ind w:left="312" w:hanging="227"/>
      </w:pPr>
      <w:r>
        <w:rPr>
          <w:b/>
        </w:rPr>
        <w:t xml:space="preserve">1. </w:t>
      </w:r>
      <w:r>
        <w:t>Зафиксировать анализируемый рынок: продуктовые, клиентские, географические и канальные границы.</w:t>
      </w:r>
    </w:p>
    <w:p>
      <w:pPr>
        <w:ind w:left="312" w:hanging="227"/>
      </w:pPr>
      <w:r>
        <w:rPr>
          <w:b/>
        </w:rPr>
        <w:t xml:space="preserve">2. </w:t>
      </w:r>
      <w:r>
        <w:t>Составить список прямых конкурентов, частичных конкурентов и цифровых альтернатив.</w:t>
      </w:r>
    </w:p>
    <w:p>
      <w:pPr>
        <w:ind w:left="312" w:hanging="227"/>
      </w:pPr>
      <w:r>
        <w:rPr>
          <w:b/>
        </w:rPr>
        <w:t xml:space="preserve">3. </w:t>
      </w:r>
      <w:r>
        <w:t>Оценить каждую из пяти сил по единой шкале: низкое, среднее или высокое давление.</w:t>
      </w:r>
    </w:p>
    <w:p>
      <w:pPr>
        <w:ind w:left="312" w:hanging="227"/>
      </w:pPr>
      <w:r>
        <w:rPr>
          <w:b/>
        </w:rPr>
        <w:t xml:space="preserve">4. </w:t>
      </w:r>
      <w:r>
        <w:t>Для каждой силы собрать подтверждающие данные: сайты, трафик, цены, отзывы, каналы, платформы, условия поставщиков.</w:t>
      </w:r>
    </w:p>
    <w:p>
      <w:pPr>
        <w:ind w:left="312" w:hanging="227"/>
      </w:pPr>
      <w:r>
        <w:rPr>
          <w:b/>
        </w:rPr>
        <w:t xml:space="preserve">5. </w:t>
      </w:r>
      <w:r>
        <w:t>Отдельно оценить цифровые усилители: данные, сетевые эффекты, алгоритмы, платформенная зависимость, издержки переключения.</w:t>
      </w:r>
    </w:p>
    <w:p>
      <w:pPr>
        <w:ind w:left="312" w:hanging="227"/>
      </w:pPr>
      <w:r>
        <w:rPr>
          <w:b/>
        </w:rPr>
        <w:t xml:space="preserve">6. </w:t>
      </w:r>
      <w:r>
        <w:t>Свести оценки в единую матрицу конкурентного давления.</w:t>
      </w:r>
    </w:p>
    <w:p>
      <w:pPr>
        <w:ind w:left="312" w:hanging="227"/>
      </w:pPr>
      <w:r>
        <w:rPr>
          <w:b/>
        </w:rPr>
        <w:t xml:space="preserve">7. </w:t>
      </w:r>
      <w:r>
        <w:t>Сформулировать вывод о привлекательности рынка: высокий, умеренный или низкий уровень привлекательности.</w:t>
      </w:r>
    </w:p>
    <w:p>
      <w:pPr>
        <w:ind w:left="312" w:hanging="227"/>
      </w:pPr>
      <w:r>
        <w:rPr>
          <w:b/>
        </w:rPr>
        <w:t xml:space="preserve">8. </w:t>
      </w:r>
      <w:r>
        <w:t>Определить стратегические последствия: где снижать зависимость, где искать дифференциацию, какие каналы развивать, какие риски проверять дополнительно.</w:t>
      </w:r>
    </w:p>
    <w:p>
      <w:pPr>
        <w:pStyle w:val="Heading1"/>
      </w:pPr>
      <w:r>
        <w:t>6. Сила 1. Конкуренция между существующими игроками</w:t>
      </w:r>
    </w:p>
    <w:p>
      <w:r>
        <w:t>В электронном бизнесе конкурентное давление определяется не только количеством компаний. Важны их цифровая видимость, трафик, доверие, репутация, способность удерживать клиентов и доступ к ключевым каналам привлечения.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анализировать</w:t>
            </w:r>
          </w:p>
        </w:tc>
        <w:tc>
          <w:tcPr>
            <w:tcW w:type="dxa" w:w="379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Показатели</w:t>
            </w:r>
          </w:p>
        </w:tc>
        <w:tc>
          <w:tcPr>
            <w:tcW w:type="dxa" w:w="289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Источники данных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Количество конкурентов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Число видимых игроков в поиске, каталогах, маркетплейсах, социальных сетях.</w:t>
            </w:r>
          </w:p>
        </w:tc>
        <w:tc>
          <w:tcPr>
            <w:tcW w:type="dxa" w:w="289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Google, Яндекс, карты, каталоги, маркетплейсы, социальные сети.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Цифровая видимость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Позиции в поисковой выдаче, наличие контента, рекламная активность.</w:t>
            </w:r>
          </w:p>
        </w:tc>
        <w:tc>
          <w:tcPr>
            <w:tcW w:type="dxa" w:w="289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Поисковая выдача, рекламные объявления, SEO-сервисы, Similarweb.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Трафик конкурентов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Оценочная посещаемость, динамика посещений, доля прямого и поискового трафика.</w:t>
            </w:r>
          </w:p>
        </w:tc>
        <w:tc>
          <w:tcPr>
            <w:tcW w:type="dxa" w:w="289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Similarweb, открытая статистика, данные рекламных кабинетов при наличии доступа.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Цены и коммерческие условия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Средний чек, тарифы, подписки, скидки, комиссии, условия оплаты.</w:t>
            </w:r>
          </w:p>
        </w:tc>
        <w:tc>
          <w:tcPr>
            <w:tcW w:type="dxa" w:w="289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Сайты конкурентов, прайсы, коммерческие предложения.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Доверие и репутация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Отзывы, рейтинги, кейсы, количество подписчиков, публичные рекомендации.</w:t>
            </w:r>
          </w:p>
        </w:tc>
        <w:tc>
          <w:tcPr>
            <w:tcW w:type="dxa" w:w="289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Отзывы, карты, социальные сети, отраслевые площадки.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Удержание клиента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Подписки, личные кабинеты, бонусы, программы лояльности, повторные покупки.</w:t>
            </w:r>
          </w:p>
        </w:tc>
        <w:tc>
          <w:tcPr>
            <w:tcW w:type="dxa" w:w="289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Сайты конкурентов, пользовательские сценарии, публичные условия.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Уровень давления</w:t>
            </w:r>
          </w:p>
        </w:tc>
        <w:tc>
          <w:tcPr>
            <w:tcW w:type="dxa" w:w="7087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Низкое</w:t>
            </w:r>
          </w:p>
        </w:tc>
        <w:tc>
          <w:tcPr>
            <w:tcW w:type="dxa" w:w="7087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Немного конкурентов, слабая цифровая видимость, низкая рекламная активность, мало профессиональных предложений.</w:t>
            </w:r>
          </w:p>
        </w:tc>
      </w:tr>
      <w:tr>
        <w:tc>
          <w:tcPr>
            <w:tcW w:type="dxa" w:w="198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Среднее</w:t>
            </w:r>
          </w:p>
        </w:tc>
        <w:tc>
          <w:tcPr>
            <w:tcW w:type="dxa" w:w="7087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несколько сопоставимых игроков, но рынок не занят полностью; видимость распределена между несколькими компаниями.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Высокое</w:t>
            </w:r>
          </w:p>
        </w:tc>
        <w:tc>
          <w:tcPr>
            <w:tcW w:type="dxa" w:w="7087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Много конкурентов, высокая рекламная активность, сильные бренды, насыщенная поисковая выдача, трудность выделения предложения.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Формулировка вывода. </w:t>
            </w:r>
            <w:r>
              <w:rPr>
                <w:rFonts w:ascii="Times New Roman" w:hAnsi="Times New Roman" w:eastAsia="Times New Roman"/>
                <w:sz w:val="18"/>
              </w:rPr>
              <w:t>Конкуренция между существующими игроками оценивается как [низкая/средняя/высокая], поскольку на рынке присутствуют [указать типы конкурентов], которые обладают [трафиком/рейтингами/брендом/ценовым преимуществом/контентной видимостью].</w:t>
            </w:r>
          </w:p>
        </w:tc>
      </w:tr>
    </w:tbl>
    <w:p/>
    <w:p>
      <w:pPr>
        <w:pStyle w:val="Heading1"/>
      </w:pPr>
      <w:r>
        <w:t>7. Сила 2. Угроза новых участников</w:t>
      </w:r>
    </w:p>
    <w:p>
      <w:r>
        <w:t>В электронном бизнесе вход часто кажется простым, поскольку можно быстро создать сайт, страницу в социальной сети или магазин на платформе. Но реальный вход ограничен стоимостью привлечения клиентов, доверием, рейтингами, отзывами, технической инфраструктурой и правилами платформ.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Барьер входа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Как проявляется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Как оценивать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Трафик и реклама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Новому игроку нужно покупать или органически формировать поток посетителей.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Стоимость клика, конкуренция в рекламе, сложность поискового продвижения.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Доверие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не всегда готов покупать у неизвестного поставщика.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Отзывы, кейсы, рейтинг, опыт, публичность бренда.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 и аналитика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Лидеры лучше понимают аудиторию и оптимизируют предложения.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Наличие клиентской базы, накопленных кампаний, истории взаимодействий.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Технологическая инфраструктура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Нужны сайт, платформа, личный кабинет, оплата, аналитика, поддержка.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Стоимость разработки, сложность интеграций, эксплуатационные расходы.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Платформенные правила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Маркетплейсы, социальные сети и рекламные системы могут менять условия доступа.</w:t>
            </w:r>
          </w:p>
        </w:tc>
        <w:tc>
          <w:tcPr>
            <w:tcW w:type="dxa" w:w="340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Комиссии, модерация, требования к продавцам, риск блокировок.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Сетевые эффекты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Ценность сервиса растет с числом пользователей или продавцов.</w:t>
            </w:r>
          </w:p>
        </w:tc>
        <w:tc>
          <w:tcPr>
            <w:tcW w:type="dxa" w:w="340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Число участников, отзывы, каталог предложений, активность сообщества.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Уровень угрозы</w:t>
            </w:r>
          </w:p>
        </w:tc>
        <w:tc>
          <w:tcPr>
            <w:tcW w:type="dxa" w:w="7087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Низкая</w:t>
            </w:r>
          </w:p>
        </w:tc>
        <w:tc>
          <w:tcPr>
            <w:tcW w:type="dxa" w:w="7087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Вход требует капитала, доверия, лицензий, сложных технологий, уникальных данных или сильной инфраструктуры.</w:t>
            </w:r>
          </w:p>
        </w:tc>
      </w:tr>
      <w:tr>
        <w:tc>
          <w:tcPr>
            <w:tcW w:type="dxa" w:w="198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Средняя</w:t>
            </w:r>
          </w:p>
        </w:tc>
        <w:tc>
          <w:tcPr>
            <w:tcW w:type="dxa" w:w="7087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Войти можно, но для достижения видимости нужны инвестиции в рекламу, контент, репутацию и продукт.</w:t>
            </w:r>
          </w:p>
        </w:tc>
      </w:tr>
      <w:tr>
        <w:tc>
          <w:tcPr>
            <w:tcW w:type="dxa" w:w="198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</w:t>
            </w:r>
          </w:p>
        </w:tc>
        <w:tc>
          <w:tcPr>
            <w:tcW w:type="dxa" w:w="7087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Предложение легко копируется, входные затраты низкие, клиенты быстро переключаются, барьеры доверия умеренные.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Формулировка вывода. </w:t>
            </w:r>
            <w:r>
              <w:rPr>
                <w:rFonts w:ascii="Times New Roman" w:hAnsi="Times New Roman" w:eastAsia="Times New Roman"/>
                <w:sz w:val="18"/>
              </w:rPr>
              <w:t>Угроза новых участников оценивается как [низкая/средняя/высокая], потому что формальный запуск бизнеса требует [указать ресурсы], а достижение реального потока клиентов зависит от [трафика/доверия/данных/платформ/отзывов].</w:t>
            </w:r>
          </w:p>
        </w:tc>
      </w:tr>
    </w:tbl>
    <w:p/>
    <w:p>
      <w:pPr>
        <w:pStyle w:val="Heading1"/>
      </w:pPr>
      <w:r>
        <w:t>8. Сила 3. Сила покупателей</w:t>
      </w:r>
    </w:p>
    <w:p>
      <w:r>
        <w:t>Сила покупателей в электронном бизнесе часто возрастает, потому что клиент может быстро сравнивать цены, отзывы, условия и альтернативы. Однако она снижается, если продукт требует доверия, интеграции, долгосрочного сопровождения или накопления пользовательских данных.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Фактор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проверять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Интерпретация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Сравнимость предложений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Легко ли клиенту сравнить цены, тарифы, отзывы и условия.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Чем проще сравнение, тем выше сила покупателя.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Количество альтернатив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Сколько поставщиков доступно в поиске и на платформах.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Чем больше альтернатив, тем выше давление на цену.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Издержки переключения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Теряет ли клиент данные, настройки, бонусы, историю заказов, интеграции.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Чем выше издержки переключения, тем ниже сила покупателя.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Чувствительность к цене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Выбирает ли клиент минимальную цену или готов платить за качество и доверие.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 ценовая чувствительность усиливает покупателя.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Значимость качества и результата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Можно ли измерить эффект услуги или товара.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Если результат сложен и важен, клиент выбирает не только по цене.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Повторяемость покупки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Разовая покупка или долгосрочное обслуживание.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Повторяемость повышает ценность удержания и снижает риск ценовой конкуренции.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Уровень давления покупателей</w:t>
            </w:r>
          </w:p>
        </w:tc>
        <w:tc>
          <w:tcPr>
            <w:tcW w:type="dxa" w:w="6690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Низкое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Мало альтернатив, высокая доверительная составляющая, сложное переключение, высокая ценность результата.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Среднее</w:t>
            </w:r>
          </w:p>
        </w:tc>
        <w:tc>
          <w:tcPr>
            <w:tcW w:type="dxa" w:w="6690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сравнивает предложения, но учитывает качество, кейсы, надежность и долгосрочный эффект.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Высокое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Много однотипных предложений, прозрачные цены, низкие издержки переключения, высокая чувствительность к цене.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Формулировка вывода. </w:t>
            </w:r>
            <w:r>
              <w:rPr>
                <w:rFonts w:ascii="Times New Roman" w:hAnsi="Times New Roman" w:eastAsia="Times New Roman"/>
                <w:sz w:val="18"/>
              </w:rPr>
              <w:t>Сила покупателей оценивается как [низкая/средняя/высокая], поскольку потенциальные клиенты могут [легко/частично/затрудненно] сравнивать предложения, имеют [много/несколько/мало] альтернатив и обладают [низкими/умеренными/высокими] издержками переключения.</w:t>
            </w:r>
          </w:p>
        </w:tc>
      </w:tr>
    </w:tbl>
    <w:p/>
    <w:p>
      <w:pPr>
        <w:pStyle w:val="Heading1"/>
      </w:pPr>
      <w:r>
        <w:t>9. Сила 4. Сила поставщиков</w:t>
      </w:r>
    </w:p>
    <w:p>
      <w:r>
        <w:t>В электронном бизнесе поставщики - это не только производители товаров. Критически важными поставщиками становятся владельцы цифровой инфраструктуры, рекламных каналов, платежных сервисов, облачных решений, данных, логистики и профессиональных компетенций.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Тип поставщика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Примеры</w:t>
            </w:r>
          </w:p>
        </w:tc>
        <w:tc>
          <w:tcPr>
            <w:tcW w:type="dxa" w:w="379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Риск для бизнеса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Поставщики трафика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Поисковые системы, рекламные платформы, социальные сети.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Рост стоимости привлечения, изменение алгоритмов, зависимость от одного канала.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Платформы продаж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Маркетплейсы, агрегаторы, платформы услуг.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Комиссии, ранжирование, правила модерации, риск потери доступа к клиенту.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Технологическая инфраструктура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Хостинг, облачные сервисы, конструкторы сайтов, аналитика.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Рост затрат, техническая зависимость, перенос данных.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Платежная инфраструктура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Банки, платежные агрегаторы, платежные шлюзы.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Комиссии, ограничения платежей, требования безопасности.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Поставщики данных</w:t>
            </w:r>
          </w:p>
        </w:tc>
        <w:tc>
          <w:tcPr>
            <w:tcW w:type="dxa" w:w="300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Аналитические системы, базы данных, рекламные кабинеты.</w:t>
            </w:r>
          </w:p>
        </w:tc>
        <w:tc>
          <w:tcPr>
            <w:tcW w:type="dxa" w:w="379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Ограничение доступа к данным, изменение правил обработки.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Профессиональные ресурсы</w:t>
            </w:r>
          </w:p>
        </w:tc>
        <w:tc>
          <w:tcPr>
            <w:tcW w:type="dxa" w:w="300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Разработчики, дизайнеры, маркетологи, специалисты поддержки.</w:t>
            </w:r>
          </w:p>
        </w:tc>
        <w:tc>
          <w:tcPr>
            <w:tcW w:type="dxa" w:w="379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Дефицит компетенций, высокая стоимость специалистов.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Уровень давления поставщиков</w:t>
            </w:r>
          </w:p>
        </w:tc>
        <w:tc>
          <w:tcPr>
            <w:tcW w:type="dxa" w:w="6690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Низкое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несколько альтернативных поставщиков, каналы диверсифицированы, смена сервиса не критична.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Среднее</w:t>
            </w:r>
          </w:p>
        </w:tc>
        <w:tc>
          <w:tcPr>
            <w:tcW w:type="dxa" w:w="6690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зависимость от отдельных сервисов, но возможны замены без разрушения бизнес-модели.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Высокое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Ключевой трафик, продажи, платежи или данные контролируются одной платформой или малым числом поставщиков.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Формулировка вывода. </w:t>
            </w:r>
            <w:r>
              <w:rPr>
                <w:rFonts w:ascii="Times New Roman" w:hAnsi="Times New Roman" w:eastAsia="Times New Roman"/>
                <w:sz w:val="18"/>
              </w:rPr>
              <w:t>Сила поставщиков оценивается как [низкая/средняя/высокая], поскольку бизнес зависит от [указать ключевые поставщики], которые контролируют [трафик/платежи/данные/технологии/логистику/видимость].</w:t>
            </w:r>
          </w:p>
        </w:tc>
      </w:tr>
    </w:tbl>
    <w:p/>
    <w:p>
      <w:pPr>
        <w:pStyle w:val="Heading1"/>
      </w:pPr>
      <w:r>
        <w:t>10. Сила 5. Угроза заменителей</w:t>
      </w:r>
    </w:p>
    <w:p>
      <w:r>
        <w:t>В цифровой среде заменитель - это любой иной способ решения той же клиентской задачи. Заменителем может быть не только аналогичная компания, но и самостоятельное решение, обучение, автоматизация, искусственный интеллект, платформа, шаблонный сервис или внутренний сотрудник клиента.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Тип заменителя</w:t>
            </w:r>
          </w:p>
        </w:tc>
        <w:tc>
          <w:tcPr>
            <w:tcW w:type="dxa" w:w="328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Пример для электронного бизнеса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Как оценивать угрозу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Прямой заменитель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Другой сайт, агентство, интернет-магазин, цифровой сервис.</w:t>
            </w:r>
          </w:p>
        </w:tc>
        <w:tc>
          <w:tcPr>
            <w:tcW w:type="dxa" w:w="351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Сравнить цену, качество, отзывы, скорость и видимость.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Частичный заменитель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Отдельный специалист вместо комплексного решения.</w:t>
            </w:r>
          </w:p>
        </w:tc>
        <w:tc>
          <w:tcPr>
            <w:tcW w:type="dxa" w:w="351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Оценить, какую часть ценности он закрывает.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Самостоятельное решение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сам настраивает рекламу, делает сайт, продвигает товар.</w:t>
            </w:r>
          </w:p>
        </w:tc>
        <w:tc>
          <w:tcPr>
            <w:tcW w:type="dxa" w:w="351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Проверить наличие инструкций, шаблонов, простых инструментов.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Автоматизированный сервис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Конструктор, сервис рассылок, автоматический рекламный кабинет.</w:t>
            </w:r>
          </w:p>
        </w:tc>
        <w:tc>
          <w:tcPr>
            <w:tcW w:type="dxa" w:w="351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 стоимость, удобство и достаточность результата.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Искусственный интеллект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Генерация текстов, объявлений, изображений, аналитики, консультаций.</w:t>
            </w:r>
          </w:p>
        </w:tc>
        <w:tc>
          <w:tcPr>
            <w:tcW w:type="dxa" w:w="351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Оценить, снижает ли ИИ потребность в услуге или меняет ее содержание.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Обучающий продукт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Курс, вебинар, методичка, наставничество.</w:t>
            </w:r>
          </w:p>
        </w:tc>
        <w:tc>
          <w:tcPr>
            <w:tcW w:type="dxa" w:w="351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Проверить, готов ли клиент учиться вместо покупки услуги.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Внутреннее решение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Штатный сотрудник или внутренняя команда.</w:t>
            </w:r>
          </w:p>
        </w:tc>
        <w:tc>
          <w:tcPr>
            <w:tcW w:type="dxa" w:w="351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Сравнить годовую стоимость и управляемость результата.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Уровень угрозы заменителей</w:t>
            </w:r>
          </w:p>
        </w:tc>
        <w:tc>
          <w:tcPr>
            <w:tcW w:type="dxa" w:w="6690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Признаки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Низкий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Задача сложна, требует экспертизы, доверия, ответственности и индивидуального сопровождения.</w:t>
            </w:r>
          </w:p>
        </w:tc>
      </w:tr>
      <w:tr>
        <w:tc>
          <w:tcPr>
            <w:tcW w:type="dxa" w:w="238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Средний</w:t>
            </w:r>
          </w:p>
        </w:tc>
        <w:tc>
          <w:tcPr>
            <w:tcW w:type="dxa" w:w="6690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частичные заменители, но они не полностью закрывают потребность клиента.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Высокий</w:t>
            </w:r>
          </w:p>
        </w:tc>
        <w:tc>
          <w:tcPr>
            <w:tcW w:type="dxa" w:w="6690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может быстро и дешево решить задачу через сервис, платформу, обучение, ИИ или самостоятельные действия.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Формулировка вывода. </w:t>
            </w:r>
            <w:r>
              <w:rPr>
                <w:rFonts w:ascii="Times New Roman" w:hAnsi="Times New Roman" w:eastAsia="Times New Roman"/>
                <w:sz w:val="18"/>
              </w:rPr>
              <w:t>Угроза заменителей оценивается как [низкая/средняя/высокая], поскольку клиент может решить ту же задачу через [указать альтернативы]. Наиболее опасными заменителями являются [указать], так как они предлагают [меньшую цену/простоту/скорость/автоматизацию/доступность].</w:t>
            </w:r>
          </w:p>
        </w:tc>
      </w:tr>
    </w:tbl>
    <w:p/>
    <w:p>
      <w:pPr>
        <w:pStyle w:val="Heading1"/>
      </w:pPr>
      <w:r>
        <w:t>11. Дополнительные цифровые факторы</w:t>
      </w:r>
    </w:p>
    <w:p>
      <w:r>
        <w:t>Для электронного бизнеса классические пять сил следует дополнить цифровыми факторами. Они не заменяют модель Портера, а уточняют источники рыночной власти и конкурентного давления.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Цифровой фактор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означает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проверить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Сетевые эффекты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Ценность сервиса растет с количеством пользователей, продавцов, исполнителей, отзывов или данных.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ли преимущество у крупных игроков за счет масштаба участников.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Накопленные данные улучшают персонализацию, рекламу, рекомендации, оценку спроса и удержание.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ли у лидеров уникальные клиентские данные или история транзакций.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Алгоритмическая видимость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Доступ к клиенту зависит от ранжирования, рекомендаций, рекламных аукционов и правил выдачи.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Зависит ли бизнес от поисковых систем, маркетплейсов и социальных сетей.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Платформенная зависимость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Платформа контролирует правила доступа, комиссии, рейтинг, модерацию, данные и контакт с клиентом.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Какая доля продаж или трафика проходит через одну платформу.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Издержки переключения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Клиенту неудобно уйти из-за данных, истории, бонусов, интеграций или привычного интерфейса.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Что теряет клиент при переходе к другому поставщику.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Экосистемная связанность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получает несколько услуг внутри единой цифровой среды.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Конкурирует ли новый бизнес с отдельной компанией или с экосистемой.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Фактор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Низкая выраженность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Средняя выраженность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Высокая выраженность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Сетевые эффекты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Масштаб пользователей почти не влияет на ценность.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Масштаб помогает, но не блокирует вход.</w:t>
            </w:r>
          </w:p>
        </w:tc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Лидеры становятся значительно сильнее за счет масштаба.</w:t>
            </w:r>
          </w:p>
        </w:tc>
      </w:tr>
      <w:tr>
        <w:tc>
          <w:tcPr>
            <w:tcW w:type="dxa" w:w="170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</w:t>
            </w:r>
          </w:p>
        </w:tc>
        <w:tc>
          <w:tcPr>
            <w:tcW w:type="dxa" w:w="243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 не дают существенного преимущества.</w:t>
            </w:r>
          </w:p>
        </w:tc>
        <w:tc>
          <w:tcPr>
            <w:tcW w:type="dxa" w:w="243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 помогают улучшать продажи и удержание.</w:t>
            </w:r>
          </w:p>
        </w:tc>
        <w:tc>
          <w:tcPr>
            <w:tcW w:type="dxa" w:w="249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Данные формируют устойчивое превосходство лидеров.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Алгоритмы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Трафик распределен по разным каналам.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Часть спроса зависит от ранжирования.</w:t>
            </w:r>
          </w:p>
        </w:tc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Доступ к клиенту почти полностью зависит от алгоритмов.</w:t>
            </w:r>
          </w:p>
        </w:tc>
      </w:tr>
      <w:tr>
        <w:tc>
          <w:tcPr>
            <w:tcW w:type="dxa" w:w="170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Платформы</w:t>
            </w:r>
          </w:p>
        </w:tc>
        <w:tc>
          <w:tcPr>
            <w:tcW w:type="dxa" w:w="243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Бизнес может работать автономно.</w:t>
            </w:r>
          </w:p>
        </w:tc>
        <w:tc>
          <w:tcPr>
            <w:tcW w:type="dxa" w:w="243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Платформы важны, но есть альтернативы.</w:t>
            </w:r>
          </w:p>
        </w:tc>
        <w:tc>
          <w:tcPr>
            <w:tcW w:type="dxa" w:w="2494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Платформа контролирует продажи, рейтинг или клиентские контакты.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Переключение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легко меняет поставщика.</w:t>
            </w:r>
          </w:p>
        </w:tc>
        <w:tc>
          <w:tcPr>
            <w:tcW w:type="dxa" w:w="243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Переключение возможно, но неудобно.</w:t>
            </w:r>
          </w:p>
        </w:tc>
        <w:tc>
          <w:tcPr>
            <w:tcW w:type="dxa" w:w="2494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привязан данными, подпиской, интеграциями или бонусами.</w:t>
            </w:r>
          </w:p>
        </w:tc>
      </w:tr>
    </w:tbl>
    <w:p/>
    <w:p>
      <w:pPr>
        <w:pStyle w:val="Heading1"/>
      </w:pPr>
      <w:r>
        <w:t>12. Единая матрица оценки пяти сил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4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Сила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Ключевые вопросы</w:t>
            </w:r>
          </w:p>
        </w:tc>
        <w:tc>
          <w:tcPr>
            <w:tcW w:type="dxa" w:w="136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Оценка: 1-5</w:t>
            </w:r>
          </w:p>
        </w:tc>
        <w:tc>
          <w:tcPr>
            <w:tcW w:type="dxa" w:w="204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Доказательства</w:t>
            </w:r>
          </w:p>
        </w:tc>
      </w:tr>
      <w:tr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Конкуренция игроков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Сколько конкурентов, насколько они видимы, какие у них трафик, цены, отзывы и каналы?</w:t>
            </w:r>
          </w:p>
        </w:tc>
        <w:tc>
          <w:tcPr>
            <w:tcW w:type="dxa" w:w="136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Сайты, выдача, Similarweb, отзывы, цены.</w:t>
            </w:r>
          </w:p>
        </w:tc>
      </w:tr>
      <w:tr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Угроза новых участников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Легко ли войти на рынок и получить клиентов?</w:t>
            </w:r>
          </w:p>
        </w:tc>
        <w:tc>
          <w:tcPr>
            <w:tcW w:type="dxa" w:w="136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Стоимость рекламы, барьеры доверия, технологии, платформенные правила.</w:t>
            </w:r>
          </w:p>
        </w:tc>
      </w:tr>
      <w:tr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Сила покупателей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Может ли клиент быстро сравнить предложения и переключиться?</w:t>
            </w:r>
          </w:p>
        </w:tc>
        <w:tc>
          <w:tcPr>
            <w:tcW w:type="dxa" w:w="136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Цены, отзывы, число альтернатив, издержки переключения.</w:t>
            </w:r>
          </w:p>
        </w:tc>
      </w:tr>
      <w:tr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Сила поставщиков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Кто контролирует трафик, данные, платежи, инфраструктуру и платформенный доступ?</w:t>
            </w:r>
          </w:p>
        </w:tc>
        <w:tc>
          <w:tcPr>
            <w:tcW w:type="dxa" w:w="136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Условия платформ, тарифы, доля трафика, комиссии.</w:t>
            </w:r>
          </w:p>
        </w:tc>
      </w:tr>
      <w:tr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Угроза заменителей</w:t>
            </w:r>
          </w:p>
        </w:tc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Какие альтернативы решают ту же задачу?</w:t>
            </w:r>
          </w:p>
        </w:tc>
        <w:tc>
          <w:tcPr>
            <w:tcW w:type="dxa" w:w="136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Сервисы, ИИ, обучение, самостоятельное решение, внутренние сотрудники.</w:t>
            </w:r>
          </w:p>
        </w:tc>
      </w:tr>
      <w:tr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Цифровые усилители</w:t>
            </w:r>
          </w:p>
        </w:tc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Есть ли сетевые эффекты, данные, алгоритмы, платформенная зависимость?</w:t>
            </w:r>
          </w:p>
        </w:tc>
        <w:tc>
          <w:tcPr>
            <w:tcW w:type="dxa" w:w="136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[ ]</w:t>
            </w:r>
          </w:p>
        </w:tc>
        <w:tc>
          <w:tcPr>
            <w:tcW w:type="dxa" w:w="204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Масштаб лидеров, данные, рейтинги, правила ранжирования.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Шкала оценки. </w:t>
            </w:r>
            <w:r>
              <w:rPr>
                <w:rFonts w:ascii="Times New Roman" w:hAnsi="Times New Roman" w:eastAsia="Times New Roman"/>
                <w:sz w:val="18"/>
              </w:rPr>
              <w:t>1 балл означает низкое давление, 3 балла - среднее давление, 5 баллов - высокое давление. Итоговая оценка привлекательности рынка должна учитывать не только сумму баллов, но и наиболее критичные силы. Например, высокая зависимость от одной платформы может быть стратегически важнее умеренного числа конкурентов.</w:t>
            </w:r>
          </w:p>
        </w:tc>
      </w:tr>
    </w:tbl>
    <w:p/>
    <w:p>
      <w:pPr>
        <w:pStyle w:val="Heading1"/>
      </w:pPr>
      <w:r>
        <w:t>13. Интерпретация итогового результата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Средняя оценка давления</w:t>
            </w:r>
          </w:p>
        </w:tc>
        <w:tc>
          <w:tcPr>
            <w:tcW w:type="dxa" w:w="323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Интерпретация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Управленческий вывод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1,0-2,0</w:t>
            </w:r>
          </w:p>
        </w:tc>
        <w:tc>
          <w:tcPr>
            <w:tcW w:type="dxa" w:w="323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Низкое конкурентное давление.</w:t>
            </w:r>
          </w:p>
        </w:tc>
        <w:tc>
          <w:tcPr>
            <w:tcW w:type="dxa" w:w="357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Рынок может быть привлекательным, но нужно проверить размер спроса и платежеспособность.</w:t>
            </w:r>
          </w:p>
        </w:tc>
      </w:tr>
      <w:tr>
        <w:tc>
          <w:tcPr>
            <w:tcW w:type="dxa" w:w="226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2,1-3,5</w:t>
            </w:r>
          </w:p>
        </w:tc>
        <w:tc>
          <w:tcPr>
            <w:tcW w:type="dxa" w:w="323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Умеренное конкурентное давление.</w:t>
            </w:r>
          </w:p>
        </w:tc>
        <w:tc>
          <w:tcPr>
            <w:tcW w:type="dxa" w:w="3572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Вход возможен при четкой специализации, выборе сегмента и отличимом коммерческом предложении.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3,6-5,0</w:t>
            </w:r>
          </w:p>
        </w:tc>
        <w:tc>
          <w:tcPr>
            <w:tcW w:type="dxa" w:w="323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Высокое конкурентное давление.</w:t>
            </w:r>
          </w:p>
        </w:tc>
        <w:tc>
          <w:tcPr>
            <w:tcW w:type="dxa" w:w="3572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Вход требует сильной дифференциации, бюджета на трафик, доверия, партнерств или узкой ниши.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Тип результата</w:t>
            </w:r>
          </w:p>
        </w:tc>
        <w:tc>
          <w:tcPr>
            <w:tcW w:type="dxa" w:w="306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означает</w:t>
            </w:r>
          </w:p>
        </w:tc>
        <w:tc>
          <w:tcPr>
            <w:tcW w:type="dxa" w:w="328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Что делать дальше</w:t>
            </w:r>
          </w:p>
        </w:tc>
      </w:tr>
      <w:tr>
        <w:tc>
          <w:tcPr>
            <w:tcW w:type="dxa" w:w="272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 конкуренция + высокий спрос</w:t>
            </w:r>
          </w:p>
        </w:tc>
        <w:tc>
          <w:tcPr>
            <w:tcW w:type="dxa" w:w="306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Рынок есть, но вход дорогой.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Искать нишу, сегмент, специализированное предложение, уникальный канал привлечения.</w:t>
            </w:r>
          </w:p>
        </w:tc>
      </w:tr>
      <w:tr>
        <w:tc>
          <w:tcPr>
            <w:tcW w:type="dxa" w:w="272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Низкая конкуренция + высокий спрос</w:t>
            </w:r>
          </w:p>
        </w:tc>
        <w:tc>
          <w:tcPr>
            <w:tcW w:type="dxa" w:w="306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Потенциально привлекательная возможность.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Проверить, не скрыты ли барьеры: платежеспособность, доверие, регуляторика, логистика.</w:t>
            </w:r>
          </w:p>
        </w:tc>
      </w:tr>
      <w:tr>
        <w:tc>
          <w:tcPr>
            <w:tcW w:type="dxa" w:w="272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 конкуренция + низкий спрос</w:t>
            </w:r>
          </w:p>
        </w:tc>
        <w:tc>
          <w:tcPr>
            <w:tcW w:type="dxa" w:w="306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Сложный рынок с риском низкой маржи.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Пересмотреть продуктовые границы или искать другую клиентскую задачу.</w:t>
            </w:r>
          </w:p>
        </w:tc>
      </w:tr>
      <w:tr>
        <w:tc>
          <w:tcPr>
            <w:tcW w:type="dxa" w:w="272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Низкая конкуренция + низкий спрос</w:t>
            </w:r>
          </w:p>
        </w:tc>
        <w:tc>
          <w:tcPr>
            <w:tcW w:type="dxa" w:w="306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Слабая рыночная привлекательность.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Проверить, является ли идея слишком узкой или спрос еще не сформирован.</w:t>
            </w:r>
          </w:p>
        </w:tc>
      </w:tr>
    </w:tbl>
    <w:p/>
    <w:p>
      <w:pPr>
        <w:pStyle w:val="Heading1"/>
      </w:pPr>
      <w:r>
        <w:t>14. Пример применения: бизнес на основе компетенции «маркетинг»</w:t>
      </w:r>
    </w:p>
    <w:p>
      <w:r>
        <w:t>Пример: цифровое маркетинговое сопровождение малого и среднего бизнеса Республики Беларусь. Предложение включает анализ аудитории, настройку рекламных кампаний, продвижение сайта, сопровождение социальных сетей и подготовку маркетинговой стратегии.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Сила</w:t>
            </w:r>
          </w:p>
        </w:tc>
        <w:tc>
          <w:tcPr>
            <w:tcW w:type="dxa" w:w="1701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Оценка</w:t>
            </w:r>
          </w:p>
        </w:tc>
        <w:tc>
          <w:tcPr>
            <w:tcW w:type="dxa" w:w="5443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9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Конкуренция игроков</w:t>
            </w:r>
          </w:p>
        </w:tc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На рынке присутствуют агентства, частные специалисты, фрилансеры, платформы услуг, обучающие продукты и автоматизированные рекламные инструменты.</w:t>
            </w:r>
          </w:p>
        </w:tc>
      </w:tr>
      <w:tr>
        <w:tc>
          <w:tcPr>
            <w:tcW w:type="dxa" w:w="19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Угроза новых участников</w:t>
            </w:r>
          </w:p>
        </w:tc>
        <w:tc>
          <w:tcPr>
            <w:tcW w:type="dxa" w:w="170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</w:t>
            </w:r>
          </w:p>
        </w:tc>
        <w:tc>
          <w:tcPr>
            <w:tcW w:type="dxa" w:w="544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Специалист может быстро выйти на рынок через сайт, социальные сети или платформу услуг, но достижение доверия и трафика требует времени и затрат.</w:t>
            </w:r>
          </w:p>
        </w:tc>
      </w:tr>
      <w:tr>
        <w:tc>
          <w:tcPr>
            <w:tcW w:type="dxa" w:w="19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Сила покупателей</w:t>
            </w:r>
          </w:p>
        </w:tc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Средняя/высокая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Малый бизнес сравнивает цены, кейсы и отзывы; при этом качественное маркетинговое сопровождение требует доверия и оценки результата.</w:t>
            </w:r>
          </w:p>
        </w:tc>
      </w:tr>
      <w:tr>
        <w:tc>
          <w:tcPr>
            <w:tcW w:type="dxa" w:w="19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Сила поставщиков</w:t>
            </w:r>
          </w:p>
        </w:tc>
        <w:tc>
          <w:tcPr>
            <w:tcW w:type="dxa" w:w="170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Средняя/высокая</w:t>
            </w:r>
          </w:p>
        </w:tc>
        <w:tc>
          <w:tcPr>
            <w:tcW w:type="dxa" w:w="544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Бизнес зависит от рекламных кабинетов, поисковых систем, социальных сетей, сервисов аналитики, дизайнеров и разработчиков.</w:t>
            </w:r>
          </w:p>
        </w:tc>
      </w:tr>
      <w:tr>
        <w:tc>
          <w:tcPr>
            <w:tcW w:type="dxa" w:w="19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Угроза заменителей</w:t>
            </w:r>
          </w:p>
        </w:tc>
        <w:tc>
          <w:tcPr>
            <w:tcW w:type="dxa" w:w="1701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Высокая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Клиент может выбрать самостоятельное продвижение, штатного специалиста, обучение, автоматизированный сервис или искусственный интеллект.</w:t>
            </w:r>
          </w:p>
        </w:tc>
      </w:tr>
      <w:tr>
        <w:tc>
          <w:tcPr>
            <w:tcW w:type="dxa" w:w="19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Цифровые усилители</w:t>
            </w:r>
          </w:p>
        </w:tc>
        <w:tc>
          <w:tcPr>
            <w:tcW w:type="dxa" w:w="1701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Средние/высокие</w:t>
            </w:r>
          </w:p>
        </w:tc>
        <w:tc>
          <w:tcPr>
            <w:tcW w:type="dxa" w:w="544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Сильное значение имеют отзывы, кейсы, накопленные данные рекламных кампаний, поисковая видимость и алгоритмы рекламных платформ.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EAF2F8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1F4E79"/>
                <w:sz w:val="18"/>
              </w:rPr>
              <w:t xml:space="preserve">Итоговый вывод по примеру. </w:t>
            </w:r>
            <w:r>
              <w:rPr>
                <w:rFonts w:ascii="Times New Roman" w:hAnsi="Times New Roman" w:eastAsia="Times New Roman"/>
                <w:sz w:val="18"/>
              </w:rPr>
              <w:t>Для бизнеса на основе компетенции «маркетинг» конкурентное давление является повышенным. Потенциальная привлекательность рынка зависит не только от наличия спроса, но и от способности сформировать доверие, доказать результативность, занять устойчивую цифровую видимость, снизить зависимость от отдельных платформ и предложить клиенту конкретный измеримый результат.</w:t>
            </w:r>
          </w:p>
        </w:tc>
      </w:tr>
    </w:tbl>
    <w:p/>
    <w:p>
      <w:pPr>
        <w:pStyle w:val="Heading1"/>
      </w:pPr>
      <w:r>
        <w:t>15. Шаблоны итоговых формулировок</w:t>
      </w:r>
    </w:p>
    <w:p>
      <w:pPr>
        <w:pStyle w:val="Heading2"/>
      </w:pPr>
      <w:r>
        <w:t>15.1. Универсальная формулировка</w:t>
      </w:r>
    </w:p>
    <w:p>
      <w:r>
        <w:t>Адаптированный анализ пяти сил Портера показывает, что конкурентная среда на рынке [указать рынок]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[указать силы]. Следовательно, привлекательность рынка следует оценивать как [высокую/умеренную/низкую] с учетом [указать ключевые ограничения].</w:t>
      </w:r>
    </w:p>
    <w:p>
      <w:pPr>
        <w:pStyle w:val="Heading2"/>
      </w:pPr>
      <w:r>
        <w:t>15.2. Формулировка для электронного бизнеса</w:t>
      </w:r>
    </w:p>
    <w:p>
      <w: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аудитории.</w:t>
      </w:r>
    </w:p>
    <w:p>
      <w:pPr>
        <w:pStyle w:val="Heading2"/>
      </w:pPr>
      <w:r>
        <w:t>15.3. Формулировка для рынка с высокой конкуренцией</w:t>
      </w:r>
    </w:p>
    <w:p>
      <w:r>
        <w:t>Рынок характеризуется высоким конкурентным давлением. Это связано с наличием большого числа прямых и частичных конкурентов, прозрачностью предложений для покупателей, угрозой цифровых заменителей и высокой зависимостью от каналов привлечения трафика. Вход на рынок возможен только при наличии четкой специализации, отличимого предложения, доказанной ценности для клиента и стратегии снижения платформенной зависимости.</w:t>
      </w:r>
    </w:p>
    <w:p>
      <w:pPr>
        <w:pStyle w:val="Heading2"/>
      </w:pPr>
      <w:r>
        <w:t>15.4. Формулировка для рынка с умеренной конкуренцией</w:t>
      </w:r>
    </w:p>
    <w:p>
      <w:r>
        <w:t>Рынок характеризуется умеренным конкурентным давлением. Существующие игроки уже формируют предложение, однако сохраняются возможности для входа в отдельные сегменты, особенно при выборе узкой клиентской группы, локальной специализации, более точного позиционирования или улучшения цифровой воронки привлечения клиентов.</w:t>
      </w:r>
    </w:p>
    <w:p>
      <w:pPr>
        <w:pStyle w:val="Heading2"/>
      </w:pPr>
      <w:r>
        <w:t>15.5. Формулировка для рынка с низкой конкуренцией</w:t>
      </w:r>
    </w:p>
    <w:p>
      <w:r>
        <w:t>Рынок характеризуется низким конкурентным давлением, однако данный вывод требует дополнительной проверки. Низкое число конкурентов может означать не только свободную нишу, но и недостаточную платежеспособность спроса, слабую сформированность потребности, регуляторные ограничения или высокие скрытые барьеры входа.</w:t>
      </w:r>
    </w:p>
    <w:p>
      <w:pPr>
        <w:pStyle w:val="Heading1"/>
      </w:pPr>
      <w:r>
        <w:t>16. Контрольный лист применения методики</w:t>
      </w:r>
    </w:p>
    <w:p>
      <w:pPr>
        <w:ind w:left="283" w:hanging="170"/>
      </w:pPr>
      <w:r>
        <w:rPr>
          <w:b/>
        </w:rPr>
        <w:t xml:space="preserve">• </w:t>
      </w:r>
      <w:r>
        <w:t>Зафиксированы продуктовые, клиентские, географические и канальные границы рынка.</w:t>
      </w:r>
    </w:p>
    <w:p>
      <w:pPr>
        <w:ind w:left="283" w:hanging="170"/>
      </w:pPr>
      <w:r>
        <w:rPr>
          <w:b/>
        </w:rPr>
        <w:t xml:space="preserve">• </w:t>
      </w:r>
      <w:r>
        <w:t>Составлен список прямых конкурентов, частичных конкурентов и заменителей.</w:t>
      </w:r>
    </w:p>
    <w:p>
      <w:pPr>
        <w:ind w:left="283" w:hanging="170"/>
      </w:pPr>
      <w:r>
        <w:rPr>
          <w:b/>
        </w:rPr>
        <w:t xml:space="preserve">• </w:t>
      </w:r>
      <w:r>
        <w:t>Оценена цифровая видимость конкурентов: поиск, сайты, социальные сети, платформы, отзывы.</w:t>
      </w:r>
    </w:p>
    <w:p>
      <w:pPr>
        <w:ind w:left="283" w:hanging="170"/>
      </w:pPr>
      <w:r>
        <w:rPr>
          <w:b/>
        </w:rPr>
        <w:t xml:space="preserve">• </w:t>
      </w:r>
      <w:r>
        <w:t>Проверены каналы трафика и возможная зависимость от поисковых систем, рекламы и платформ.</w:t>
      </w:r>
    </w:p>
    <w:p>
      <w:pPr>
        <w:ind w:left="283" w:hanging="170"/>
      </w:pPr>
      <w:r>
        <w:rPr>
          <w:b/>
        </w:rPr>
        <w:t xml:space="preserve">• </w:t>
      </w:r>
      <w:r>
        <w:t>Оценена угроза входа новых участников с учетом стоимости привлечения клиента и доверия.</w:t>
      </w:r>
    </w:p>
    <w:p>
      <w:pPr>
        <w:ind w:left="283" w:hanging="170"/>
      </w:pPr>
      <w:r>
        <w:rPr>
          <w:b/>
        </w:rPr>
        <w:t xml:space="preserve">• </w:t>
      </w:r>
      <w:r>
        <w:t>Оценена сила покупателей с учетом сравнимости предложений и издержек переключения.</w:t>
      </w:r>
    </w:p>
    <w:p>
      <w:pPr>
        <w:ind w:left="283" w:hanging="170"/>
      </w:pPr>
      <w:r>
        <w:rPr>
          <w:b/>
        </w:rPr>
        <w:t xml:space="preserve">• </w:t>
      </w:r>
      <w:r>
        <w:t>Оценена сила поставщиков, включая поставщиков трафика, данных, платежей и инфраструктуры.</w:t>
      </w:r>
    </w:p>
    <w:p>
      <w:pPr>
        <w:ind w:left="283" w:hanging="170"/>
      </w:pPr>
      <w:r>
        <w:rPr>
          <w:b/>
        </w:rPr>
        <w:t xml:space="preserve">• </w:t>
      </w:r>
      <w:r>
        <w:t>Выявлены цифровые заменители, включая автоматизацию, искусственный интеллект и самостоятельные решения.</w:t>
      </w:r>
    </w:p>
    <w:p>
      <w:pPr>
        <w:ind w:left="283" w:hanging="170"/>
      </w:pPr>
      <w:r>
        <w:rPr>
          <w:b/>
        </w:rPr>
        <w:t xml:space="preserve">• </w:t>
      </w:r>
      <w:r>
        <w:t>Оценены сетевые эффекты, данные, алгоритмическая видимость и платформенная зависимость.</w:t>
      </w:r>
    </w:p>
    <w:p>
      <w:pPr>
        <w:ind w:left="283" w:hanging="170"/>
      </w:pPr>
      <w:r>
        <w:rPr>
          <w:b/>
        </w:rPr>
        <w:t xml:space="preserve">• </w:t>
      </w:r>
      <w:r>
        <w:t>Сформулирован итоговый вывод о привлекательности рынка и стратегических условиях входа.</w:t>
      </w:r>
    </w:p>
    <w:p>
      <w:pPr>
        <w:pStyle w:val="Heading1"/>
      </w:pPr>
      <w:r>
        <w:t>17. Типовые ошибки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60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Ошибка</w:t>
            </w:r>
          </w:p>
        </w:tc>
        <w:tc>
          <w:tcPr>
            <w:tcW w:type="dxa" w:w="328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Почему это проблема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Как исправить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Считать конкурентами только компании с таким же названием услуги.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 электронном бизнесе клиент может решить задачу через платформу, сервис, ИИ, обучение или самостоятельные действия.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Анализировать задачу клиента и все альтернативные способы ее решения.</w:t>
            </w:r>
          </w:p>
        </w:tc>
      </w:tr>
      <w:tr>
        <w:tc>
          <w:tcPr>
            <w:tcW w:type="dxa" w:w="260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Не учитывать цифровые каналы доступа к клиенту.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Бизнес может зависеть не от поставщика товара, а от платформы, поисковика или рекламного канала.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Отдельно оценивать источники трафика, алгоритмы и платформенную зависимость.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Смешивать оценку спроса и привлекательность рынка.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Высокий спрос может сопровождаться высокой конкуренцией и низкой маржей.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После оценки спроса обязательно проводить анализ конкурентного давления.</w:t>
            </w:r>
          </w:p>
        </w:tc>
      </w:tr>
      <w:tr>
        <w:tc>
          <w:tcPr>
            <w:tcW w:type="dxa" w:w="260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Принимать низкие барьеры запуска за низкие барьеры входа.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Создать сайт легко, но получить доверие, отзывы и трафик сложно.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Оценивать не запуск, а достижение устойчивого потока клиентов.</w:t>
            </w:r>
          </w:p>
        </w:tc>
      </w:tr>
      <w:tr>
        <w:tc>
          <w:tcPr>
            <w:tcW w:type="dxa" w:w="260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Игнорировать поставщиков цифровой инфраструктуры.</w:t>
            </w:r>
          </w:p>
        </w:tc>
        <w:tc>
          <w:tcPr>
            <w:tcW w:type="dxa" w:w="328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Платформы и рекламные системы могут контролировать доступ к клиенту.</w:t>
            </w:r>
          </w:p>
        </w:tc>
        <w:tc>
          <w:tcPr>
            <w:tcW w:type="dxa" w:w="3175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Включить в анализ поисковые системы, маркетплейсы, платежи, облака и рекламные кабинеты.</w:t>
            </w:r>
          </w:p>
        </w:tc>
      </w:tr>
      <w:tr>
        <w:tc>
          <w:tcPr>
            <w:tcW w:type="dxa" w:w="260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Делать вывод без доказательств.</w:t>
            </w:r>
          </w:p>
        </w:tc>
        <w:tc>
          <w:tcPr>
            <w:tcW w:type="dxa" w:w="328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Методика превращается в мнение, а не анализ.</w:t>
            </w:r>
          </w:p>
        </w:tc>
        <w:tc>
          <w:tcPr>
            <w:tcW w:type="dxa" w:w="3175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 каждой оценке добавлять источники: ссылки, данные, наблюдения, выгрузки, скриншоты, таблицы.</w:t>
            </w:r>
          </w:p>
        </w:tc>
      </w:tr>
    </w:tbl>
    <w:p/>
    <w:p>
      <w:pPr>
        <w:pStyle w:val="Heading1"/>
      </w:pPr>
      <w:r>
        <w:t>18. Итоговая структура раздела отчета</w:t>
      </w:r>
    </w:p>
    <w:p>
      <w:pPr>
        <w:ind w:left="312" w:hanging="227"/>
      </w:pPr>
      <w:r>
        <w:rPr>
          <w:b/>
        </w:rPr>
        <w:t xml:space="preserve">1. </w:t>
      </w:r>
      <w:r>
        <w:t>Краткое описание выбранного рынка и его границ.</w:t>
      </w:r>
    </w:p>
    <w:p>
      <w:pPr>
        <w:ind w:left="312" w:hanging="227"/>
      </w:pPr>
      <w:r>
        <w:rPr>
          <w:b/>
        </w:rPr>
        <w:t xml:space="preserve">2. </w:t>
      </w:r>
      <w:r>
        <w:t>Таблица пяти сил Портера с цифровой адаптацией.</w:t>
      </w:r>
    </w:p>
    <w:p>
      <w:pPr>
        <w:ind w:left="312" w:hanging="227"/>
      </w:pPr>
      <w:r>
        <w:rPr>
          <w:b/>
        </w:rPr>
        <w:t xml:space="preserve">3. </w:t>
      </w:r>
      <w:r>
        <w:t>Оценка конкуренции между существующими игроками.</w:t>
      </w:r>
    </w:p>
    <w:p>
      <w:pPr>
        <w:ind w:left="312" w:hanging="227"/>
      </w:pPr>
      <w:r>
        <w:rPr>
          <w:b/>
        </w:rPr>
        <w:t xml:space="preserve">4. </w:t>
      </w:r>
      <w:r>
        <w:t>Оценка угрозы новых участников.</w:t>
      </w:r>
    </w:p>
    <w:p>
      <w:pPr>
        <w:ind w:left="312" w:hanging="227"/>
      </w:pPr>
      <w:r>
        <w:rPr>
          <w:b/>
        </w:rPr>
        <w:t xml:space="preserve">5. </w:t>
      </w:r>
      <w:r>
        <w:t>Оценка силы покупателей.</w:t>
      </w:r>
    </w:p>
    <w:p>
      <w:pPr>
        <w:ind w:left="312" w:hanging="227"/>
      </w:pPr>
      <w:r>
        <w:rPr>
          <w:b/>
        </w:rPr>
        <w:t xml:space="preserve">6. </w:t>
      </w:r>
      <w:r>
        <w:t>Оценка силы поставщиков.</w:t>
      </w:r>
    </w:p>
    <w:p>
      <w:pPr>
        <w:ind w:left="312" w:hanging="227"/>
      </w:pPr>
      <w:r>
        <w:rPr>
          <w:b/>
        </w:rPr>
        <w:t xml:space="preserve">7. </w:t>
      </w:r>
      <w:r>
        <w:t>Оценка угрозы заменителей.</w:t>
      </w:r>
    </w:p>
    <w:p>
      <w:pPr>
        <w:ind w:left="312" w:hanging="227"/>
      </w:pPr>
      <w:r>
        <w:rPr>
          <w:b/>
        </w:rPr>
        <w:t xml:space="preserve">8. </w:t>
      </w:r>
      <w:r>
        <w:t>Оценка дополнительных цифровых факторов.</w:t>
      </w:r>
    </w:p>
    <w:p>
      <w:pPr>
        <w:ind w:left="312" w:hanging="227"/>
      </w:pPr>
      <w:r>
        <w:rPr>
          <w:b/>
        </w:rPr>
        <w:t xml:space="preserve">9. </w:t>
      </w:r>
      <w:r>
        <w:t>Сводная матрица баллов и доказательств.</w:t>
      </w:r>
    </w:p>
    <w:p>
      <w:pPr>
        <w:ind w:left="312" w:hanging="227"/>
      </w:pPr>
      <w:r>
        <w:rPr>
          <w:b/>
        </w:rPr>
        <w:t xml:space="preserve">10. </w:t>
      </w:r>
      <w:r>
        <w:t>Итоговый вывод о привлекательности рынка и условиях входа.</w:t>
      </w:r>
    </w:p>
    <w:p>
      <w:pPr>
        <w:pStyle w:val="Heading1"/>
      </w:pPr>
      <w:r>
        <w:t>19. Источники и методологические ориентиры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rPr>
          <w:tblHeader w:val="true"/>
        </w:trPr>
        <w:tc>
          <w:tcPr>
            <w:tcW w:type="dxa" w:w="3628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Источник</w:t>
            </w:r>
          </w:p>
        </w:tc>
        <w:tc>
          <w:tcPr>
            <w:tcW w:type="dxa" w:w="5443"/>
            <w:vAlign w:val="top"/>
            <w:shd w:fill="1F4E79"/>
          </w:tcPr>
          <w:p>
            <w:pPr>
              <w:pStyle w:val="TableHeader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>Значение для методики</w:t>
            </w:r>
          </w:p>
        </w:tc>
      </w:tr>
      <w:tr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Porter, M. E. The Five Competitive Forces That Shape Strategy. Harvard Business Review, 2008.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Базовая логика пяти сил: конкуренты, покупатели, поставщики, новые участники и заменители как источники давления на прибыльность отрасли.</w:t>
            </w:r>
          </w:p>
        </w:tc>
      </w:tr>
      <w:tr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Harvard Business School Faculty &amp; Research: The Five Competitive Forces That Shape Strategy.</w:t>
            </w:r>
          </w:p>
        </w:tc>
        <w:tc>
          <w:tcPr>
            <w:tcW w:type="dxa" w:w="544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Краткое описание роли пяти сил в распределении экономической ценности внутри отрасли.</w:t>
            </w:r>
          </w:p>
        </w:tc>
      </w:tr>
      <w:tr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OECD. The Evolving Concept of Market Power in the Digital Economy, 2022.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Цифровое уточнение факторов рыночной силы: сетевые эффекты, экономия масштаба и охвата, данные, многоканальность и издержки переключения.</w:t>
            </w:r>
          </w:p>
        </w:tc>
      </w:tr>
      <w:tr>
        <w:tc>
          <w:tcPr>
            <w:tcW w:type="dxa" w:w="3628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European Commission. Revised Market Definition Notice, 2024.</w:t>
            </w:r>
          </w:p>
        </w:tc>
        <w:tc>
          <w:tcPr>
            <w:tcW w:type="dxa" w:w="5443"/>
            <w:vAlign w:val="top"/>
            <w:shd w:fill="F4F8FB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Подход к современному определению рынков, включая цифровые рынки, многосторонние платформы и экосистемы.</w:t>
            </w:r>
          </w:p>
        </w:tc>
      </w:tr>
      <w:tr>
        <w:tc>
          <w:tcPr>
            <w:tcW w:type="dxa" w:w="3628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Similarweb Data Methodology.</w:t>
            </w:r>
          </w:p>
        </w:tc>
        <w:tc>
          <w:tcPr>
            <w:tcW w:type="dxa" w:w="5443"/>
            <w:vAlign w:val="top"/>
          </w:tcPr>
          <w:p>
            <w:pPr>
              <w:pStyle w:val="SmallTableTex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sz w:val="18"/>
              </w:rPr>
              <w:t>Оценочные цифровые данные о посещаемости, каналах, географии и конкурентной среде, применимые как дополнительный источник проверки конкурентного давления.</w:t>
            </w:r>
          </w:p>
        </w:tc>
      </w:tr>
    </w:tbl>
    <w:p/>
    <w:p>
      <w:pPr>
        <w:ind w:left="283" w:hanging="170"/>
      </w:pPr>
      <w:r>
        <w:rPr>
          <w:b/>
        </w:rPr>
        <w:t xml:space="preserve">• </w:t>
      </w:r>
      <w:r>
        <w:t>Harvard Business Review: https://hbr.org/2008/01/the-five-competitive-forces-that-shape-strategy</w:t>
      </w:r>
    </w:p>
    <w:p>
      <w:pPr>
        <w:ind w:left="283" w:hanging="170"/>
      </w:pPr>
      <w:r>
        <w:rPr>
          <w:b/>
        </w:rPr>
        <w:t xml:space="preserve">• </w:t>
      </w:r>
      <w:r>
        <w:t>Harvard Business School Faculty &amp; Research: https://www.hbs.edu/faculty/Pages/item.aspx?num=34522</w:t>
      </w:r>
    </w:p>
    <w:p>
      <w:pPr>
        <w:ind w:left="283" w:hanging="170"/>
      </w:pPr>
      <w:r>
        <w:rPr>
          <w:b/>
        </w:rPr>
        <w:t xml:space="preserve">• </w:t>
      </w:r>
      <w:r>
        <w:t>OECD: https://www.oecd.org/content/dam/oecd/en/publications/reports/2022/05/the-evolving-concept-of-market-power-in-the-digital-economy_c384e80f/2cfcb4a8-en.pdf</w:t>
      </w:r>
    </w:p>
    <w:p>
      <w:pPr>
        <w:ind w:left="283" w:hanging="170"/>
      </w:pPr>
      <w:r>
        <w:rPr>
          <w:b/>
        </w:rPr>
        <w:t xml:space="preserve">• </w:t>
      </w:r>
      <w:r>
        <w:t>European Commission: https://ec.europa.eu/commission/presscorner/detail/en/qanda_23_6002</w:t>
      </w:r>
    </w:p>
    <w:p>
      <w:pPr>
        <w:ind w:left="283" w:hanging="170"/>
      </w:pPr>
      <w:r>
        <w:rPr>
          <w:b/>
        </w:rPr>
        <w:t xml:space="preserve">• </w:t>
      </w:r>
      <w:r>
        <w:t>Similarweb methodology: https://support.similarweb.com/hc/en-us/articles/360001631538-Similarweb-Data-Methodology</w:t>
      </w:r>
    </w:p>
    <w:sectPr w:rsidR="00FC693F" w:rsidRPr="0006063C" w:rsidSect="00034616">
      <w:footerReference w:type="default" r:id="rId9"/>
      <w:pgSz w:w="12240" w:h="15840"/>
      <w:pgMar w:top="1020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Методика анализа пяти сил Портера для электронного бизнеса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Text">
    <w:name w:val="Small Table Text"/>
    <w:pPr>
      <w:spacing w:after="0" w:line="240" w:lineRule="auto"/>
    </w:pPr>
    <w:rPr>
      <w:rFonts w:ascii="Times New Roman" w:hAnsi="Times New Roman" w:eastAsia="Times New Roman"/>
      <w:sz w:val="18"/>
    </w:rPr>
  </w:style>
  <w:style w:type="paragraph" w:customStyle="1" w:styleId="TableHeaderText">
    <w:name w:val="Table Header Text"/>
    <w:pPr>
      <w:spacing w:after="0" w:line="240" w:lineRule="auto"/>
    </w:pPr>
    <w:rPr>
      <w:rFonts w:ascii="Times New Roman" w:hAnsi="Times New Roman" w:eastAsia="Times New Roman"/>
      <w:b/>
      <w:color w:val="FFFFFF"/>
      <w:sz w:val="18"/>
    </w:rPr>
  </w:style>
  <w:style w:type="paragraph" w:customStyle="1" w:styleId="Formula">
    <w:name w:val="Formula"/>
    <w:pPr>
      <w:spacing w:before="80" w:after="120"/>
      <w:ind w:left="397"/>
    </w:pPr>
    <w:rPr>
      <w:rFonts w:ascii="Times New Roman" w:hAnsi="Times New Roman" w:eastAsia="Times New Roman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