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44"/>
        </w:rPr>
        <w:t>МЕТОДИКА</w:t>
        <w:br/>
      </w:r>
      <w:r>
        <w:rPr>
          <w:b/>
          <w:color w:val="1F4E79"/>
          <w:sz w:val="36"/>
        </w:rPr>
        <w:t>сборки бизнес-модели цифрового товара по шаблону Канвас</w:t>
        <w:br/>
      </w:r>
      <w:r>
        <w:rPr>
          <w:color w:val="595959"/>
          <w:sz w:val="24"/>
        </w:rPr>
        <w:t>на основе анализа проблем клиентов, конкурентов, отзывов, цифрового товара и рыночного стандарта</w:t>
      </w:r>
    </w:p>
    <w:p>
      <w:pPr>
        <w:spacing w:before="400"/>
        <w:jc w:val="center"/>
      </w:pPr>
      <w:r>
        <w:rPr>
          <w:i/>
          <w:sz w:val="20"/>
        </w:rPr>
        <w:t>Назначение документа: обеспечить последовательный переход от разрозненных аналитических материалов к целостной бизнес-модели цифрового товара, пригодной для стратегического проектирования, проверки гипотез и подготовки продуктового решения к монетизации.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6803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7"/>
              </w:rPr>
              <w:t>Объект методики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цифровой товар, цифровая услуга, платформа, программный продукт, приложение, сервис, онлайн-курс, цифровой контент или иная товарная единица, создающая ценность в цифровом канале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7"/>
              </w:rPr>
              <w:t>Основная аналитическая основа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результаты анализа конкурентов, отзывов, проблем клиентов, уровней конкуренции, ценностного предложения, цифрового товара, тарифов, каналов и признаков рыночного стандарта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7"/>
              </w:rPr>
              <w:t>Итоговый результат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заполненный шаблон Канвас бизнес-модели, паспорт бизнес-модели, перечень проверяемых гипотез, карта доказательности и список решений для проектирования цифрового товара</w:t>
            </w:r>
          </w:p>
        </w:tc>
      </w:tr>
    </w:tbl>
    <w:p>
      <w:r>
        <w:br w:type="page"/>
      </w:r>
    </w:p>
    <w:p>
      <w:pPr>
        <w:pStyle w:val="Heading1Custom"/>
      </w:pPr>
      <w:r>
        <w:t>Содержание</w:t>
      </w:r>
    </w:p>
    <w:p>
      <w:pPr>
        <w:pStyle w:val="BodyText"/>
      </w:pPr>
      <w:r>
        <w:t>1. Назначение и логика методики</w:t>
      </w:r>
    </w:p>
    <w:p>
      <w:pPr>
        <w:pStyle w:val="BodyText"/>
      </w:pPr>
      <w:r>
        <w:t>2. Исходные аналитические материалы</w:t>
      </w:r>
    </w:p>
    <w:p>
      <w:pPr>
        <w:pStyle w:val="BodyText"/>
      </w:pPr>
      <w:r>
        <w:t>3. Термины и рабочие определения</w:t>
      </w:r>
    </w:p>
    <w:p>
      <w:pPr>
        <w:pStyle w:val="BodyText"/>
      </w:pPr>
      <w:r>
        <w:t>4. Порядок сборки бизнес-модели по Канвас</w:t>
      </w:r>
    </w:p>
    <w:p>
      <w:pPr>
        <w:pStyle w:val="BodyText"/>
      </w:pPr>
      <w:r>
        <w:t>5. Шаблон Канвас с вопросами и источниками ответов</w:t>
      </w:r>
    </w:p>
    <w:p>
      <w:pPr>
        <w:pStyle w:val="BodyText"/>
      </w:pPr>
      <w:r>
        <w:t>6. Детализация блоков Канвас</w:t>
      </w:r>
    </w:p>
    <w:p>
      <w:pPr>
        <w:pStyle w:val="BodyText"/>
      </w:pPr>
      <w:r>
        <w:t>7. Оценка доказательности и полноты бизнес-модели</w:t>
      </w:r>
    </w:p>
    <w:p>
      <w:pPr>
        <w:pStyle w:val="BodyText"/>
      </w:pPr>
      <w:r>
        <w:t>8. Проверка связности бизнес-модели</w:t>
      </w:r>
    </w:p>
    <w:p>
      <w:pPr>
        <w:pStyle w:val="BodyText"/>
      </w:pPr>
      <w:r>
        <w:t>9. Итоговые формы и контрольные листы</w:t>
      </w:r>
    </w:p>
    <w:p>
      <w:pPr>
        <w:pStyle w:val="BodyText"/>
      </w:pPr>
      <w:r>
        <w:t>10. Пример формулировки итогового паспорта бизнес-модели</w:t>
      </w:r>
    </w:p>
    <w:p>
      <w:r>
        <w:br w:type="page"/>
      </w:r>
    </w:p>
    <w:p>
      <w:pPr>
        <w:pStyle w:val="Heading1Custom"/>
      </w:pPr>
      <w:r>
        <w:t>1. Назначение и логика методики</w:t>
      </w:r>
    </w:p>
    <w:p>
      <w:pPr>
        <w:pStyle w:val="BodyText"/>
        <w:spacing w:after="120"/>
      </w:pPr>
      <w:r>
        <w:t>Методика предназначена для построения бизнес-модели цифрового товара по шаблону Канвас на основе уже проведенных аналитических работ. Она не подменяет анализ рынка, продукта или пользователей, а устанавливает порядок преобразования аналитических результатов в управленческую модель: кто получает ценность, какую проблему решает цифровой товар, за что платит клиент, через какие каналы происходит привлечение, какие ресурсы и процессы обеспечивают поставку ценности, какие партнеры и затраты необходимы для функционирования модели.</w:t>
      </w:r>
    </w:p>
    <w:p>
      <w:pPr>
        <w:pStyle w:val="BodyText"/>
        <w:spacing w:after="120"/>
      </w:pPr>
      <w:r>
        <w:t>Ключевой принцип методики: каждый элемент бизнес-модели должен быть связан с доказательствами. Доказательством считается не общая экспертная догадка, а конкретный аналитический вывод, подтвержденный данными с сайтов конкурентов, отзывами пользователей, тарифами, описаниями функций, сведениями о каналах продаж, публичными материалами о партнерствах, интеграциях, поддержке, обучении, документации, условиях использования и иных открытых источниках.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268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Элемент процесса</w:t>
            </w:r>
          </w:p>
        </w:tc>
        <w:tc>
          <w:tcPr>
            <w:tcW w:type="dxa" w:w="7087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7"/>
              </w:rPr>
              <w:t>Вход</w:t>
            </w:r>
          </w:p>
        </w:tc>
        <w:tc>
          <w:tcPr>
            <w:tcW w:type="dxa" w:w="708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Результаты анализа проблем, отзывов, конкурентов, цифрового товара, рыночного стандарта, тарифов, каналов и бизнес-моделей конкурентов.</w:t>
            </w:r>
          </w:p>
        </w:tc>
      </w:tr>
      <w:tr>
        <w:trPr>
          <w:cantSplit/>
        </w:trPr>
        <w:tc>
          <w:tcPr>
            <w:tcW w:type="dxa" w:w="2268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7"/>
              </w:rPr>
              <w:t>Обработка</w:t>
            </w:r>
          </w:p>
        </w:tc>
        <w:tc>
          <w:tcPr>
            <w:tcW w:type="dxa" w:w="708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Группировка данных по девяти блокам Канвас, отбор подтвержденных выводов, формирование гипотез, оценка доказательности, проверка связности.</w:t>
            </w:r>
          </w:p>
        </w:tc>
      </w:tr>
      <w:tr>
        <w:trPr>
          <w:cantSplit/>
        </w:trPr>
        <w:tc>
          <w:tcPr>
            <w:tcW w:type="dxa" w:w="2268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7"/>
              </w:rPr>
              <w:t>Выход</w:t>
            </w:r>
          </w:p>
        </w:tc>
        <w:tc>
          <w:tcPr>
            <w:tcW w:type="dxa" w:w="708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7"/>
              </w:rPr>
              <w:t>Заполненный Канвас, паспорт бизнес-модели, перечень ключевых гипотез, список недостающих данных, решения по цифровому товару и монетизации.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EF6FB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Базовая логика перехода от анализа к бизнес-модели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1) Проблемы клиентов показывают, какую ценность нужно создать.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2) Анализ конкурентов показывает, какие решения уже являются рыночным стандартом, а где остаются рыночные пробелы.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3) Ценностное предложение определяет, почему клиент должен выбрать данный цифровой товар.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4) Цифровой товар превращает ценность в конкретную товарную единицу, которую можно продавать, измерять, поставлять и развивать.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5) Канвас бизнес-модели связывает ценность, товар, клиентов, каналы, доходы, ресурсы, процессы, партнеров и затраты в единую систему.</w:t>
            </w:r>
          </w:p>
        </w:tc>
      </w:tr>
    </w:tbl>
    <w:p>
      <w:r>
        <w:br w:type="page"/>
      </w:r>
    </w:p>
    <w:p>
      <w:pPr>
        <w:pStyle w:val="Heading1Custom"/>
      </w:pPr>
      <w:r>
        <w:t>2. Исходные аналитические материалы</w:t>
      </w:r>
    </w:p>
    <w:p>
      <w:pPr>
        <w:pStyle w:val="BodyText"/>
        <w:spacing w:after="120"/>
      </w:pPr>
      <w:r>
        <w:t>Перед заполнением Канвас необходимо собрать в одном рабочем массиве результаты всех проведенных видов анализа. Каждый результат должен иметь источник, дату фиксации, уровень достоверности и краткий вывод, пригодный для переноса в один или несколько блоков бизнес-модели.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665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Вид анализа</w:t>
            </w:r>
          </w:p>
        </w:tc>
        <w:tc>
          <w:tcPr>
            <w:tcW w:type="dxa" w:w="3855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Что извлекается</w:t>
            </w:r>
          </w:p>
        </w:tc>
        <w:tc>
          <w:tcPr>
            <w:tcW w:type="dxa" w:w="3005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В какие блоки Канвас переносится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сайтов конкурентов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Состав цифрового товара, функции, сценарии использования, тарифные планы, тексты ценностного предложения, каналы входа, доказательства доверия, элементы поддержки.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Ценностное предложение; каналы; клиентские отношения; доходы; ключевые процессы; ресурсы.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цифрового товара по модели Левитта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Ключевая выгода, базовый товар, ожидаемый товар, дополненный товар, потенциальное развитие.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Ценностное предложение; цифровой товар как единица монетизации; ресурсы; процессы.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требований по модели Кано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Обязательные признаки, линейные признаки, привлекательные признаки, безразличные и нежелательные признаки.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Ценностное предложение; приоритеты товара; рыночный стандарт; конкурентная дифференциация.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отзывов на G2, Capterra, Trustpilot, маркетплейсах приложений и иных площадках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Повторяющиеся проблемы, неудовлетворенные ожидания, причины отказа, триггеры удовлетворенности, ценность, за которую пользователи готовы платить.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Клиентские сегменты; проблемы; ценностное предложение; отношения с клиентами; процессы поддержки.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Классификация компаний по уровням конкуренции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Прямые, косвенные, альтернативные, потенциальные конкуренты и компании для наблюдения за лучшей практикой.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Приоритизация источников; выбор эталонов; корректность сравнения бизнес-моделей.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бизнес-моделей конкурентов по сайтам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Как конкуренты создают, поставляют и получают стоимость: сегменты, каналы, тарифы, партнерства, ресурсы, процессы.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Все блоки Канвас; особенно доходы, каналы, процессы, партнеры, затраты.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рыночного стандарта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Признаки товара и сервиса, которые стали обязательными для участия в рынке.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Минимально необходимая конфигурация товара; требования к запуску; зона недифференцирующих затрат.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конкурентных преимуществ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Функциональные, сервисные, экономические, технологические, информационные и сетевые преимущества конкурентов.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Ценностное предложение; ресурсы; процессы; партнеры; каналы.</w:t>
            </w:r>
          </w:p>
        </w:tc>
      </w:tr>
      <w:tr>
        <w:trPr>
          <w:cantSplit/>
        </w:trPr>
        <w:tc>
          <w:tcPr>
            <w:tcW w:type="dxa" w:w="266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Анализ тарифов и способов оплаты</w:t>
            </w:r>
          </w:p>
        </w:tc>
        <w:tc>
          <w:tcPr>
            <w:tcW w:type="dxa" w:w="385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Единица продажи, тарифные ограничения, пробный период, подписка, комиссия, пакет, лицензия, freemium, транзакционная модель.</w:t>
            </w:r>
          </w:p>
        </w:tc>
        <w:tc>
          <w:tcPr>
            <w:tcW w:type="dxa" w:w="3005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Потоки доходов; единица монетизации; цифровой товар; ценностное предложение.</w:t>
            </w:r>
          </w:p>
        </w:tc>
      </w:tr>
    </w:tbl>
    <w:p>
      <w:r>
        <w:br w:type="page"/>
      </w:r>
    </w:p>
    <w:p>
      <w:pPr>
        <w:pStyle w:val="Heading1Custom"/>
      </w:pPr>
      <w:r>
        <w:t>3. Термины и рабочие определения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551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Понятие</w:t>
            </w:r>
          </w:p>
        </w:tc>
        <w:tc>
          <w:tcPr>
            <w:tcW w:type="dxa" w:w="6803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Бизнес-модель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Логика создания, поставки и получения стоимости: кто является клиентом, какая ценность создается, как она доставляется, за счет чего возникает доход и какие ресурсы обеспечивают устойчивость модели.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Канвас бизнес-модели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Шаблон описания бизнес-модели через девять взаимосвязанных блоков: клиентские сегменты, ценностное предложение, каналы, отношения с клиентами, потоки доходов, ключевые ресурсы, ключевые виды деятельности, ключевые партнеры, структура затрат.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Цифровой товар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Единица ценности, предоставляемая пользователю в цифровой форме и пригодная для поставки, измерения, ограничения доступа, повторного использования, масштабирования и монетизации.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Единица монетизации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То, за что фактически платит клиент: доступ, подписка, лицензия, пользовательское место, транзакция, объем данных, результат, пакет функций, курс, консультация, API-вызов, размещение или иная измеримая единица.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Ценностное предложение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Обоснованное обещание ценности для конкретного сегмента: какую проблему решает цифровой товар, какой результат получает клиент и почему выбранное решение предпочтительнее конкурентных альтернатив.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Рыночный стандарт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Минимальный набор свойств, условий и сервисных ожиданий, отсутствие которых снижает доверие к товару и делает предложение неконкурентоспособным независимо от уникальных преимуществ.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Конкурентное преимущество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Подтвержденное отличие, которое повышает вероятность выбора товара клиентом и может быть связано с функцией, результатом, скоростью, ценой, удобством, доверием, данными, интеграциями, сообществом или масштабом.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Гипотеза бизнес-модели</w:t>
            </w:r>
          </w:p>
        </w:tc>
        <w:tc>
          <w:tcPr>
            <w:tcW w:type="dxa" w:w="6803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Вывод о блоке бизнес-модели, который логически вытекает из анализа, но требует проверки на клиентах, в продажах, в прототипе или в финансовой модели.</w:t>
            </w:r>
          </w:p>
        </w:tc>
      </w:tr>
    </w:tbl>
    <w:p>
      <w:r>
        <w:br w:type="page"/>
      </w:r>
    </w:p>
    <w:p>
      <w:pPr>
        <w:pStyle w:val="Heading1Custom"/>
      </w:pPr>
      <w:r>
        <w:t>4. Порядок сборки бизнес-модели по Канвас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Этап</w:t>
            </w:r>
          </w:p>
        </w:tc>
        <w:tc>
          <w:tcPr>
            <w:tcW w:type="dxa" w:w="4649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Что выполняется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1. Зафиксировать предмет бизнес-модели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Определить, для какого цифрового товара строится бизнес-модель: сервис, приложение, платформа, модуль, подписка, курс, программный продукт, маркетплейс, аналитический сервис, цифровое сопровождение или смешанное предложение.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Краткое описание цифрового товара и границ анализа.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2. Отобрать релевантных конкурентов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Использовать классификацию компаний по уровням конкуренции. В основной сравнительный контур включить прямых конкурентов, в дополнительный — косвенных и альтернативных.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Список компаний для анализа бизнес-модели и список компаний для наблюдения за лучшей практикой.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3. Выбрать целевой клиентский сегмент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Выделить сегмент по проблеме, роли пользователя, масштабу клиента, отрасли, платежеспособности, сценарию использования, частоте потребности и текущему способу решения проблемы.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Один или несколько приоритетных клиентских сегментов.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4. Сформулировать опорную проблему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Сопоставить отзывы, поисковые запросы, тексты конкурентов и данные о функциях. Выбрать проблему с высокой частотой, значимостью и недостаточной закрытостью конкурентами.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Формулировка проблемы и ее экономических/операционных последствий для клиента.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5. Сформулировать ценностное предложение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Связать проблему, желаемый результат, отличие от конкурентов и доказательство ценности. Отделить рыночный стандарт от дифференцирующих характеристик.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Основная формулировка ценностного предложения и дополнительные версии для разных сегментов.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6. Описать цифровой товар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Определить ключевые уровни товара: основная выгода, базовая функциональность, ожидаемые свойства, дополненные элементы, потенциальное развитие.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Паспорт цифрового товара и перечень функций по приоритетам.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7. Определить единицу монетизации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Понять, какая часть цифрового товара может быть продана: доступ, пакет, результат, подписка, лицензия, транзакция, пользователь, объем, модуль, консультация.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Единица продажи, тарифная логика, возможные ограничения и условия оплаты.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8. Заполнить девять блоков Канвас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Использовать вопросы и источники по каждому блоку. Каждый ответ должен иметь основание: факт, вывод из анализа или явно обозначенную гипотезу.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Первичная версия бизнес-модели.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9. Проверить связность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Проверить, соответствуют ли сегменты, ценность, товар, каналы, отношения, доходы, ресурсы, процессы, партнеры и затраты друг другу.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Список противоречий, уточнений и недостающих данных.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10. Подготовить итоговый паспорт</w:t>
            </w:r>
          </w:p>
        </w:tc>
        <w:tc>
          <w:tcPr>
            <w:tcW w:type="dxa" w:w="4649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Свести Канвас в управленческий документ: краткая логика бизнес-модели, ключевые гипотезы, источники доказательств, риски и решения для проверки.</w:t>
            </w:r>
          </w:p>
        </w:tc>
        <w:tc>
          <w:tcPr>
            <w:tcW w:type="dxa" w:w="2381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Паспорт бизнес-модели и план проверки гипотез.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EF6FB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Правило заполнения блока Канвас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Формулировка блока = подтвержденный вывод + источник + степень уверенности + открытая гипотеза.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Нельзя переносить в Канвас утверждения без указания происхождения: сайт конкурента, отзыв, тарифная страница, карточка товара, справочный раздел, кейс, описание интеграции, результат сравнительной матрицы или экспертный вывод из анализа.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907" w:right="794" w:bottom="850" w:left="964" w:header="720" w:footer="720" w:gutter="0"/>
          <w:cols w:space="720"/>
          <w:docGrid w:linePitch="360"/>
        </w:sectPr>
      </w:pPr>
    </w:p>
    <w:p>
      <w:pPr>
        <w:pStyle w:val="Heading1Custom"/>
      </w:pPr>
      <w:r>
        <w:t>5. Шаблон Канвас с вопросами и источниками ответов</w:t>
      </w:r>
    </w:p>
    <w:p>
      <w:pPr>
        <w:pStyle w:val="BodyText"/>
        <w:spacing w:after="120"/>
      </w:pPr>
      <w:r>
        <w:t>Ниже представлен рабочий шаблон Канвас. В каждой ячейке указаны не только вопросы, но и аналитические источники, из которых следует брать ответы. Такой формат позволяет заполнять бизнес-модель не интуитивно, а на основе накопленных результатов анализа.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2941"/>
            <w:vAlign w:val="top"/>
            <w:shd w:fill="FFFF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КЛЮЧЕВЫЕ ПАРТНЕРЫ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Кто нужен для поставки ценности?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интеграции, поставщики, каналы, эксперты или платформы критичны?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Что выгоднее передать партнеру, чем делать самостоятельно?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Сайты конкурентов: интеграции, партнеры, API, маркетплейсы.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бизнес-моделей конкурентов.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ресурсов и процессов.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Вакансии, документация, публичные кейсы.</w:t>
            </w:r>
          </w:p>
        </w:tc>
        <w:tc>
          <w:tcPr>
            <w:tcW w:type="dxa" w:w="2941"/>
            <w:vAlign w:val="top"/>
            <w:shd w:fill="FFFF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КЛЮЧЕВЫЕ ВИДЫ ДЕЯТЕЛЬНОСТИ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процессы создают и поддерживают ценность?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Что нужно делать регулярно: разработка, данные, поддержка, продажи, обучение?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процессы отличают модель от конкурентов?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сайта конкурента: функции, поддержка, обучение, обновления.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отзывов: где требуется сервисное усиление.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Модель Левитта и Кано.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конкурентных преимуществ.</w:t>
            </w:r>
          </w:p>
        </w:tc>
        <w:tc>
          <w:tcPr>
            <w:tcW w:type="dxa" w:w="2941"/>
            <w:vAlign w:val="top"/>
            <w:shd w:fill="F7FB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ЦЕННОСТНОЕ ПРЕДЛОЖЕНИЕ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Какую проблему решает цифровой товар?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Какой результат получает клиент?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Почему предложение лучше прямых и альтернативных решений?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Что является стандартом, а что преимуществом?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отзывов и проблем.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конкурентов по сайтам.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Модель Кано.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Модель Левитта.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Матрица рыночного стандарта и преимуществ.</w:t>
            </w:r>
          </w:p>
        </w:tc>
        <w:tc>
          <w:tcPr>
            <w:tcW w:type="dxa" w:w="2941"/>
            <w:vAlign w:val="top"/>
            <w:shd w:fill="FFFF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ОТНОШЕНИЯ С КЛИЕНТАМИ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 клиент привлекается, сопровождается и удерживается?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Нужна ли поддержка, обучение, сообщество, личное сопровождение?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точки контакта снижают риск отказа?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Отзывы: жалобы на поддержку, обучение, внедрение.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Сайты конкурентов: база знаний, демо, чат, сопровождение.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воронки и каналов.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Тарифные страницы.</w:t>
            </w:r>
          </w:p>
        </w:tc>
        <w:tc>
          <w:tcPr>
            <w:tcW w:type="dxa" w:w="2941"/>
            <w:vAlign w:val="top"/>
            <w:shd w:fill="F7FB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КЛИЕНТСКИЕ СЕГМЕНТЫ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Для кого создается ценность?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Кто пользователь, покупатель и плательщик?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У каких сегментов проблема наиболее острая?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сегменты уже обслуживают конкуренты?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проблем клиентов.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Отзывы по ролям и отраслям.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Сайты конкурентов: аудитории, отрасли, кейсы.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Классификация конкурентов по уровням.</w:t>
            </w:r>
          </w:p>
        </w:tc>
      </w:tr>
      <w:tr>
        <w:tc>
          <w:tcPr>
            <w:tcW w:type="dxa" w:w="2941"/>
            <w:vAlign w:val="top"/>
            <w:shd w:fill="FFFF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КЛЮЧЕВЫЕ РЕСУРСЫ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ресурсы необходимы: технологии, данные, команда, бренд, методика, контент, инфраструктура?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ресурсы создают барьер копирования?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Что нужно иметь до запуска?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конкурентов: технологии, данные, интеграции.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товара по Левитту.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Вакансии конкурентов.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Документация, API, условия использования.</w:t>
            </w:r>
          </w:p>
        </w:tc>
        <w:tc>
          <w:tcPr>
            <w:tcW w:type="dxa" w:w="2941"/>
            <w:vAlign w:val="top"/>
            <w:shd w:fill="FFFF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КАНАЛЫ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Где клиент узнает о товаре?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 он сравнивает, пробует, покупает и получает доступ?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каналы являются стандартом рынка?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каналы дают преимущество?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Сайты конкурентов: посадочные страницы, тарифы, демо, блог.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Поисковые запросы.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Рекламные объявления.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Социальные сети, маркетплейсы, партнерские каналы.</w:t>
            </w:r>
          </w:p>
        </w:tc>
        <w:tc>
          <w:tcPr>
            <w:tcW w:type="dxa" w:w="2941"/>
            <w:vAlign w:val="top"/>
            <w:shd w:fill="F7FB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ЦИФРОВОЙ ТОВАР КАК НОСИТЕЛЬ ЦЕННОСТИ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Что именно получает клиент?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Какая товарная единица продается?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функции входят в базовую, ожидаемую и расширенную версии?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Что можно ограничить тарифом?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Методика формулирования цифрового товара.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Модель Левитта.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Модель Кано.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Тарифы и карточки товаров конкурентов.</w:t>
            </w:r>
          </w:p>
        </w:tc>
        <w:tc>
          <w:tcPr>
            <w:tcW w:type="dxa" w:w="2941"/>
            <w:vAlign w:val="top"/>
            <w:shd w:fill="FFFF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ПОТОКИ ДОХОДОВ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За что платит клиент?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Какова единица монетизации?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Какая модель оплаты: подписка, лицензия, комиссия, пакет, транзакция?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ограничения формируют тарифы?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Тарифные страницы конкурентов.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Условия оплаты и пробные периоды.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единицы монетизации.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Отзывы о цене и ценности.</w:t>
            </w:r>
          </w:p>
        </w:tc>
        <w:tc>
          <w:tcPr>
            <w:tcW w:type="dxa" w:w="2941"/>
            <w:vAlign w:val="top"/>
            <w:shd w:fill="F7FBFF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15"/>
              </w:rPr>
              <w:t>ПРОВЕРКА ВЫБОРА КЛИЕНТОМ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Вопросы: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Почему клиент перейдет с текущего решения?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барьеры выбора нужно снять?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доказательства доверия нужны?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Какие причины отказа нужно устранить?</w:t>
            </w:r>
          </w:p>
          <w:p>
            <w:pPr>
              <w:spacing w:after="20"/>
            </w:pPr>
            <w:r>
              <w:rPr>
                <w:b/>
                <w:sz w:val="13"/>
              </w:rPr>
              <w:t>Источники ответов: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Отзывы о конкурентах.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Кейсы, отзывы, рейтинги, гарантии.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Сравнение преимуществ.</w:t>
            </w:r>
          </w:p>
          <w:p>
            <w:pPr>
              <w:pStyle w:val="ListBulletSmall"/>
              <w:spacing w:after="0"/>
            </w:pPr>
            <w:r>
              <w:rPr>
                <w:sz w:val="12"/>
              </w:rPr>
              <w:t>Анализ клиентского пути на сайтах конкурентов.</w:t>
            </w:r>
          </w:p>
        </w:tc>
      </w:tr>
      <w:tr>
        <w:tc>
          <w:tcPr>
            <w:tcW w:type="dxa" w:w="8823"/>
            <w:vAlign w:val="top"/>
            <w:shd w:fill="FFF4E5"/>
            <w:gridSpan w:val="3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r/>
            <w:r>
              <w:rPr>
                <w:b/>
                <w:color w:val="9C6500"/>
                <w:sz w:val="16"/>
              </w:rPr>
              <w:t>СТРУКТУРА ЗАТРАТ</w:t>
            </w:r>
          </w:p>
          <w:p>
            <w:r>
              <w:rPr>
                <w:b/>
                <w:sz w:val="13"/>
              </w:rPr>
              <w:t xml:space="preserve">Вопросы: </w:t>
            </w:r>
            <w:r>
              <w:rPr>
                <w:sz w:val="13"/>
              </w:rPr>
              <w:t>Какие затраты неизбежны для поставки ценности? Какие затраты связаны с рыночным стандартом, а какие — с преимуществом? Какие затраты масштабируются вместе с пользователями, данными, транзакциями или поддержкой?</w:t>
            </w:r>
          </w:p>
          <w:p>
            <w:r>
              <w:rPr>
                <w:b/>
                <w:sz w:val="13"/>
              </w:rPr>
              <w:t xml:space="preserve">Источники ответов: </w:t>
            </w:r>
            <w:r>
              <w:rPr>
                <w:sz w:val="13"/>
              </w:rPr>
              <w:t>Анализ ключевых ресурсов и процессов. Сайты конкурентов: инфраструктура, поддержка, внедрение, SLA. Вакансии, партнерства, документация. Логика цифрового товара и монетизации.</w:t>
            </w:r>
          </w:p>
        </w:tc>
        <w:tc>
          <w:tcPr>
            <w:tcW w:type="dxa" w:w="5882"/>
            <w:vAlign w:val="top"/>
            <w:shd w:fill="FFF4E5"/>
            <w:gridSpan w:val="2"/>
            <w:tcBorders>
              <w:top w:sz="5" w:val="single" w:color="7F7F7F"/>
              <w:left w:sz="5" w:val="single" w:color="7F7F7F"/>
              <w:bottom w:sz="5" w:val="single" w:color="7F7F7F"/>
              <w:right w:sz="5" w:val="single" w:color="7F7F7F"/>
            </w:tcBorders>
          </w:tcPr>
          <w:p>
            <w:r/>
            <w:r>
              <w:rPr>
                <w:b/>
                <w:color w:val="9C6500"/>
                <w:sz w:val="16"/>
              </w:rPr>
              <w:t>ПОТОКИ ДОХОДОВ И ЕДИНИЦА МОНЕТИЗАЦИИ</w:t>
            </w:r>
          </w:p>
          <w:p>
            <w:r>
              <w:rPr>
                <w:b/>
                <w:sz w:val="13"/>
              </w:rPr>
              <w:t xml:space="preserve">Вопросы: </w:t>
            </w:r>
            <w:r>
              <w:rPr>
                <w:sz w:val="13"/>
              </w:rPr>
              <w:t>Какие источники выручки основны, а какие дополнительные? Как связаны цена, ценность и ограничение доступа? Можно ли монетизировать результат, доступ, пользователя, объем, транзакцию, модуль, данные или сопровождение?</w:t>
            </w:r>
          </w:p>
          <w:p>
            <w:r>
              <w:rPr>
                <w:b/>
                <w:sz w:val="13"/>
              </w:rPr>
              <w:t xml:space="preserve">Источники ответов: </w:t>
            </w:r>
            <w:r>
              <w:rPr>
                <w:sz w:val="13"/>
              </w:rPr>
              <w:t>Тарифные страницы конкурентов. Методика формулирования цифрового товара. Отзывы о цене и ценности. Анализ бизнес-моделей конкурентов.</w:t>
            </w:r>
          </w:p>
        </w:tc>
      </w:tr>
    </w:tbl>
    <w:p>
      <w:pPr>
        <w:pStyle w:val="Caption"/>
        <w:jc w:val="center"/>
      </w:pPr>
      <w:r>
        <w:t>Шаблон Канвас бизнес-модели: вопросы и источники ответов по результатам анализа</w:t>
      </w:r>
    </w:p>
    <w:p>
      <w:pPr>
        <w:sectPr>
          <w:pgSz w:w="15840" w:h="12240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Custom"/>
      </w:pPr>
      <w:r>
        <w:t>6. Детализация блоков Канвас</w:t>
      </w:r>
    </w:p>
    <w:p>
      <w:pPr>
        <w:pStyle w:val="BodyText"/>
        <w:spacing w:after="120"/>
      </w:pPr>
      <w:r>
        <w:t>Детализация нужна для того, чтобы каждый блок Канвас был заполнен не общими словами, а управленчески пригодными формулировками. Для каждого блока ниже указаны аналитические вопросы, признаки ответа, источники и итоговая форма записи.</w:t>
      </w:r>
    </w:p>
    <w:p>
      <w:pPr>
        <w:pStyle w:val="Heading2Custom"/>
      </w:pPr>
      <w:r>
        <w:t>6.1. Клиентские сегменты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Кто испытывает проблему; кто принимает решение о покупке; кто платит; кто ежедневно пользуется; какие отрасли, роли, масштабы клиентов и сценарии использования наиболее важны.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выделения сегмента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Однородность проблемы; повторяемость сценария; измеримая платежеспособность; доступность через каналы; наличие конкурентов, уже работающих с сегментом; возможность доказать ценность.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Отзывы; сайты конкурентов; кейсы; разделы «для кого»; тарифы; отраслевые страницы; данные анализа уровней конкуренции; поисковые запросы.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«Сегмент: [роль/тип клиента] в [отрасль/контекст], который сталкивается с [проблема] и оценивает решение по [критерии выбора]».</w:t>
            </w:r>
          </w:p>
        </w:tc>
      </w:tr>
    </w:tbl>
    <w:p>
      <w:pPr>
        <w:pStyle w:val="Heading2Custom"/>
      </w:pPr>
      <w:r>
        <w:t>6.2. Ценностное предложение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Какой результат получает клиент; какая проблема снимается; какая боль уменьшается; какая выгода усиливается; почему решение лучше прямых, косвенных и альтернативных конкурентов.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качества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Связь с конкретной проблемой; проверяемость результата; отличие от конкурентов; наличие доказательств; отсутствие подмены ценности списком функций.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Анализ проблем; отзывы; модель Кано; модель Левитта; сравнительная таблица функций; анализ рыночного стандарта; анализ преимуществ.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«Для [сегмент], который сталкивается с [проблема], цифровой товар [название/тип] обеспечивает [результат] за счет [механизм ценности], в отличие от [альтернативы], которые [ограничение]».</w:t>
            </w:r>
          </w:p>
        </w:tc>
      </w:tr>
    </w:tbl>
    <w:p>
      <w:pPr>
        <w:pStyle w:val="Heading2Custom"/>
      </w:pPr>
      <w:r>
        <w:t>6.3. Каналы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Где клиент узнает о товаре; как сравнивает; как пробует; как покупает; как получает доступ; какие каналы работают у конкурентов; какие каналы позволяют снизить стоимость привлечения.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выбора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Соответствие сегменту; управляемость; измеримость; стоимость привлечения; доверие; возможность демонстрации ценности; масштабируемость.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Сайты конкурентов; поисковые выдачи; рекламные объявления; социальные сети; маркетплейсы; партнерские страницы; вебинары; блоги; рассылки; карточки приложений.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«Основной канал: [канал] для [этап пути клиента]; вспомогательный канал: [канал]; доказательство применимости: [наблюдение из анализа]».</w:t>
            </w:r>
          </w:p>
        </w:tc>
      </w:tr>
    </w:tbl>
    <w:p>
      <w:r>
        <w:br w:type="page"/>
      </w:r>
    </w:p>
    <w:p>
      <w:pPr>
        <w:pStyle w:val="Heading2Custom"/>
      </w:pPr>
      <w:r>
        <w:t>6.4. Отношения с клиентами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 клиент сопровождается до покупки, при внедрении и после начала использования; насколько важны поддержка, обучение, персональное сопровождение, самообслуживание, база знаний, сообщество.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выбора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Сложность товара; риск отказа; частота вопросов; требования к доверию; цена ошибки клиента; масштабируемость поддержки.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Отзывы о поддержке; сайты конкурентов; разделы помощи; демо; обучение; документация; пользовательские сообщества; условия обслуживания.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«Тип отношений: [самообслуживание/сопровождение/сообщество/персональный менеджер] на этапах [этапы], потому что [причина из анализа]».</w:t>
            </w:r>
          </w:p>
        </w:tc>
      </w:tr>
    </w:tbl>
    <w:p>
      <w:pPr>
        <w:pStyle w:val="Heading2Custom"/>
      </w:pPr>
      <w:r>
        <w:t>6.5. Потоки доходов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За что платит клиент; как часто; от чего зависит цена; какие ограничения тарифов используются; что является основной и дополнительной выручкой; где возможны апселл и расширение тарифа.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выбора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Связь цены с воспринимаемой ценностью; простота понимания тарифа; возможность масштабирования; соответствие конкурентным ожиданиям; отсутствие конфликта с использованием товара.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Тарифы конкурентов; страницы оплаты; условия пробного периода; отзывы о цене; модель цифрового товара; единица монетизации.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«Основной поток доходов: [модель оплаты] за [единица монетизации]; дополнительные потоки: [перечень]; тарифный ограничитель: [пользователь/объем/функция/результат]».</w:t>
            </w:r>
          </w:p>
        </w:tc>
      </w:tr>
    </w:tbl>
    <w:p>
      <w:pPr>
        <w:pStyle w:val="Heading2Custom"/>
      </w:pPr>
      <w:r>
        <w:t>6.6. Ключевые ресурсы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Какие ресурсы нужны для создания и поставки ценности: данные, код, алгоритмы, методика, контент, команда, бренд, инфраструктура, интеграции, пользовательская база.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значимости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Без ресурса ценность не создается; ресурс трудно скопировать; ресурс влияет на качество, скорость, доверие или масштабирование; ресурс связан с преимуществом.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Документация конкурентов; API; вакансии; описание технологий; продуктовые страницы; кейсы; данные о партнерствах; признаки сетевого эффекта.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«Ключевой ресурс: [ресурс], нужен для [создание/поставка/защита ценности], подтверждение: [источник]».</w:t>
            </w:r>
          </w:p>
        </w:tc>
      </w:tr>
    </w:tbl>
    <w:p>
      <w:r>
        <w:br w:type="page"/>
      </w:r>
    </w:p>
    <w:p>
      <w:pPr>
        <w:pStyle w:val="Heading2Custom"/>
      </w:pPr>
      <w:r>
        <w:t>6.7. Ключевые виды деятельности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Какие регулярные процессы обеспечивают ценность: разработка, обновление данных, модерация, поддержка, продажи, обучение, внедрение, аналитика, безопасность, управление контентом.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отбора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Процесс непосредственно влияет на ценность; процесс нужен постоянно; процесс формирует качество или преимущество; процесс связан с затратами и ресурсами.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Функциональность конкурентов; отзывы о проблемах; требования клиентов; разделы помощи; публичные обновления; вакансии; документы по безопасности.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«Ключевой процесс: [процесс], обеспечивает [результат], связан с ресурсом [ресурс] и влияет на [блок Канвас]».</w:t>
            </w:r>
          </w:p>
        </w:tc>
      </w:tr>
    </w:tbl>
    <w:p>
      <w:pPr>
        <w:pStyle w:val="Heading2Custom"/>
      </w:pPr>
      <w:r>
        <w:t>6.8. Ключевые партнеры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Какие внешние участники нужны для масштабирования, доверия, интеграций, данных, платежей, инфраструктуры, продаж, экспертизы или поставки отдельных частей ценности.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партнерства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Партнер снижает затраты или риск; ускоряет выход на рынок; дает доступ к клиентам, данным или инфраструктуре; повышает доверие; закрывает компетенцию.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Партнерские страницы конкурентов; интеграции; маркетплейсы; API; платежные системы; облачная инфраструктура; отраслевые ассоциации; кейсы.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«Партнер: [тип/компания], роль в модели: [роль], причина необходимости: [экономия/доступ/доверие/скорость/интеграция]».</w:t>
            </w:r>
          </w:p>
        </w:tc>
      </w:tr>
    </w:tbl>
    <w:p>
      <w:pPr>
        <w:pStyle w:val="Heading2Custom"/>
      </w:pPr>
      <w:r>
        <w:t>6.9. Структура затрат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Параметр</w:t>
            </w:r>
          </w:p>
        </w:tc>
        <w:tc>
          <w:tcPr>
            <w:tcW w:type="dxa" w:w="691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выяснить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Какие затраты требуются для запуска и работы модели: разработка, инфраструктура, данные, поддержка, маркетинг, продажи, партнеры, лицензии, безопасность, юридическое сопровождение.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Критерии классификации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Постоянные и переменные затраты; затраты рыночного стандарта; затраты преимущества; затраты масштабирования; затраты привлечения и удержания.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Источники ответов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Выводы о ресурсах и процессах; сайты конкурентов; вакансии; тарифы инфраструктурных сервисов; требования к поддержке; анализ каналов; сложность товара.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Форма записи</w:t>
            </w:r>
          </w:p>
        </w:tc>
        <w:tc>
          <w:tcPr>
            <w:tcW w:type="dxa" w:w="6917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«Ключевая статья затрат: [затрата], тип: [постоянная/переменная], причина: [ресурс/процесс/канал/партнерство], связь с ценностью: [описание]».</w:t>
            </w:r>
          </w:p>
        </w:tc>
      </w:tr>
    </w:tbl>
    <w:p>
      <w:r>
        <w:br w:type="page"/>
      </w:r>
    </w:p>
    <w:p>
      <w:pPr>
        <w:pStyle w:val="Heading1Custom"/>
      </w:pPr>
      <w:r>
        <w:t>7. Оценка доказательности и полноты бизнес-модели</w:t>
      </w:r>
    </w:p>
    <w:p>
      <w:pPr>
        <w:pStyle w:val="BodyText"/>
        <w:spacing w:after="120"/>
      </w:pPr>
      <w:r>
        <w:t>После заполнения Канвас необходимо оценить не только содержательную убедительность, но и степень доказательности. Это особенно важно, если бизнес-модель собирается на основе открытых данных конкурентов и отзывов: часть выводов будет подтверждена напрямую, часть будет реконструирована косвенно, а часть останется гипотезами.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494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Тип основания</w:t>
            </w:r>
          </w:p>
        </w:tc>
        <w:tc>
          <w:tcPr>
            <w:tcW w:type="dxa" w:w="5386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Описание</w:t>
            </w:r>
          </w:p>
        </w:tc>
        <w:tc>
          <w:tcPr>
            <w:tcW w:type="dxa" w:w="1134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Балл</w:t>
            </w:r>
          </w:p>
        </w:tc>
      </w:tr>
      <w:tr>
        <w:trPr>
          <w:cantSplit/>
        </w:trPr>
        <w:tc>
          <w:tcPr>
            <w:tcW w:type="dxa" w:w="249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Прямое доказательство</w:t>
            </w:r>
          </w:p>
        </w:tc>
        <w:tc>
          <w:tcPr>
            <w:tcW w:type="dxa" w:w="538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Информация явно указана на сайте конкурента, в тарифе, карточке товара, документации, публичном кейсе, отзыве или условиях использования.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Косвенное доказательство</w:t>
            </w:r>
          </w:p>
        </w:tc>
        <w:tc>
          <w:tcPr>
            <w:tcW w:type="dxa" w:w="538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Вывод логически следует из нескольких наблюдений, но не сформулирован источником напрямую.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9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Повторяющийся рыночный сигнал</w:t>
            </w:r>
          </w:p>
        </w:tc>
        <w:tc>
          <w:tcPr>
            <w:tcW w:type="dxa" w:w="538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Одинаковый признак встречается у нескольких прямых конкурентов или регулярно повторяется в отзывах.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9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Экспертная гипотеза</w:t>
            </w:r>
          </w:p>
        </w:tc>
        <w:tc>
          <w:tcPr>
            <w:tcW w:type="dxa" w:w="538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Вывод сформулирован аналитиком на основе общей логики рынка и требует проверки.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9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Нет доказательства</w:t>
            </w:r>
          </w:p>
        </w:tc>
        <w:tc>
          <w:tcPr>
            <w:tcW w:type="dxa" w:w="5386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Блок заполнен предположением без источника или не заполнен.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EF6FB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Индекс доказательности блока Канвас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Индекс доказательности блока = (сумма баллов по утверждениям блока / максимально возможная сумма баллов) × 100%.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Высокая доказательность: 75–100%. Средняя доказательность: 50–74%. Низкая доказательность: менее 50%.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Блок с низкой доказательностью не должен использоваться как окончательное управленческое решение без дополнительной проверки.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EF6FB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Индекс полноты бизнес-модели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Индекс полноты = (количество заполненных блоков Канвас с доказательностью не ниже 50% / 9) × 100%.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Минимально приемлемый уровень для первичной версии: 70%. Для стратегического решения желательно не ниже 85%.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EF6FB"/>
            <w:tcBorders>
              <w:top w:sz="8" w:val="single" w:color="4F81BD"/>
              <w:left w:sz="8" w:val="single" w:color="4F81BD"/>
              <w:bottom w:sz="8" w:val="single" w:color="4F81BD"/>
              <w:right w:sz="8" w:val="single" w:color="4F81BD"/>
            </w:tcBorders>
          </w:tcPr>
          <w:p>
            <w:pPr>
              <w:spacing w:after="40"/>
            </w:pPr>
            <w:r>
              <w:rPr>
                <w:b/>
                <w:color w:val="1F4E79"/>
                <w:sz w:val="20"/>
              </w:rPr>
              <w:t>Индекс связности бизнес-модели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Индекс связности = (количество подтвержденных связей между блоками / количество обязательных связей) × 100%.</w:t>
            </w:r>
          </w:p>
          <w:p>
            <w:pPr>
              <w:pStyle w:val="BodyText"/>
              <w:spacing w:after="20"/>
            </w:pPr>
            <w:r>
              <w:rPr>
                <w:sz w:val="17"/>
              </w:rPr>
              <w:t>Обязательные связи: сегмент → проблема → ценность → цифровой товар → единица монетизации → канал → отношения → ресурсы → процессы → затраты → доходы.</w:t>
            </w:r>
          </w:p>
        </w:tc>
      </w:tr>
    </w:tbl>
    <w:p>
      <w:r>
        <w:br w:type="page"/>
      </w:r>
    </w:p>
    <w:p>
      <w:pPr>
        <w:pStyle w:val="Heading1Custom"/>
      </w:pPr>
      <w:r>
        <w:t>8. Проверка связности бизнес-модели</w:t>
      </w:r>
    </w:p>
    <w:p>
      <w:pPr>
        <w:pStyle w:val="BodyText"/>
        <w:spacing w:after="120"/>
      </w:pPr>
      <w:r>
        <w:t>Связность означает, что блоки Канвас не противоречат друг другу. Например, нельзя указывать массовый низкомаржинальный сегмент и одновременно строить модель на персональном сопровождении без объяснения экономики. Нельзя обещать сложный результат, если в ресурсах и процессах нет данных, экспертизы, поддержки или инфраструктуры, которые позволяют этот результат обеспечить.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Связь</w:t>
            </w:r>
          </w:p>
        </w:tc>
        <w:tc>
          <w:tcPr>
            <w:tcW w:type="dxa" w:w="4082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Как проверить</w:t>
            </w:r>
          </w:p>
        </w:tc>
        <w:tc>
          <w:tcPr>
            <w:tcW w:type="dxa" w:w="2948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Что делать при противоречии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Клиентский сегмент ↔ проблема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Выбранный сегмент действительно испытывает заявленную проблему; проблема подтверждена отзывами, сайтами конкурентов, запросами или кейсами.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проблема универсальна, но сегмент выбран узко, проверить наличие более выгодного сегмента.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Проблема ↔ ценностное предложение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Ценность отвечает на проблему, а не описывает набор функций.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ценность звучит как список характеристик, переформулировать через результат клиента.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Ценность ↔ цифровой товар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Товар содержит функции и сервисные элементы, которые реально создают обещанный результат.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товар не несет ключевую ценность, пересмотреть состав товара или обещание.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Цифровой товар ↔ монетизация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То, за что платит клиент, совпадает с воспринимаемой ценностью и может быть измерено или ограничено.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цена привязана к неудобному параметру, проверить альтернативную единицу монетизации.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Каналы ↔ сегмент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Каналы соответствуют поведению выбранного клиента и этапам принятия решения.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канал выбран по примеру конкурента, проверить, относится ли конкурент к тому же уровню конкуренции.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Отношения ↔ сложность товара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Чем сложнее товар и выше риск ошибки, тем сильнее должна быть поддержка, обучение или сопровождение.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поддержка минимальна, а товар сложный, заложить образовательные материалы, внедрение или экспертное сопровождение.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Ресурсы ↔ преимущества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Заявленные преимущества обеспечены ресурсами, которые сложно быстро скопировать.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преимущество не имеет ресурсной основы, считать его слабой гипотезой.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Процессы ↔ качество поставки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Регулярные процессы обеспечивают стабильность, обновление, поддержку, безопасность и развитие товара.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процесс не описан, невозможно оценить операционную устойчивость модели.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Партнеры ↔ ресурсные ограничения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Партнеры закрывают реальные ограничения модели, а не добавлены формально.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партнерство не снижает риск, затраты или время выхода на рынок, оно не является ключевым.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4"/>
              </w:rPr>
              <w:t>Затраты ↔ доходы</w:t>
            </w:r>
          </w:p>
        </w:tc>
        <w:tc>
          <w:tcPr>
            <w:tcW w:type="dxa" w:w="4082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Доходная модель способна покрыть критические затраты с учетом масштаба, поддержки и привлечения клиентов.</w:t>
            </w:r>
          </w:p>
        </w:tc>
        <w:tc>
          <w:tcPr>
            <w:tcW w:type="dxa" w:w="294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4"/>
              </w:rPr>
              <w:t>Если затраты персональные, а цена массовая и низкая, пересмотреть обслуживание, автоматизацию или тарифы.</w:t>
            </w:r>
          </w:p>
        </w:tc>
      </w:tr>
    </w:tbl>
    <w:p>
      <w:r>
        <w:br w:type="page"/>
      </w:r>
    </w:p>
    <w:p>
      <w:pPr>
        <w:pStyle w:val="Heading1Custom"/>
      </w:pPr>
      <w:r>
        <w:t>9. Итоговые формы и контрольные листы</w:t>
      </w:r>
    </w:p>
    <w:p>
      <w:pPr>
        <w:pStyle w:val="BodyText"/>
        <w:spacing w:after="120"/>
      </w:pPr>
      <w:r>
        <w:t>Итоговые формы используются для переноса результатов в управленческий документ. Их можно применять как самостоятельные таблицы в отчете, приложении к презентации, техническом задании, финансовой модели или продуктовой стратегии.</w:t>
      </w:r>
    </w:p>
    <w:p>
      <w:pPr>
        <w:pStyle w:val="Heading2Custom"/>
      </w:pPr>
      <w:r>
        <w:t>9.1. Карточка заполнения блока Канвас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835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6520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6"/>
              </w:rPr>
              <w:t>Что заполнять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Блок Канвас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Например: ценностное предложение.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Краткая формулировка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Одно управленческое предложение без лишних пояснений.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Подтверждающие данные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Ссылки на страницы конкурентов, отзывы, тарифы, сравнительные таблицы, результаты анализа.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Уровень доказательности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Высокий / средний / низкий с указанием причины.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является фактом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Формулировка, напрямую подтвержденная источником.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является выводом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Интерпретация аналитика на основе нескольких фактов.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Что является гипотезой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То, что требует проверки через интервью, прототип, продажи, тест рекламы или расчет экономики.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Связанные блоки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Какие другие элементы Канвас зависят от данного блока.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Риск ошибки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Что произойдет, если формулировка окажется неверной.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Действие для проверки</w:t>
            </w:r>
          </w:p>
        </w:tc>
        <w:tc>
          <w:tcPr>
            <w:tcW w:type="dxa" w:w="652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6"/>
              </w:rPr>
              <w:t>Какой следующий шаг нужен для подтверждения.</w:t>
            </w:r>
          </w:p>
        </w:tc>
      </w:tr>
    </w:tbl>
    <w:p>
      <w:pPr>
        <w:pStyle w:val="Heading2Custom"/>
      </w:pPr>
      <w:r>
        <w:t>9.2. Контрольный лист готовности бизнес-модели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№</w:t>
            </w:r>
          </w:p>
        </w:tc>
        <w:tc>
          <w:tcPr>
            <w:tcW w:type="dxa" w:w="765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Критерий готовности</w:t>
            </w:r>
          </w:p>
        </w:tc>
        <w:tc>
          <w:tcPr>
            <w:tcW w:type="dxa" w:w="113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Отметка</w:t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Определен конкретный цифровой товар, а не общая идея продукта.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2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Сформулирован приоритетный клиентский сегмент.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3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Проблема сегмента подтверждена отзывами, сайтами конкурентов или иными источниками.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4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Ценностное предложение связано с проблемой и отличием от конкурентов.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5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Разделены рыночный стандарт и конкурентные преимущества.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6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Описана единица монетизации.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7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Потоки доходов согласованы с цифровым товаром.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8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Каналы соответствуют поведению выбранного сегмента.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9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Отношения с клиентами соответствуют сложности товара.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10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Ключевые ресурсы объясняют, как создается и защищается ценность.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11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Ключевые процессы позволяют поставить обещанный результат.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12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Партнеры указаны только там, где они действительно нужны модели.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13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Структура затрат соответствует ресурсам, процессам, каналам и поддержке.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14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 каждому блоку указаны источники доказательств.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67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15</w:t>
            </w:r>
          </w:p>
        </w:tc>
        <w:tc>
          <w:tcPr>
            <w:tcW w:type="dxa" w:w="765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Выделены гипотезы, требующие проверки.</w:t>
            </w:r>
          </w:p>
        </w:tc>
        <w:tc>
          <w:tcPr>
            <w:tcW w:type="dxa" w:w="1134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</w:r>
          </w:p>
        </w:tc>
      </w:tr>
    </w:tbl>
    <w:p>
      <w:r>
        <w:br w:type="page"/>
      </w:r>
    </w:p>
    <w:p>
      <w:pPr>
        <w:pStyle w:val="Heading1Custom"/>
      </w:pPr>
      <w:r>
        <w:t>10. Пример формулировки итогового паспорта бизнес-модели</w:t>
      </w:r>
    </w:p>
    <w:p>
      <w:pPr>
        <w:pStyle w:val="BodyText"/>
        <w:spacing w:after="120"/>
      </w:pPr>
      <w:r>
        <w:t>Паспорт бизнес-модели является кратким итогом заполненного Канвас. Он должен быть написан так, чтобы по нему можно было понять логику бизнеса без обращения ко всем исходным таблицам анализа.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721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Поле паспорта</w:t>
            </w:r>
          </w:p>
        </w:tc>
        <w:tc>
          <w:tcPr>
            <w:tcW w:type="dxa" w:w="6690"/>
            <w:shd w:fill="E2F0D9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Название бизнес-модели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Цифровой товар для [сегмент], решающий [проблема] через [основной механизм ценности].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Клиентский сегмент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[Роль/тип клиента] с [частота проблемы], [уровень платежеспособности], [тип решения сейчас].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Проблема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[Конкретная проблема], подтвержденная [источник 1], [источник 2], [повторяемость].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Ценностное предложение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Клиент получает [измеримый результат] за счет [механизм], что лучше альтернативы [альтернатива] по [критерий].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Цифровой товар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[Тип товара]: включает [базовые свойства], [ожидаемые свойства], [усилители ценности].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Единица монетизации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Клиент платит за [доступ/пользователя/объем/результат/транзакцию/пакет/модуль].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Каналы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Основные каналы: [канал 1], [канал 2]. Каналы выбраны, потому что [доказательство из анализа].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Отношения с клиентами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[Самообслуживание/обучение/сопровождение/поддержка/сообщество] на этапах [этапы].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Ключевые ресурсы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[Данные/технология/методика/контент/команда/бренд/интеграции], необходимые для [создание ценности].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Ключевые процессы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[Разработка/обновление/поддержка/модерация/продажи/обучение/аналитика], обеспечивающие [результат].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Партнеры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[Типы партнеров], необходимые для [канал/доверие/интеграция/инфраструктура/данные].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Затраты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Основные затраты: [затрата 1], [затрата 2], [затрата 3]. Критические затраты связаны с [ресурс/процесс/канал].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Ключевые гипотезы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[Гипотеза о сегменте], [гипотеза о цене], [гипотеза о канале], [гипотеза о товарной функции].</w:t>
            </w:r>
          </w:p>
        </w:tc>
      </w:tr>
      <w:tr>
        <w:trPr>
          <w:cantSplit/>
        </w:trPr>
        <w:tc>
          <w:tcPr>
            <w:tcW w:type="dxa" w:w="2721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Следующие проверки</w:t>
            </w:r>
          </w:p>
        </w:tc>
        <w:tc>
          <w:tcPr>
            <w:tcW w:type="dxa" w:w="6690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Интервью с клиентами; проверка спроса; тест посадочной страницы; расчет экономики; прототип; тест тарифов.</w:t>
            </w:r>
          </w:p>
        </w:tc>
      </w:tr>
    </w:tbl>
    <w:p>
      <w:r>
        <w:br w:type="page"/>
      </w:r>
    </w:p>
    <w:p>
      <w:pPr>
        <w:pStyle w:val="Heading1Custom"/>
      </w:pPr>
      <w:r>
        <w:t>Приложение. Матрица источников ответов по блокам Канвас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24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Блок Канвас</w:t>
            </w:r>
          </w:p>
        </w:tc>
        <w:tc>
          <w:tcPr>
            <w:tcW w:type="dxa" w:w="3628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Основные источники</w:t>
            </w:r>
          </w:p>
        </w:tc>
        <w:tc>
          <w:tcPr>
            <w:tcW w:type="dxa" w:w="3458"/>
            <w:shd w:fill="D9EAF7"/>
            <w:vAlign w:val="center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5"/>
              </w:rPr>
              <w:t>Что искать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Клиентские сегменты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Анализ отзывов; сайты конкурентов; отраслевые страницы; кейсы; классификация конкурентов.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Отзывы по ролям, страницы «для кого», кейсы отраслей, тарифы для разных клиентов.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Ценностное предложение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Анализ проблем; модель Кано; модель Левитта; анализ преимуществ; анализ рыночного стандарта.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Повторяющиеся боли, привлекательные признаки, отличия от конкурентов, пробелы рынка.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Каналы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Анализ сайтов конкурентов; рекламные объявления; поисковые запросы; социальные сети; маркетплейсы.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Посадочные страницы, демо, блог, партнерские страницы, карточки приложений, вебинары.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Отношения с клиентами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Отзывы; базы знаний; поддержка конкурентов; условия обслуживания; обучение.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Жалобы на поддержку, наличие чата, документации, консультаций, обучения, сообщества.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Потоки доходов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Тарифы конкурентов; условия оплаты; анализ единицы монетизации; отзывы о цене.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Подписки, лицензии, комиссии, пробные периоды, тарифные лимиты, платные модули.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Ключевые ресурсы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Документация; API; вакансии; признаки использования данных; интеграции; методические материалы.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Технологии, данные, команда, инфраструктура, контент, бренд, права, пользовательская база.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Ключевые виды деятельности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Функции товара; отзывы; обновления; поддержка; вакансии; страницы безопасности.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Разработка, данные, модерация, поддержка, продажи, обучение, безопасность, аналитика.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Ключевые партнеры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Партнерские страницы; интеграции; платежные решения; маркетплейсы; облачные сервисы; кейсы.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Интеграции, канальные партнеры, поставщики данных, инфраструктура, экспертные партнерства.</w:t>
            </w:r>
          </w:p>
        </w:tc>
      </w:tr>
      <w:tr>
        <w:trPr>
          <w:cantSplit/>
        </w:trPr>
        <w:tc>
          <w:tcPr>
            <w:tcW w:type="dxa" w:w="2324"/>
            <w:shd w:fill="F3F6FA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/>
                <w:sz w:val="15"/>
              </w:rPr>
              <w:t>Структура затрат</w:t>
            </w:r>
          </w:p>
        </w:tc>
        <w:tc>
          <w:tcPr>
            <w:tcW w:type="dxa" w:w="362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Выводы из ресурсов, процессов, каналов и партнерств; вакансии; инфраструктурные требования.</w:t>
            </w:r>
          </w:p>
        </w:tc>
        <w:tc>
          <w:tcPr>
            <w:tcW w:type="dxa" w:w="3458"/>
            <w:vAlign w:val="top"/>
            <w:tcBorders>
              <w:top w:sz="4" w:val="single" w:color="B7B7B7"/>
              <w:left w:sz="4" w:val="single" w:color="B7B7B7"/>
              <w:bottom w:sz="4" w:val="single" w:color="B7B7B7"/>
              <w:right w:sz="4" w:val="single" w:color="B7B7B7"/>
            </w:tcBorders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Разработка, хостинг, данные, поддержка, маркетинг, продажи, лицензии, безопасность, юридические затраты.</w:t>
            </w:r>
          </w:p>
        </w:tc>
      </w:tr>
    </w:tbl>
    <w:p>
      <w:r>
        <w:br w:type="page"/>
      </w:r>
    </w:p>
    <w:p>
      <w:pPr>
        <w:pStyle w:val="Heading1Custom"/>
      </w:pPr>
      <w:r>
        <w:t>Заключительные методические положения</w:t>
      </w:r>
    </w:p>
    <w:p>
      <w:pPr>
        <w:pStyle w:val="ListBullet"/>
      </w:pPr>
      <w:r>
        <w:t>Канвас бизнес-модели не должен заполняться как формальная анкета. Каждый блок должен отражать управленческое решение, выведенное из анализа проблем, конкурентов, отзывов, товара и монетизации.</w:t>
      </w:r>
    </w:p>
    <w:p>
      <w:pPr>
        <w:pStyle w:val="ListBullet"/>
      </w:pPr>
      <w:r>
        <w:t>Главная ошибка при сборке бизнес-модели — начинать с функций цифрового товара, а не с проблемы клиента и единицы ценности. Функции имеют значение только тогда, когда они объясняют, почему клиент получает результат и готов платить.</w:t>
      </w:r>
    </w:p>
    <w:p>
      <w:pPr>
        <w:pStyle w:val="ListBullet"/>
      </w:pPr>
      <w:r>
        <w:t>Вторая типичная ошибка — смешивать рыночный стандарт и конкурентное преимущество. Рыночный стандарт необходимо выполнить, но он редко сам по себе создает основание для выбора. Преимущество должно быть видно клиенту и подтверждаться ресурсами или процессами, которые трудно быстро скопировать.</w:t>
      </w:r>
    </w:p>
    <w:p>
      <w:pPr>
        <w:pStyle w:val="ListBullet"/>
      </w:pPr>
      <w:r>
        <w:t>Третья ошибка — указывать доходы без связи с единицей монетизации. Для цифрового товара особенно важно точно определить, что именно продается: доступ, пользователь, результат, объем, транзакция, модуль, пакет или сопровождение.</w:t>
      </w:r>
    </w:p>
    <w:p>
      <w:pPr>
        <w:pStyle w:val="ListBullet"/>
      </w:pPr>
      <w:r>
        <w:t>Итоговая бизнес-модель должна быть не окончательной догмой, а проверяемой системой гипотез. Чем ниже доказательность блока, тем выше приоритет его проверки через интервью, прототип, рекламу, продажи или финансовый расчет.</w:t>
      </w:r>
    </w:p>
    <w:sectPr w:rsidR="00FC693F" w:rsidRPr="0006063C" w:rsidSect="00034616">
      <w:pgSz w:w="12240" w:h="15840"/>
      <w:pgMar w:top="907" w:right="79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Рабочий документ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Методика сборки бизнес-модели по Канвас на основе аналитических результатов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/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Liberation Sans" w:hAnsi="Liberation Sans" w:eastAsia="Liberation Sans"/>
      <w:b w:val="0"/>
      <w:color w:val="000000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00"/>
    </w:pPr>
    <w:rPr>
      <w:rFonts w:ascii="Liberation Sans" w:hAnsi="Liberation Sans" w:eastAsia="Liberation Sans"/>
      <w:b w:val="0"/>
      <w:bCs/>
      <w:color w:val="59595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 Main"/>
    <w:basedOn w:val="Title"/>
    <w:pPr>
      <w:spacing w:after="100" w:line="259" w:lineRule="auto"/>
    </w:pPr>
    <w:rPr>
      <w:rFonts w:ascii="Liberation Sans" w:hAnsi="Liberation Sans" w:eastAsia="Liberation Sans"/>
      <w:b/>
      <w:color w:val="1F4E79"/>
      <w:sz w:val="44"/>
    </w:rPr>
  </w:style>
  <w:style w:type="paragraph" w:customStyle="1" w:styleId="Heading1Custom">
    <w:name w:val="Heading 1 Custom"/>
    <w:basedOn w:val="Heading1"/>
    <w:pPr>
      <w:keepNext/>
      <w:spacing w:before="160" w:after="80"/>
    </w:pPr>
    <w:rPr>
      <w:rFonts w:ascii="Liberation Sans" w:hAnsi="Liberation Sans" w:eastAsia="Liberation Sans"/>
      <w:b/>
      <w:color w:val="1F4E79"/>
      <w:sz w:val="30"/>
    </w:rPr>
  </w:style>
  <w:style w:type="paragraph" w:customStyle="1" w:styleId="Heading2Custom">
    <w:name w:val="Heading 2 Custom"/>
    <w:basedOn w:val="Heading2"/>
    <w:pPr>
      <w:keepNext/>
      <w:spacing w:before="160" w:after="80"/>
    </w:pPr>
    <w:rPr>
      <w:rFonts w:ascii="Liberation Sans" w:hAnsi="Liberation Sans" w:eastAsia="Liberation Sans"/>
      <w:b/>
      <w:color w:val="2F5597"/>
      <w:sz w:val="24"/>
    </w:rPr>
  </w:style>
  <w:style w:type="paragraph" w:customStyle="1" w:styleId="Heading3Custom">
    <w:name w:val="Heading 3 Custom"/>
    <w:basedOn w:val="Heading3"/>
    <w:pPr>
      <w:keepNext/>
      <w:spacing w:before="160" w:after="80"/>
    </w:pPr>
    <w:rPr>
      <w:rFonts w:ascii="Liberation Sans" w:hAnsi="Liberation Sans" w:eastAsia="Liberation Sans"/>
      <w:b/>
      <w:color w:val="404040"/>
      <w:sz w:val="21"/>
    </w:rPr>
  </w:style>
  <w:style w:type="paragraph" w:customStyle="1" w:styleId="BodySmall">
    <w:name w:val="Body Small"/>
    <w:basedOn w:val="Normal"/>
    <w:pPr>
      <w:spacing w:after="100" w:line="259" w:lineRule="auto"/>
    </w:pPr>
    <w:rPr>
      <w:rFonts w:ascii="Liberation Sans" w:hAnsi="Liberation Sans" w:eastAsia="Liberation Sans"/>
      <w:b w:val="0"/>
      <w:color w:val="000000"/>
      <w:sz w:val="17"/>
    </w:rPr>
  </w:style>
  <w:style w:type="paragraph" w:customStyle="1" w:styleId="ListBulletSmall">
    <w:name w:val="List Bullet Small"/>
    <w:basedOn w:val="ListBullet"/>
    <w:pPr>
      <w:spacing w:after="20"/>
    </w:pPr>
    <w:rPr>
      <w:rFonts w:ascii="Liberation Sans" w:hAnsi="Liberation Sans" w:eastAsia="Liberation San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сборки бизнес-модели по Канвас на основе анализа</dc:title>
  <dc:subject>Бизнес-модель цифрового товара, Канвас, анализ конкурентов, ценностное предложение, монетизация</dc:subject>
  <dc:creator>OpenAI</dc:creator>
  <cp:keywords>бизнес-модель, канвас, цифровой товар, ценностное предложение, конкуренты, отзывы, монетизация</cp:keywords>
  <dc:description>Создано как профессиональная методика для анализа и проектирования цифрового товара.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