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  <w:jc w:val="center"/>
      </w:pPr>
      <w:r>
        <w:rPr>
          <w:rFonts w:ascii="Times New Roman" w:cs="Times New Roman" w:eastAsia="Times New Roman" w:hAnsi="Times New Roman"/>
          <w:b/>
          <w:bCs/>
          <w:color w:val="CC0000"/>
          <w:sz w:val="28"/>
          <w:szCs w:val="28"/>
        </w:rPr>
        <w:t xml:space="preserve">AFRILAND FIRST BANK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color w:val="6B6B6B"/>
          <w:sz w:val="24"/>
          <w:szCs w:val="24"/>
        </w:rPr>
        <w:t xml:space="preserve">Direction des Systèmes d'Information</w:t>
      </w:r>
    </w:p>
    <w:p>
      <w:pPr>
        <w:spacing w:after="80" w:before="48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z w:val="24"/>
          <w:szCs w:val="24"/>
        </w:rPr>
        <w:t xml:space="preserve">ASTYANN</w:t>
      </w:r>
    </w:p>
    <w:p>
      <w:pPr>
        <w:spacing w:after="160" w:before="72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z w:val="36"/>
          <w:szCs w:val="36"/>
        </w:rPr>
        <w:t xml:space="preserve">API Contract</w:t>
      </w:r>
    </w:p>
    <w:p>
      <w:pPr>
        <w:spacing w:after="80" w:befor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${project.name}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color w:val="6B6B6B"/>
          <w:sz w:val="24"/>
          <w:szCs w:val="24"/>
        </w:rPr>
        <w:t xml:space="preserve">${project.organisationName}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color w:val="6B6B6B"/>
          <w:sz w:val="20"/>
          <w:szCs w:val="20"/>
        </w:rPr>
        <w:t xml:space="preserve">Version ${project.version} | ${project.date}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1. Introduction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${introduction}</w:t>
      </w:r>
    </w:p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2. General Principles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2.1 Authentication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${generalPrinciples.authentication}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2.2 Pagination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${generalPrinciples.pagination}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2.3 Idempotency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${generalPrinciples.idempotency}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2.4 Error Format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${generalPrinciples.errorFormat}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2.5 Transport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${generalPrinciples.transport}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2.6 Versioning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${generalPrinciples.versioning}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2.7 Rate Limiting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${generalPrinciples.rateLimiting}</w:t>
      </w:r>
    </w:p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3. Canonical HTTP Response Codes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38"/>
        <w:gridCol w:w="6000"/>
      </w:tblGrid>
      <w:tr>
        <w:trPr>
          <w:tblHeader/>
        </w:trPr>
        <w:tc>
          <w:tcPr>
            <w:tcW w:type="dxa" w:w="1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Code</w:t>
            </w:r>
          </w:p>
        </w:tc>
        <w:tc>
          <w:tcPr>
            <w:tcW w:type="dxa" w:w="26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Description and Corrective Action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${httpCode.code}</w:t>
            </w:r>
          </w:p>
        </w:tc>
        <w:tc>
          <w:tcPr>
            <w:tcW w:type="dxa" w:w="26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${httpCode.name}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${httpCode.description}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4. Endpoint Groups</w:t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${endpointGroup.name}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Endpoint Summary: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3438"/>
        <w:gridCol w:w="4000"/>
      </w:tblGrid>
      <w:tr>
        <w:trPr>
          <w:tblHeader/>
        </w:trPr>
        <w:tc>
          <w:tcPr>
            <w:tcW w:type="dxa" w:w="12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API Code</w:t>
            </w:r>
          </w:p>
        </w:tc>
        <w:tc>
          <w:tcPr>
            <w:tcW w:type="dxa" w:w="1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438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4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${endpoint.apiCode}</w:t>
            </w:r>
          </w:p>
        </w:tc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${endpoint.method}</w:t>
            </w:r>
          </w:p>
        </w:tc>
        <w:tc>
          <w:tcPr>
            <w:tcW w:type="dxa" w:w="34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${endpoint.path}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${endpoint.description}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Endpoint Detail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Method &amp; Path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${endpointDetail.method} ${endpointDetail.path}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API Code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${endpointDetail.apiCode}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Path Parameters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${endpointDetail.pathParameters}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Query Parameters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${endpointDetail.queryParameters}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Body Parameters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${endpointDetail.bodyParameters}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Required Headers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${endpointDetail.requiredHeaders}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Request Schema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${endpointDetail.requestSchema}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Response Schema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${endpointDetail.responseSchema}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Status Codes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${endpointDetail.statusCodes}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FR Covered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${endpointDetail.frCovered}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Security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${endpointDetail.security}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Idempotent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${endpointDetail.idempotent}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5. Outgoing Webhook Events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${webhookEvents}</w:t>
      </w:r>
    </w:p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6. API Security</w:t>
      </w:r>
    </w:p>
    <w:p>
      <w:pPr>
        <w:spacing w:after="120" w:line="276" w:lineRule="auto"/>
        <w:ind w:firstLine="567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A1A1A"/>
          <w:sz w:val="24"/>
          <w:szCs w:val="24"/>
        </w:rPr>
        <w:t xml:space="preserve">${apiSecurity}</w:t>
      </w:r>
    </w:p>
    <w:p>
      <w:pPr>
        <w:spacing w:after="120"/>
      </w:pPr>
      <w:r>
        <w:t xml:space="preserve"/>
      </w:r>
    </w:p>
    <w:p>
      <w:pPr>
        <w:pStyle w:val="Heading1"/>
        <w:spacing w:after="200" w:before="360"/>
      </w:pPr>
      <w:r>
        <w:rPr>
          <w:rFonts w:ascii="Times New Roman" w:cs="Times New Roman" w:eastAsia="Times New Roman" w:hAnsi="Times New Roman"/>
          <w:b/>
          <w:bCs/>
          <w:color w:val="1A1A1A"/>
          <w:sz w:val="32"/>
          <w:szCs w:val="32"/>
        </w:rPr>
        <w:t xml:space="preserve">7. Traceability Matrix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3000"/>
        <w:gridCol w:w="1446"/>
        <w:gridCol w:w="1446"/>
        <w:gridCol w:w="1446"/>
      </w:tblGrid>
      <w:tr>
        <w:trPr>
          <w:tblHeader/>
        </w:trPr>
        <w:tc>
          <w:tcPr>
            <w:tcW w:type="dxa" w:w="14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API Code</w:t>
            </w:r>
          </w:p>
        </w:tc>
        <w:tc>
          <w:tcPr>
            <w:tcW w:type="dxa" w:w="9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000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1446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FR</w:t>
            </w:r>
          </w:p>
        </w:tc>
        <w:tc>
          <w:tcPr>
            <w:tcW w:type="dxa" w:w="1446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UC</w:t>
            </w:r>
          </w:p>
        </w:tc>
        <w:tc>
          <w:tcPr>
            <w:tcW w:type="dxa" w:w="1446"/>
            <w:shd w:fill="CC0000" w:color="CC0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US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${trace.apiCode}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${trace.method}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${trace.path}</w:t>
            </w:r>
          </w:p>
        </w:tc>
        <w:tc>
          <w:tcPr>
            <w:tcW w:type="dxa" w:w="144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${trace.frCovered}</w:t>
            </w:r>
          </w:p>
        </w:tc>
        <w:tc>
          <w:tcPr>
            <w:tcW w:type="dxa" w:w="144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${trace.ucCovered}</w:t>
            </w:r>
          </w:p>
        </w:tc>
        <w:tc>
          <w:tcPr>
            <w:tcW w:type="dxa" w:w="144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${trace.usCovered}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rPr>
          <w:rFonts w:ascii="Times New Roman" w:cs="Times New Roman" w:eastAsia="Times New Roman" w:hAnsi="Times New Roman"/>
          <w:b/>
          <w:bCs/>
          <w:color w:val="1A1A1A"/>
          <w:sz w:val="26"/>
          <w:szCs w:val="26"/>
          <w:u w:val="single"/>
        </w:rPr>
        <w:t xml:space="preserve">7.1 Coverage Statistics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Total endpoints defined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${coverageStats.totalEndpoints}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Functional requirements covered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${coverageStats.frCovered}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cases covered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${coverageStats.ucCovered}</w:t>
            </w:r>
          </w:p>
        </w:tc>
      </w:tr>
      <w:tr>
        <w:tc>
          <w:tcPr>
            <w:tcW w:type="dxa" w:w="3373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Coverage percentage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${coverageStats.coveragePercent}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Times New Roman" w:cs="Times New Roman" w:eastAsia="Times New Roman" w:hAnsi="Times New Roman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Times New Roman" w:cs="Times New Roman" w:eastAsia="Times New Roman" w:hAnsi="Times New Roman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2026-07-14T08:17:09.812Z</dcterms:created>
  <dcterms:modified xsi:type="dcterms:W3CDTF">2026-07-14T08:17:09.813Z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