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rPr>
          <w:rFonts w:ascii="Arial" w:hAnsi="Arial" w:cs="Arial"/>
          <w:b/>
          <w:i w:val="0"/>
          <w:color w:val="000000"/>
          <w:sz w:val="42"/>
        </w:rPr>
        <w:t>Αναδημιουργία του Μοντέλου Ανάθεσης Στόλου</w:t>
      </w:r>
    </w:p>
    <w:p>
      <w:pPr>
        <w:spacing w:after="280"/>
      </w:pPr>
      <w:r>
        <w:rPr>
          <w:rFonts w:ascii="Arial" w:hAnsi="Arial" w:cs="Arial"/>
          <w:b w:val="0"/>
          <w:i/>
          <w:color w:val="555555"/>
          <w:sz w:val="23"/>
        </w:rPr>
        <w:t>Αναλυτική τεχνική αναφορά για την Envoy Air τον Ιανουάριο 2023</w:t>
      </w:r>
    </w:p>
    <w:p>
      <w:pPr>
        <w:pStyle w:val="Heading1"/>
        <w:keepNext/>
        <w:spacing w:before="0" w:after="120"/>
      </w:pPr>
      <w:r>
        <w:rPr>
          <w:rFonts w:ascii="Arial" w:hAnsi="Arial" w:cs="Arial"/>
          <w:b w:val="0"/>
          <w:i w:val="0"/>
          <w:color w:val="000000"/>
          <w:sz w:val="21"/>
        </w:rPr>
        <w:t>Περίληψη</w:t>
      </w:r>
    </w:p>
    <w:p>
      <w:pPr>
        <w:keepNext w:val="0"/>
        <w:spacing w:before="0" w:after="120"/>
      </w:pPr>
      <w:r>
        <w:rPr>
          <w:rFonts w:ascii="Arial" w:hAnsi="Arial" w:cs="Arial"/>
          <w:b w:val="0"/>
          <w:i w:val="0"/>
          <w:color w:val="000000"/>
          <w:sz w:val="21"/>
        </w:rPr>
        <w:t>Η εργασία αφορά την αναδημιουργία του συμβατικού Fleet Assignment Model (FAM) που παρουσιάζεται στο άρθρο των Chan et al., «Optimizing Fleet Assignment Decisions for Regional Airlines with Hybrid Electric Aircraft Uptake», στο ICAS 2024. Το μοντέλο αναθέτει έναν τύπο αεροσκάφους σε κάθε προγραμματισμένη πτήση, ελαχιστοποιώντας το λειτουργικό κόστος και το κόστος spill επιβατών, ενώ ταυτόχρονα επιβάλλει τη χρονική και χωρική διαθεσιμότητα των αεροσκαφών.</w:t>
      </w:r>
    </w:p>
    <w:p>
      <w:pPr>
        <w:keepNext w:val="0"/>
        <w:spacing w:before="0" w:after="120"/>
      </w:pPr>
      <w:r>
        <w:rPr>
          <w:rFonts w:ascii="Arial" w:hAnsi="Arial" w:cs="Arial"/>
          <w:b w:val="0"/>
          <w:i w:val="0"/>
          <w:color w:val="000000"/>
          <w:sz w:val="21"/>
        </w:rPr>
        <w:t>Το workflow ξεκίνησε από τη μελέτη του paper και τη χαρτογράφηση των διαθέσιμων αρχείων του project. Στη συνέχεια έγινε προετοιμασία του προγράμματος πτήσεων, συγχώνευση δεδομένων ζήτησης και ναύλων, δημιουργία του πίνακα κόστους, ανακατασκευή της αρχικής θέσης των αεροσκαφών, διάγνωση μη εφικτότητας, διόρθωση της αρχικής κατανομής και τελική επίλυση του FAM.</w:t>
      </w:r>
    </w:p>
    <w:p>
      <w:pPr>
        <w:keepNext w:val="0"/>
        <w:spacing w:before="0" w:after="120"/>
      </w:pPr>
      <w:r>
        <w:rPr>
          <w:rFonts w:ascii="Arial" w:hAnsi="Arial" w:cs="Arial"/>
          <w:b w:val="0"/>
          <w:i w:val="0"/>
          <w:color w:val="000000"/>
          <w:sz w:val="21"/>
        </w:rPr>
        <w:t>Το τελευταίο αποθηκευμένο αποτέλεσμα του project είναι βέλτιστη λύση με συνολικό κόστος 79.096.176,93 USD και 18.849 καλυμμένες πτήσεις. Η λύση είναι περίπου 8,2% υψηλότερη από το συμβατικό baseline του paper, που είναι περίπου 73,10 εκατ. USD. Ο validation κώδικας επιβεβαιώνει ότι οι 18.849 εγγραφές του FAM αντιστοιχούν σε 18.849 εγγραφές του actual schedule και ότι 13.633 από τις 18.367 επιλέξιμες operated πτήσεις έχουν ίδιο τύπο αεροσκάφους με το FAA-based actual mapping, δηλαδή match rate 74,23%.</w:t>
      </w:r>
    </w:p>
    <w:p>
      <w:pPr>
        <w:pStyle w:val="Heading1"/>
        <w:keepNext/>
        <w:spacing w:before="0" w:after="120"/>
      </w:pPr>
      <w:r>
        <w:rPr>
          <w:rFonts w:ascii="Arial" w:hAnsi="Arial" w:cs="Arial"/>
          <w:b w:val="0"/>
          <w:i w:val="0"/>
          <w:color w:val="000000"/>
          <w:sz w:val="21"/>
        </w:rPr>
        <w:t>1. Αντικείμενο και στόχος της αναδημιουργίας</w:t>
      </w:r>
    </w:p>
    <w:p>
      <w:pPr>
        <w:keepNext w:val="0"/>
        <w:spacing w:before="0" w:after="120"/>
      </w:pPr>
      <w:r>
        <w:rPr>
          <w:rFonts w:ascii="Arial" w:hAnsi="Arial" w:cs="Arial"/>
          <w:b w:val="0"/>
          <w:i w:val="0"/>
          <w:color w:val="000000"/>
          <w:sz w:val="21"/>
        </w:rPr>
        <w:t>Το ζητούμενο δεν ήταν απλώς να εκτελεστεί ένας solver. Χρειάστηκε να ανακατασκευαστεί ολόκληρη η αλυσίδα που οδηγεί στο FAM, από τα ακατέργαστα ή ενδιάμεσα δεδομένα μέχρι μια εφικτή αρχική κατάσταση και μια τελική ανάθεση τύπων αεροσκαφών.</w:t>
      </w:r>
    </w:p>
    <w:p>
      <w:pPr>
        <w:keepNext w:val="0"/>
        <w:spacing w:before="0" w:after="120"/>
      </w:pPr>
      <w:r>
        <w:rPr>
          <w:rFonts w:ascii="Arial" w:hAnsi="Arial" w:cs="Arial"/>
          <w:b w:val="0"/>
          <w:i w:val="0"/>
          <w:color w:val="000000"/>
          <w:sz w:val="21"/>
        </w:rPr>
        <w:t>Η βασική λειτουργική ερώτηση ήταν: δεδομένου του προγράμματος της Envoy Air και του διαθέσιμου στόλου ERJ145, ERJ170 και ERJ175, ποιος τύπος αεροσκάφους πρέπει να ανατεθεί σε κάθε πτήση ώστε να ελαχιστοποιηθεί το συνολικό κόστος χωρίς να παραβιάζεται η φυσική ροή των αεροσκαφών στο δίκτυο;</w:t>
      </w:r>
    </w:p>
    <w:p>
      <w:pPr>
        <w:keepNext w:val="0"/>
        <w:spacing w:before="0" w:after="120"/>
      </w:pPr>
      <w:r>
        <w:rPr>
          <w:rFonts w:ascii="Arial" w:hAnsi="Arial" w:cs="Arial"/>
          <w:b w:val="0"/>
          <w:i w:val="0"/>
          <w:color w:val="000000"/>
          <w:sz w:val="21"/>
        </w:rPr>
        <w:t>Στην αναφορά διακρίνονται τρία επίπεδα πληροφορίας:</w:t>
      </w:r>
    </w:p>
    <w:p>
      <w:pPr>
        <w:pStyle w:val="ListBullet"/>
        <w:spacing w:after="60"/>
      </w:pPr>
      <w:r>
        <w:rPr>
          <w:rFonts w:ascii="Arial" w:hAnsi="Arial" w:cs="Arial"/>
          <w:b w:val="0"/>
          <w:i w:val="0"/>
          <w:color w:val="000000"/>
          <w:sz w:val="21"/>
        </w:rPr>
        <w:t>Στοιχεία του paper: μαθηματική δομή, ορισμός κόστους, αναφερόμενα δεδομένα και benchmark αποτελέσματα.</w:t>
      </w:r>
    </w:p>
    <w:p>
      <w:pPr>
        <w:pStyle w:val="ListBullet"/>
        <w:spacing w:after="60"/>
      </w:pPr>
      <w:r>
        <w:rPr>
          <w:rFonts w:ascii="Arial" w:hAnsi="Arial" w:cs="Arial"/>
          <w:b w:val="0"/>
          <w:i w:val="0"/>
          <w:color w:val="000000"/>
          <w:sz w:val="21"/>
        </w:rPr>
        <w:t>Στοιχεία της υλοποίησης: scripts, CSV αρχεία και επιλογές προεπεξεργασίας του project.</w:t>
      </w:r>
    </w:p>
    <w:p>
      <w:pPr>
        <w:pStyle w:val="ListBullet"/>
        <w:spacing w:after="60"/>
      </w:pPr>
      <w:r>
        <w:rPr>
          <w:rFonts w:ascii="Arial" w:hAnsi="Arial" w:cs="Arial"/>
          <w:b w:val="0"/>
          <w:i w:val="0"/>
          <w:color w:val="000000"/>
          <w:sz w:val="21"/>
        </w:rPr>
        <w:t>Παραδοχές ή προσεγγίσεις: σημεία όπου δεν υπήρχε διαθέσιμη η πλήρης εσωτερική ή ιστορική πληροφορία του paper.</w:t>
      </w:r>
    </w:p>
    <w:p>
      <w:pPr>
        <w:pStyle w:val="Heading1"/>
        <w:keepNext/>
        <w:spacing w:before="0" w:after="120"/>
      </w:pPr>
      <w:r>
        <w:rPr>
          <w:rFonts w:ascii="Arial" w:hAnsi="Arial" w:cs="Arial"/>
          <w:b w:val="0"/>
          <w:i w:val="0"/>
          <w:color w:val="000000"/>
          <w:sz w:val="21"/>
        </w:rPr>
        <w:t>2. Από πού πήραμε τα δεδομένα και τις πληροφορίες</w:t>
      </w:r>
    </w:p>
    <w:p>
      <w:pPr>
        <w:keepNext w:val="0"/>
        <w:spacing w:before="0" w:after="120"/>
      </w:pPr>
      <w:r>
        <w:rPr>
          <w:rFonts w:ascii="Arial" w:hAnsi="Arial" w:cs="Arial"/>
          <w:b w:val="0"/>
          <w:i w:val="0"/>
          <w:color w:val="000000"/>
          <w:sz w:val="21"/>
        </w:rPr>
        <w:t>Η αναδημιουργία βασίστηκε σε δύο ομάδες πηγών: το άρθρο αναφοράς και τα αρχεία του project. Το paper χρησιμοποιήθηκε για να κατανοηθεί η προβλεπόμενη μεθοδολογία, ενώ τα τοπικά αρχεία χρησιμοποιήθηκαν για την πραγματική εκτέλεση της προετοιμασίας και του μοντέλου.</w:t>
      </w:r>
    </w:p>
    <w:tbl>
      <w:tblPr>
        <w:tblW w:type="auto" w:w="0"/>
        <w:jc w:val="center"/>
        <w:tblLayout w:type="fixed"/>
        <w:tblLook w:firstColumn="1" w:firstRow="1" w:lastColumn="0" w:lastRow="0" w:noHBand="0" w:noVBand="1" w:val="04A0"/>
      </w:tblPr>
      <w:tblGrid>
        <w:gridCol w:w="3293"/>
        <w:gridCol w:w="3293"/>
        <w:gridCol w:w="3293"/>
      </w:tblGrid>
      <w:tr>
        <w:tc>
          <w:tcPr>
            <w:tcW w:type="dxa" w:w="2592"/>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Πηγή</w:t>
            </w:r>
          </w:p>
        </w:tc>
        <w:tc>
          <w:tcPr>
            <w:tcW w:type="dxa" w:w="3888"/>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Τι χρησιμοποιήθηκε</w:t>
            </w:r>
          </w:p>
        </w:tc>
        <w:tc>
          <w:tcPr>
            <w:tcW w:type="dxa" w:w="2880"/>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Ρόλος στο workflow</w:t>
            </w:r>
          </w:p>
        </w:tc>
      </w:tr>
      <w:t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ICAS 2024 paper</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FAM, cost model, fleet, benchmark</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Ορισμός μεθοδολογίας και σύγκριση</w:t>
            </w:r>
          </w:p>
        </w:tc>
      </w:tr>
      <w:t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Envoy January 2023 schedule</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Πτήσεις, χρόνοι, origin, destination</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Βασικό operational dataset</w:t>
            </w:r>
          </w:p>
        </w:tc>
      </w:tr>
      <w:t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FAA tail mapping</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Tail number και τύπος αεροσκάφους</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Ανακατασκευή fleet και αρχικών θέσεων</w:t>
            </w:r>
          </w:p>
        </w:tc>
      </w:tr>
      <w:t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BTS T-100</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Route demand και passenger counts</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Υπολογισμός spill cost</w:t>
            </w:r>
          </w:p>
        </w:tc>
      </w:tr>
      <w:t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BTS DB1B</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Μέσοι ναύλοι ανά route</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Υπολογισμός spill cost</w:t>
            </w:r>
          </w:p>
        </w:tc>
      </w:tr>
      <w:tr>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BTS Financial Form 41</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Operating expense και mileage</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Cost per mile ανά τύπο</w:t>
            </w:r>
          </w:p>
        </w:tc>
      </w:tr>
    </w:tbl>
    <w:p>
      <w:pPr>
        <w:keepNext w:val="0"/>
        <w:spacing w:before="0" w:after="100"/>
      </w:pPr>
    </w:p>
    <w:p>
      <w:pPr>
        <w:keepNext w:val="0"/>
        <w:spacing w:before="0" w:after="120"/>
      </w:pPr>
      <w:r>
        <w:rPr>
          <w:rFonts w:ascii="Arial" w:hAnsi="Arial" w:cs="Arial"/>
          <w:b w:val="0"/>
          <w:i w:val="0"/>
          <w:color w:val="000000"/>
          <w:sz w:val="21"/>
        </w:rPr>
        <w:t>Τα βασικά scripts του project που ακολούθησαν αυτή τη ροή ήταν:</w:t>
      </w:r>
    </w:p>
    <w:tbl>
      <w:tblPr>
        <w:tblW w:type="auto" w:w="0"/>
        <w:jc w:val="center"/>
        <w:tblLayout w:type="fixed"/>
        <w:tblLook w:firstColumn="1" w:firstRow="1" w:lastColumn="0" w:lastRow="0" w:noHBand="0" w:noVBand="1" w:val="04A0"/>
      </w:tblPr>
      <w:tblGrid>
        <w:gridCol w:w="4939"/>
        <w:gridCol w:w="4939"/>
      </w:tblGrid>
      <w:tr>
        <w:tc>
          <w:tcPr>
            <w:tcW w:type="dxa" w:w="4320"/>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Script</w:t>
            </w:r>
          </w:p>
        </w:tc>
        <w:tc>
          <w:tcPr>
            <w:tcW w:type="dxa" w:w="5040"/>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Λειτουργία</w:t>
            </w:r>
          </w:p>
        </w:tc>
      </w:tr>
      <w:tr>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schedule_preparation_with_central_time.py</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Μετατροπή χρόνων σε κοινή ζώνη και 15-minute indices</w:t>
            </w:r>
          </w:p>
        </w:tc>
      </w:tr>
      <w:tr>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route_inputs_ready.py</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Σύνδεση T-100 route demand με DB1B fares</w:t>
            </w:r>
          </w:p>
        </w:tc>
      </w:tr>
      <w:tr>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build_initial_cost_matrix.py</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Δημιουργία assignment cost matrix</w:t>
            </w:r>
          </w:p>
        </w:tc>
      </w:tr>
      <w:tr>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build_initial_positions.py</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Proxy αρχικές θέσεις από tail activity</w:t>
            </w:r>
          </w:p>
        </w:tc>
      </w:tr>
      <w:tr>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build_feaible_initial_positions.py</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MILP διόρθωση αρχικών θέσεων</w:t>
            </w:r>
          </w:p>
        </w:tc>
      </w:tr>
      <w:tr>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solve_FAm.py</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Τελικό time-space Fleet Assignment Model</w:t>
            </w:r>
          </w:p>
        </w:tc>
      </w:tr>
    </w:tbl>
    <w:p>
      <w:pPr>
        <w:keepNext w:val="0"/>
        <w:spacing w:before="0" w:after="100"/>
      </w:pPr>
    </w:p>
    <w:p>
      <w:pPr>
        <w:pStyle w:val="Heading1"/>
        <w:keepNext/>
        <w:spacing w:before="0" w:after="120"/>
      </w:pPr>
      <w:r>
        <w:rPr>
          <w:rFonts w:ascii="Arial" w:hAnsi="Arial" w:cs="Arial"/>
          <w:b w:val="0"/>
          <w:i w:val="0"/>
          <w:color w:val="000000"/>
          <w:sz w:val="21"/>
        </w:rPr>
        <w:t>3. Προετοιμασία του προγράμματος πτήσεων</w:t>
      </w:r>
    </w:p>
    <w:p>
      <w:pPr>
        <w:pStyle w:val="Heading2"/>
        <w:keepNext/>
        <w:spacing w:before="0" w:after="120"/>
      </w:pPr>
      <w:r>
        <w:rPr>
          <w:rFonts w:ascii="Arial" w:hAnsi="Arial" w:cs="Arial"/>
          <w:b w:val="0"/>
          <w:i w:val="0"/>
          <w:color w:val="000000"/>
          <w:sz w:val="21"/>
        </w:rPr>
        <w:t>3.1 Μοναδική ταυτότητα πτήσης</w:t>
      </w:r>
    </w:p>
    <w:p>
      <w:pPr>
        <w:keepNext w:val="0"/>
        <w:spacing w:before="0" w:after="120"/>
      </w:pPr>
      <w:r>
        <w:rPr>
          <w:rFonts w:ascii="Arial" w:hAnsi="Arial" w:cs="Arial"/>
          <w:b w:val="0"/>
          <w:i w:val="0"/>
          <w:color w:val="000000"/>
          <w:sz w:val="21"/>
        </w:rPr>
        <w:t>Οι αριθμοί πτήσεων επαναλαμβάνονται σε διαφορετικές ημερομηνίες. Για αυτό δημιουργήθηκε μοναδικό FLIGHT_ID της μορφής F00001, F00002 κ.ο.κ. Η επιλογή αυτή ήταν απαραίτητη, επειδή το FAM χρειάζεται κάθε φυσική πτήση να αντιστοιχεί σε μία μοναδική μεταβλητή κάλυψης.</w:t>
      </w:r>
    </w:p>
    <w:p>
      <w:pPr>
        <w:pStyle w:val="Heading2"/>
        <w:keepNext/>
        <w:spacing w:before="0" w:after="120"/>
      </w:pPr>
      <w:r>
        <w:rPr>
          <w:rFonts w:ascii="Arial" w:hAnsi="Arial" w:cs="Arial"/>
          <w:b w:val="0"/>
          <w:i w:val="0"/>
          <w:color w:val="000000"/>
          <w:sz w:val="21"/>
        </w:rPr>
        <w:t>3.2 Χρόνοι και time-space network</w:t>
      </w:r>
    </w:p>
    <w:p>
      <w:pPr>
        <w:keepNext w:val="0"/>
        <w:spacing w:before="0" w:after="120"/>
      </w:pPr>
      <w:r>
        <w:rPr>
          <w:rFonts w:ascii="Arial" w:hAnsi="Arial" w:cs="Arial"/>
          <w:b w:val="0"/>
          <w:i w:val="0"/>
          <w:color w:val="000000"/>
          <w:sz w:val="21"/>
        </w:rPr>
        <w:t>Οι τοπικές ώρες αναχώρησης και άφιξης μετατράπηκαν σε κοινό χρόνο αναφοράς. Στη συνέχεια κάθε timestamp αντιστοιχίστηκε σε διακριτό βήμα 15 λεπτών. Έτσι δημιουργήθηκαν τα πεδία DEP_TIME_INDEX_COMMON και ARR_TIME_INDEX_COMMON.</w:t>
      </w:r>
    </w:p>
    <w:p>
      <w:pPr>
        <w:keepNext w:val="0"/>
        <w:spacing w:before="0" w:after="120"/>
      </w:pPr>
      <w:r>
        <w:rPr>
          <w:rFonts w:ascii="Arial" w:hAnsi="Arial" w:cs="Arial"/>
          <w:b w:val="0"/>
          <w:i w:val="0"/>
          <w:color w:val="000000"/>
          <w:sz w:val="21"/>
        </w:rPr>
        <w:t>Ο έλεγχος χρονικής συνέπειας έδειξε ότι δεν υπήρχε πτήση με άφιξη πριν ή ίση με την αναχώρηση. Το μοντέλο δεν χρειάστηκε inventory variable σε κάθε πιθανό ζεύγος αεροδρομίου και χρόνου. Χρησιμοποιήθηκε συμπιεσμένο δίκτυο μόνο στους ενεργούς κόμβους όπου υπάρχει άφιξη, αναχώρηση ή αρχική κατάσταση.</w:t>
      </w:r>
    </w:p>
    <w:tbl>
      <w:tblPr>
        <w:tblW w:type="auto" w:w="0"/>
        <w:jc w:val="center"/>
        <w:tblLayout w:type="fixed"/>
        <w:tblLook w:firstColumn="1" w:firstRow="1" w:lastColumn="0" w:lastRow="0" w:noHBand="0" w:noVBand="1" w:val="04A0"/>
      </w:tblPr>
      <w:tblGrid>
        <w:gridCol w:w="4939"/>
        <w:gridCol w:w="4939"/>
      </w:tblGrid>
      <w:tr>
        <w:tc>
          <w:tcPr>
            <w:tcW w:type="dxa" w:w="5472"/>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Έλεγχος</w:t>
            </w:r>
          </w:p>
        </w:tc>
        <w:tc>
          <w:tcPr>
            <w:tcW w:type="dxa" w:w="3888"/>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Αποτέλεσμα</w:t>
            </w:r>
          </w:p>
        </w:tc>
      </w:tr>
      <w:t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Πτήσεις στο model-ready schedule</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18.849</w:t>
            </w:r>
          </w:p>
        </w:tc>
      </w:tr>
      <w:t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Αεροδρόμια</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135</w:t>
            </w:r>
          </w:p>
        </w:tc>
      </w:tr>
      <w:t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Εύρος time indices</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17 έως 2.976</w:t>
            </w:r>
          </w:p>
        </w:tc>
      </w:tr>
      <w:t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Πτήσεις με ARR ≤ DEP</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0</w:t>
            </w:r>
          </w:p>
        </w:tc>
      </w:tr>
      <w:t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Ακυρωμένες πτήσεις στο schedule</w:t>
            </w:r>
          </w:p>
        </w:tc>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482</w:t>
            </w:r>
          </w:p>
        </w:tc>
      </w:tr>
    </w:tbl>
    <w:p>
      <w:pPr>
        <w:keepNext w:val="0"/>
        <w:spacing w:before="0" w:after="100"/>
      </w:pPr>
    </w:p>
    <w:p>
      <w:pPr>
        <w:pStyle w:val="Heading1"/>
        <w:keepNext/>
        <w:spacing w:before="0" w:after="120"/>
      </w:pPr>
      <w:r>
        <w:rPr>
          <w:rFonts w:ascii="Arial" w:hAnsi="Arial" w:cs="Arial"/>
          <w:b w:val="0"/>
          <w:i w:val="0"/>
          <w:color w:val="000000"/>
          <w:sz w:val="21"/>
        </w:rPr>
        <w:t>4. Δημιουργία του πίνακα κόστους</w:t>
      </w:r>
    </w:p>
    <w:p>
      <w:pPr>
        <w:keepNext w:val="0"/>
        <w:spacing w:before="0" w:after="120"/>
      </w:pPr>
      <w:r>
        <w:rPr>
          <w:rFonts w:ascii="Arial" w:hAnsi="Arial" w:cs="Arial"/>
          <w:b w:val="0"/>
          <w:i w:val="0"/>
          <w:color w:val="000000"/>
          <w:sz w:val="21"/>
        </w:rPr>
        <w:t>Για κάθε πτήση και κάθε πιθανό τύπο αεροσκάφους δημιουργήθηκε ένας συντελεστής κόστους. Η γενική μορφή ακολουθεί το paper:</w:t>
      </w:r>
    </w:p>
    <w:p>
      <w:pPr>
        <w:keepLines/>
        <w:spacing w:before="60" w:after="100"/>
        <w:jc w:val="center"/>
      </w:pPr>
      <w:r>
        <w:rPr>
          <w:rFonts w:ascii="Cambria Math" w:hAnsi="Cambria Math" w:cs="Cambria Math"/>
          <w:b w:val="0"/>
          <w:i/>
          <w:color w:val="000000"/>
          <w:sz w:val="22"/>
        </w:rPr>
        <w:t>c(f,a) = o(f,a) + s(f,a)</w:t>
      </w:r>
    </w:p>
    <w:p>
      <w:pPr>
        <w:keepNext w:val="0"/>
        <w:spacing w:before="0" w:after="120"/>
      </w:pPr>
      <w:r>
        <w:rPr>
          <w:rFonts w:ascii="Arial" w:hAnsi="Arial" w:cs="Arial"/>
          <w:b w:val="0"/>
          <w:i w:val="0"/>
          <w:color w:val="000000"/>
          <w:sz w:val="21"/>
        </w:rPr>
        <w:t>Το λειτουργικό κόστος της συγκεκριμένης υλοποίησης υπολογίστηκε με κόστος ανά μίλι:</w:t>
      </w:r>
    </w:p>
    <w:p>
      <w:pPr>
        <w:keepLines/>
        <w:spacing w:before="60" w:after="100"/>
        <w:jc w:val="center"/>
      </w:pPr>
      <w:r>
        <w:rPr>
          <w:rFonts w:ascii="Cambria Math" w:hAnsi="Cambria Math" w:cs="Cambria Math"/>
          <w:b w:val="0"/>
          <w:i/>
          <w:color w:val="000000"/>
          <w:sz w:val="22"/>
        </w:rPr>
        <w:t>o(f,a) = Distance(f) × CostPerMile(a)</w:t>
      </w:r>
    </w:p>
    <w:tbl>
      <w:tblPr>
        <w:tblW w:type="auto" w:w="0"/>
        <w:jc w:val="center"/>
        <w:tblLayout w:type="fixed"/>
        <w:tblLook w:firstColumn="1" w:firstRow="1" w:lastColumn="0" w:lastRow="0" w:noHBand="0" w:noVBand="1" w:val="04A0"/>
      </w:tblPr>
      <w:tblGrid>
        <w:gridCol w:w="3293"/>
        <w:gridCol w:w="3293"/>
        <w:gridCol w:w="3293"/>
      </w:tblGrid>
      <w:tr>
        <w:tc>
          <w:tcPr>
            <w:tcW w:type="dxa" w:w="3456"/>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Τύπος</w:t>
            </w:r>
          </w:p>
        </w:tc>
        <w:tc>
          <w:tcPr>
            <w:tcW w:type="dxa" w:w="3312"/>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Κόστος ανά μίλι</w:t>
            </w:r>
          </w:p>
        </w:tc>
        <w:tc>
          <w:tcPr>
            <w:tcW w:type="dxa" w:w="2592"/>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Χωρητικότητα</w:t>
            </w:r>
          </w:p>
        </w:tc>
      </w:tr>
      <w:t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ERJ145</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10,6036 USD/μίλι</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50</w:t>
            </w:r>
          </w:p>
        </w:tc>
      </w:tr>
      <w:t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ERJ170</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8,4874 USD/μίλι</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65</w:t>
            </w:r>
          </w:p>
        </w:tc>
      </w:tr>
      <w:t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ERJ175</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8,0565 USD/μίλι</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76</w:t>
            </w:r>
          </w:p>
        </w:tc>
      </w:tr>
    </w:tbl>
    <w:p>
      <w:pPr>
        <w:keepNext w:val="0"/>
        <w:spacing w:before="0" w:after="100"/>
      </w:pPr>
    </w:p>
    <w:p>
      <w:pPr>
        <w:keepNext w:val="0"/>
        <w:spacing w:before="0" w:after="120"/>
      </w:pPr>
      <w:r>
        <w:rPr>
          <w:rFonts w:ascii="Arial" w:hAnsi="Arial" w:cs="Arial"/>
          <w:b w:val="0"/>
          <w:i w:val="0"/>
          <w:color w:val="000000"/>
          <w:sz w:val="21"/>
        </w:rPr>
        <w:t>Το κόστος spill υπολογίστηκε από τη ζήτηση, τη χωρητικότητα και τον μέσο ναύλο της διαδρομής:</w:t>
      </w:r>
    </w:p>
    <w:p>
      <w:pPr>
        <w:keepLines/>
        <w:spacing w:before="60" w:after="100"/>
        <w:jc w:val="center"/>
      </w:pPr>
      <w:r>
        <w:rPr>
          <w:rFonts w:ascii="Cambria Math" w:hAnsi="Cambria Math" w:cs="Cambria Math"/>
          <w:b w:val="0"/>
          <w:i/>
          <w:color w:val="000000"/>
          <w:sz w:val="22"/>
        </w:rPr>
        <w:t>s(f,a) = max(Demand(f) − Capacity(a), 0) × Fare(f)</w:t>
      </w:r>
    </w:p>
    <w:p>
      <w:pPr>
        <w:keepNext w:val="0"/>
        <w:spacing w:before="0" w:after="120"/>
      </w:pPr>
      <w:r>
        <w:rPr>
          <w:rFonts w:ascii="Arial" w:hAnsi="Arial" w:cs="Arial"/>
          <w:b w:val="0"/>
          <w:i w:val="0"/>
          <w:color w:val="000000"/>
          <w:sz w:val="21"/>
        </w:rPr>
        <w:t>Με απλά λόγια, όταν η ζήτηση ξεπερνά τις διαθέσιμες θέσεις του τύπου αεροσκάφους, η περίσσεια επιβατών μετατρέπεται σε κόστος μέσω του μέσου ναύλου. Για αυτό η ανάθεση μεγαλύτερου αεροσκάφους μπορεί να είναι ακριβότερη λειτουργικά σε ορισμένες πτήσεις, αλλά φθηνότερη συνολικά όταν περιορίζει το spill.</w:t>
      </w:r>
    </w:p>
    <w:p>
      <w:pPr>
        <w:pStyle w:val="Heading2"/>
        <w:keepNext/>
        <w:spacing w:before="0" w:after="120"/>
      </w:pPr>
      <w:r>
        <w:rPr>
          <w:rFonts w:ascii="Arial" w:hAnsi="Arial" w:cs="Arial"/>
          <w:b w:val="0"/>
          <w:i w:val="0"/>
          <w:color w:val="000000"/>
          <w:sz w:val="21"/>
        </w:rPr>
        <w:t>4.1 Πρόβλημα με τους ναύλους και προσωρινή συμπλήρωση</w:t>
      </w:r>
    </w:p>
    <w:p>
      <w:pPr>
        <w:keepNext w:val="0"/>
        <w:spacing w:before="0" w:after="120"/>
      </w:pPr>
      <w:r>
        <w:rPr>
          <w:rFonts w:ascii="Arial" w:hAnsi="Arial" w:cs="Arial"/>
          <w:b w:val="0"/>
          <w:i w:val="0"/>
          <w:color w:val="000000"/>
          <w:sz w:val="21"/>
        </w:rPr>
        <w:t>Στο route input αρχείο υπήρχαν διαδρομές χωρίς διαθέσιμο AVG_FARE. Αν οι αντίστοιχοι συντελεστές έμεναν κενoί, το cost matrix δεν θα ήταν πλήρες και ο solver δεν θα είχε κόστος για όλες τις επιτρεπτές αναθέσεις.</w:t>
      </w:r>
    </w:p>
    <w:p>
      <w:pPr>
        <w:keepNext w:val="0"/>
        <w:spacing w:before="0" w:after="120"/>
      </w:pPr>
      <w:r>
        <w:rPr>
          <w:rFonts w:ascii="Arial" w:hAnsi="Arial" w:cs="Arial"/>
          <w:b w:val="0"/>
          <w:i w:val="0"/>
          <w:color w:val="000000"/>
          <w:sz w:val="21"/>
        </w:rPr>
        <w:t>Η προσωρινή λογική συμπλήρωσης ήταν διαδοχική:</w:t>
      </w:r>
    </w:p>
    <w:p>
      <w:pPr>
        <w:pStyle w:val="ListNumber"/>
        <w:spacing w:after="60"/>
      </w:pPr>
      <w:r>
        <w:rPr>
          <w:rFonts w:ascii="Arial" w:hAnsi="Arial" w:cs="Arial"/>
          <w:b w:val="0"/>
          <w:i w:val="0"/>
          <w:color w:val="000000"/>
          <w:sz w:val="21"/>
        </w:rPr>
        <w:t>Χρήση του ναύλου της αντίστροφης διαδρομής, όταν υπήρχε αυθεντικός DB1B ναύλος.</w:t>
      </w:r>
    </w:p>
    <w:p>
      <w:pPr>
        <w:pStyle w:val="ListNumber"/>
        <w:spacing w:after="60"/>
      </w:pPr>
      <w:r>
        <w:rPr>
          <w:rFonts w:ascii="Arial" w:hAnsi="Arial" w:cs="Arial"/>
          <w:b w:val="0"/>
          <w:i w:val="0"/>
          <w:color w:val="000000"/>
          <w:sz w:val="21"/>
        </w:rPr>
        <w:t>Αν δεν υπήρχε, χρήση διάμεσου ναύλου από παρόμοιες διαδρομές με κοντινή απόσταση και κοινό origin ή destination.</w:t>
      </w:r>
    </w:p>
    <w:p>
      <w:pPr>
        <w:pStyle w:val="ListNumber"/>
        <w:spacing w:after="60"/>
      </w:pPr>
      <w:r>
        <w:rPr>
          <w:rFonts w:ascii="Arial" w:hAnsi="Arial" w:cs="Arial"/>
          <w:b w:val="0"/>
          <w:i w:val="0"/>
          <w:color w:val="000000"/>
          <w:sz w:val="21"/>
        </w:rPr>
        <w:t>Fallback σε κοντινές αποστάσεις στο ευρύτερο route network.</w:t>
      </w:r>
    </w:p>
    <w:p>
      <w:pPr>
        <w:keepNext w:val="0"/>
        <w:spacing w:before="0" w:after="120"/>
      </w:pPr>
      <w:r>
        <w:rPr>
          <w:rFonts w:ascii="Arial" w:hAnsi="Arial" w:cs="Arial"/>
          <w:b w:val="0"/>
          <w:i w:val="0"/>
          <w:color w:val="000000"/>
          <w:sz w:val="21"/>
        </w:rPr>
        <w:t>Η συμπλήρωση επηρέασε 66 flight records και τέσσερις directed routes: AGS-CLT, CLT-GSP, DCA-MSP και GSP-CLT. Είναι πρακτική λύση για να ολοκληρωθεί το matrix, αλλά όχι ισοδύναμη με το πλήρες ιστορικό pipeline του paper.</w:t>
      </w:r>
    </w:p>
    <w:p>
      <w:pPr>
        <w:pStyle w:val="Heading1"/>
        <w:keepNext/>
        <w:spacing w:before="0" w:after="120"/>
      </w:pPr>
      <w:r>
        <w:rPr>
          <w:rFonts w:ascii="Arial" w:hAnsi="Arial" w:cs="Arial"/>
          <w:b w:val="0"/>
          <w:i w:val="0"/>
          <w:color w:val="000000"/>
          <w:sz w:val="21"/>
        </w:rPr>
        <w:t>5. Ανακατασκευή της αρχικής θέσης του στόλου</w:t>
      </w:r>
    </w:p>
    <w:p>
      <w:pPr>
        <w:keepNext w:val="0"/>
        <w:spacing w:before="0" w:after="120"/>
      </w:pPr>
      <w:r>
        <w:rPr>
          <w:rFonts w:ascii="Arial" w:hAnsi="Arial" w:cs="Arial"/>
          <w:b w:val="0"/>
          <w:i w:val="0"/>
          <w:color w:val="000000"/>
          <w:sz w:val="21"/>
        </w:rPr>
        <w:t>Το time-space FAM χρειάζεται την αρχική ποσότητα αεροσκαφών ανά τύπο και αεροδρόμιο. Αυτή η ποσότητα συμβολίζεται εδώ ως y(a,p,0). Το paper θεωρεί ότι η αρχική κατάσταση είναι διαθέσιμη, όμως στο project δεν υπήρχε απευθείας ιστορικός πίνακας με τις πραγματικές θέσεις στην αρχή της 1ης Ιανουαρίου.</w:t>
      </w:r>
    </w:p>
    <w:p>
      <w:pPr>
        <w:keepNext w:val="0"/>
        <w:spacing w:before="0" w:after="120"/>
      </w:pPr>
      <w:r>
        <w:rPr>
          <w:rFonts w:ascii="Arial" w:hAnsi="Arial" w:cs="Arial"/>
          <w:b w:val="0"/>
          <w:i w:val="0"/>
          <w:color w:val="000000"/>
          <w:sz w:val="21"/>
        </w:rPr>
        <w:t>Για αυτό δημιουργήθηκε proxy από τη δραστηριότητα των tail numbers: για κάθε αεροσκάφος εντοπίστηκε η πρώτη μη ακυρωμένη αναχώρηση μέσα στο διαθέσιμο πρόγραμμα και το origin αυτής της πτήσης χρησιμοποιήθηκε ως αρχικό αεροδρόμιο.</w:t>
      </w:r>
    </w:p>
    <w:p>
      <w:pPr>
        <w:keepLines/>
        <w:spacing w:before="60" w:after="100"/>
        <w:jc w:val="center"/>
      </w:pPr>
      <w:r>
        <w:rPr>
          <w:rFonts w:ascii="Cambria Math" w:hAnsi="Cambria Math" w:cs="Cambria Math"/>
          <w:b w:val="0"/>
          <w:i/>
          <w:color w:val="000000"/>
          <w:sz w:val="22"/>
        </w:rPr>
        <w:t>y_proxy(a,p) = πλήθος tails τύπου a με πρώτη αναχώρηση από το p</w:t>
      </w:r>
    </w:p>
    <w:tbl>
      <w:tblPr>
        <w:tblW w:type="auto" w:w="0"/>
        <w:jc w:val="center"/>
        <w:tblLayout w:type="fixed"/>
        <w:tblLook w:firstColumn="1" w:firstRow="1" w:lastColumn="0" w:lastRow="0" w:noHBand="0" w:noVBand="1" w:val="04A0"/>
      </w:tblPr>
      <w:tblGrid>
        <w:gridCol w:w="3293"/>
        <w:gridCol w:w="3293"/>
        <w:gridCol w:w="3293"/>
      </w:tblGrid>
      <w:tr>
        <w:tc>
          <w:tcPr>
            <w:tcW w:type="dxa" w:w="3600"/>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Τύπος</w:t>
            </w:r>
          </w:p>
        </w:tc>
        <w:tc>
          <w:tcPr>
            <w:tcW w:type="dxa" w:w="3024"/>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Πλήθος tails</w:t>
            </w:r>
          </w:p>
        </w:tc>
        <w:tc>
          <w:tcPr>
            <w:tcW w:type="dxa" w:w="2880"/>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Πλήθος στο feasible input</w:t>
            </w:r>
          </w:p>
        </w:tc>
      </w:tr>
      <w:tr>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ERJ145</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28</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28</w:t>
            </w:r>
          </w:p>
        </w:tc>
      </w:tr>
      <w:tr>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ERJ170</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8</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8</w:t>
            </w:r>
          </w:p>
        </w:tc>
      </w:tr>
      <w:tr>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ERJ175</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101</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101</w:t>
            </w:r>
          </w:p>
        </w:tc>
      </w:tr>
      <w:tr>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Σύνολο</w:t>
            </w:r>
          </w:p>
        </w:tc>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137</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137</w:t>
            </w:r>
          </w:p>
        </w:tc>
      </w:tr>
    </w:tbl>
    <w:p>
      <w:pPr>
        <w:keepNext w:val="0"/>
        <w:spacing w:before="0" w:after="100"/>
      </w:pPr>
    </w:p>
    <w:p>
      <w:pPr>
        <w:keepNext w:val="0"/>
        <w:spacing w:before="0" w:after="120"/>
      </w:pPr>
      <w:r>
        <w:rPr>
          <w:rFonts w:ascii="Arial" w:hAnsi="Arial" w:cs="Arial"/>
          <w:b w:val="0"/>
          <w:i w:val="0"/>
          <w:color w:val="000000"/>
          <w:sz w:val="21"/>
        </w:rPr>
        <w:t>Η μέθοδος έχει το πλεονέκτημα ότι είναι ελέγξιμη από δημόσια schedule observations. Έχει όμως σημαντικό περιορισμό: η πρώτη καταγεγραμμένη αναχώρηση δεν είναι βέβαιο ότι είναι η πραγματική θέση του αεροσκάφους πριν από την έναρξη του ορίζοντα. Μπορεί να έχουν προηγηθεί repositioning κινήσεις ή να λείπουν από το dataset προγενέστερες πτήσεις.</w:t>
      </w:r>
    </w:p>
    <w:p>
      <w:pPr>
        <w:keepNext w:val="0"/>
        <w:spacing w:before="0" w:after="120"/>
      </w:pPr>
      <w:r>
        <w:rPr>
          <w:rFonts w:ascii="Arial" w:hAnsi="Arial" w:cs="Arial"/>
          <w:b w:val="0"/>
          <w:i w:val="0"/>
          <w:color w:val="000000"/>
          <w:sz w:val="21"/>
        </w:rPr>
        <w:t>Υπήρξε επίσης ασυνέπεια στο ίδιο το paper: σε ένα σημείο αναφέρεται στόλος 28 ERJ145, 8 ERJ170 και 101 ERJ175, ενώ σε μεταγενέστερη περιγραφή εμφανίζονται 103 ERJ175. Η υλοποίηση του project ακολουθεί τα 101 ERJ175 που προκύπτουν από τα επεξεργασμένα δεδομένα και το tail mapping.</w:t>
      </w:r>
    </w:p>
    <w:p>
      <w:pPr>
        <w:pStyle w:val="Heading1"/>
        <w:keepNext/>
        <w:spacing w:before="0" w:after="120"/>
      </w:pPr>
      <w:r>
        <w:rPr>
          <w:rFonts w:ascii="Arial" w:hAnsi="Arial" w:cs="Arial"/>
          <w:b w:val="0"/>
          <w:i w:val="0"/>
          <w:color w:val="000000"/>
          <w:sz w:val="21"/>
        </w:rPr>
        <w:t>6. Το μαθηματικό μοντέλο FAM</w:t>
      </w:r>
    </w:p>
    <w:p>
      <w:pPr>
        <w:pStyle w:val="Heading2"/>
        <w:keepNext/>
        <w:spacing w:before="0" w:after="120"/>
      </w:pPr>
      <w:r>
        <w:rPr>
          <w:rFonts w:ascii="Arial" w:hAnsi="Arial" w:cs="Arial"/>
          <w:b w:val="0"/>
          <w:i w:val="0"/>
          <w:color w:val="000000"/>
          <w:sz w:val="21"/>
        </w:rPr>
        <w:t>6.1 Μεταβλητές</w:t>
      </w:r>
    </w:p>
    <w:p>
      <w:pPr>
        <w:keepNext w:val="0"/>
        <w:spacing w:before="0" w:after="120"/>
      </w:pPr>
      <w:r>
        <w:rPr>
          <w:rFonts w:ascii="Arial" w:hAnsi="Arial" w:cs="Arial"/>
          <w:b w:val="0"/>
          <w:i w:val="0"/>
          <w:color w:val="000000"/>
          <w:sz w:val="21"/>
        </w:rPr>
        <w:t>Η κύρια μεταβλητή απόφασης είναι η x(f,a). Είναι δυαδική και δείχνει αν η πτήση f ανατίθεται στον τύπο a. Οι μεταβλητές inventory y_before(a,p,t) και y_after(a,p,t) παρακολουθούν πόσα αεροσκάφη υπάρχουν πριν και μετά τα γεγονότα σε κάθε ενεργό airport-time node.</w:t>
      </w:r>
    </w:p>
    <w:p>
      <w:pPr>
        <w:keepLines/>
        <w:spacing w:before="60" w:after="100"/>
        <w:jc w:val="center"/>
      </w:pPr>
      <w:r>
        <w:rPr>
          <w:rFonts w:ascii="Cambria Math" w:hAnsi="Cambria Math" w:cs="Cambria Math"/>
          <w:b w:val="0"/>
          <w:i/>
          <w:color w:val="000000"/>
          <w:sz w:val="22"/>
        </w:rPr>
        <w:t>x(f,a) = 1 αν η πτήση f ανατεθεί στον τύπο a, αλλιώς 0</w:t>
      </w:r>
    </w:p>
    <w:p>
      <w:pPr>
        <w:pStyle w:val="Heading2"/>
        <w:keepNext/>
        <w:spacing w:before="0" w:after="120"/>
      </w:pPr>
      <w:r>
        <w:rPr>
          <w:rFonts w:ascii="Arial" w:hAnsi="Arial" w:cs="Arial"/>
          <w:b w:val="0"/>
          <w:i w:val="0"/>
          <w:color w:val="000000"/>
          <w:sz w:val="21"/>
        </w:rPr>
        <w:t>6.2 Αντικειμενική συνάρτηση και κάλυψη</w:t>
      </w:r>
    </w:p>
    <w:p>
      <w:pPr>
        <w:keepNext w:val="0"/>
        <w:spacing w:before="0" w:after="120"/>
      </w:pPr>
      <w:r>
        <w:rPr>
          <w:rFonts w:ascii="Arial" w:hAnsi="Arial" w:cs="Arial"/>
          <w:b w:val="0"/>
          <w:i w:val="0"/>
          <w:color w:val="000000"/>
          <w:sz w:val="21"/>
        </w:rPr>
        <w:t>Ο solver ελαχιστοποιεί το συνολικό κόστος όλων των αναθέσεων:</w:t>
      </w:r>
    </w:p>
    <w:p>
      <w:pPr>
        <w:keepLines/>
        <w:spacing w:before="60" w:after="100"/>
        <w:jc w:val="center"/>
      </w:pPr>
      <w:r>
        <w:rPr>
          <w:rFonts w:ascii="Cambria Math" w:hAnsi="Cambria Math" w:cs="Cambria Math"/>
          <w:b w:val="0"/>
          <w:i/>
          <w:color w:val="000000"/>
          <w:sz w:val="22"/>
        </w:rPr>
        <w:t>minimize  Σf Σa c(f,a) × x(f,a)</w:t>
      </w:r>
    </w:p>
    <w:p>
      <w:pPr>
        <w:keepNext w:val="0"/>
        <w:spacing w:before="0" w:after="120"/>
      </w:pPr>
      <w:r>
        <w:rPr>
          <w:rFonts w:ascii="Arial" w:hAnsi="Arial" w:cs="Arial"/>
          <w:b w:val="0"/>
          <w:i w:val="0"/>
          <w:color w:val="000000"/>
          <w:sz w:val="21"/>
        </w:rPr>
        <w:t>Κάθε πτήση πρέπει να καλυφθεί ακριβώς μία φορά:</w:t>
      </w:r>
    </w:p>
    <w:p>
      <w:pPr>
        <w:keepLines/>
        <w:spacing w:before="60" w:after="100"/>
        <w:jc w:val="center"/>
      </w:pPr>
      <w:r>
        <w:rPr>
          <w:rFonts w:ascii="Cambria Math" w:hAnsi="Cambria Math" w:cs="Cambria Math"/>
          <w:b w:val="0"/>
          <w:i/>
          <w:color w:val="000000"/>
          <w:sz w:val="22"/>
        </w:rPr>
        <w:t>Σa x(f,a) = 1   για κάθε πτήση f</w:t>
      </w:r>
    </w:p>
    <w:p>
      <w:pPr>
        <w:pStyle w:val="Heading2"/>
        <w:keepNext/>
        <w:spacing w:before="0" w:after="120"/>
      </w:pPr>
      <w:r>
        <w:rPr>
          <w:rFonts w:ascii="Arial" w:hAnsi="Arial" w:cs="Arial"/>
          <w:b w:val="0"/>
          <w:i w:val="0"/>
          <w:color w:val="000000"/>
          <w:sz w:val="21"/>
        </w:rPr>
        <w:t>6.3 Εμβέλεια και ροή</w:t>
      </w:r>
    </w:p>
    <w:p>
      <w:pPr>
        <w:keepNext w:val="0"/>
        <w:spacing w:before="0" w:after="120"/>
      </w:pPr>
      <w:r>
        <w:rPr>
          <w:rFonts w:ascii="Arial" w:hAnsi="Arial" w:cs="Arial"/>
          <w:b w:val="0"/>
          <w:i w:val="0"/>
          <w:color w:val="000000"/>
          <w:sz w:val="21"/>
        </w:rPr>
        <w:t>Όταν η απόσταση μιας πτήσης ξεπερνά την επιτρεπόμενη εμβέλεια ενός τύπου, η αντίστοιχη μεταβλητή x(f,a) καθηλώνεται στο μηδέν. Η κεντρική εξίσωση ροής είναι:</w:t>
      </w:r>
    </w:p>
    <w:p>
      <w:pPr>
        <w:keepLines/>
        <w:spacing w:before="60" w:after="100"/>
        <w:jc w:val="center"/>
      </w:pPr>
      <w:r>
        <w:rPr>
          <w:rFonts w:ascii="Cambria Math" w:hAnsi="Cambria Math" w:cs="Cambria Math"/>
          <w:b w:val="0"/>
          <w:i/>
          <w:color w:val="000000"/>
          <w:sz w:val="22"/>
        </w:rPr>
        <w:t>y_before + Arrivals = y_after + Departures</w:t>
      </w:r>
    </w:p>
    <w:p>
      <w:pPr>
        <w:keepNext w:val="0"/>
        <w:spacing w:before="0" w:after="120"/>
      </w:pPr>
      <w:r>
        <w:rPr>
          <w:rFonts w:ascii="Arial" w:hAnsi="Arial" w:cs="Arial"/>
          <w:b w:val="0"/>
          <w:i w:val="0"/>
          <w:color w:val="000000"/>
          <w:sz w:val="21"/>
        </w:rPr>
        <w:t>Η εξίσωση σημαίνει ότι τα αεροσκάφη που είναι διαθέσιμα πριν από τα γεγονότα, μαζί με όσα φτάνουν, πρέπει να ισούνται με όσα μένουν μετά τα γεγονότα και όσα αναχωρούν. Η αρχική συνθήκη συνδέει το δίκτυο με την ανακατασκευασμένη κατανομή:</w:t>
      </w:r>
    </w:p>
    <w:p>
      <w:pPr>
        <w:keepLines/>
        <w:spacing w:before="60" w:after="100"/>
        <w:jc w:val="center"/>
      </w:pPr>
      <w:r>
        <w:rPr>
          <w:rFonts w:ascii="Cambria Math" w:hAnsi="Cambria Math" w:cs="Cambria Math"/>
          <w:b w:val="0"/>
          <w:i/>
          <w:color w:val="000000"/>
          <w:sz w:val="22"/>
        </w:rPr>
        <w:t>y_before(a,p,0) = y_initial(a,p)</w:t>
      </w:r>
    </w:p>
    <w:p>
      <w:pPr>
        <w:keepNext w:val="0"/>
        <w:spacing w:before="0" w:after="120"/>
      </w:pPr>
      <w:r>
        <w:rPr>
          <w:rFonts w:ascii="Arial" w:hAnsi="Arial" w:cs="Arial"/>
          <w:b w:val="0"/>
          <w:i w:val="0"/>
          <w:color w:val="000000"/>
          <w:sz w:val="21"/>
        </w:rPr>
        <w:t>Στους επόμενους ενεργούς χρονικούς κόμβους, η inventory κατάσταση μεταφέρεται από τον προηγούμενο κόμβο στον επόμενο. Με αυτόν τον τρόπο, μια ανάθεση σε μια πτήση επηρεάζει τις διαθέσιμες αναθέσεις των επόμενων πτήσεων.</w:t>
      </w:r>
    </w:p>
    <w:p>
      <w:pPr>
        <w:pStyle w:val="Heading1"/>
        <w:keepNext/>
        <w:spacing w:before="0" w:after="120"/>
      </w:pPr>
      <w:r>
        <w:rPr>
          <w:rFonts w:ascii="Arial" w:hAnsi="Arial" w:cs="Arial"/>
          <w:b w:val="0"/>
          <w:i w:val="0"/>
          <w:color w:val="000000"/>
          <w:sz w:val="21"/>
        </w:rPr>
        <w:t>7. Η πρώτη αποτυχία: μη εφικτή αρχική λύση</w:t>
      </w:r>
    </w:p>
    <w:p>
      <w:pPr>
        <w:keepNext w:val="0"/>
        <w:spacing w:before="0" w:after="120"/>
      </w:pPr>
      <w:r>
        <w:rPr>
          <w:rFonts w:ascii="Arial" w:hAnsi="Arial" w:cs="Arial"/>
          <w:b w:val="0"/>
          <w:i w:val="0"/>
          <w:color w:val="000000"/>
          <w:sz w:val="21"/>
        </w:rPr>
        <w:t>Η πρώτη εκτέλεση του FAM με το proxy initial position ήταν μη εφικτή. Αυτό δεν σήμαινε αυτόματα ότι ο στόλος ήταν μικρός. Σε ένα time-space fleet model η μη εφικτότητα μπορεί να προκύψει επειδή τα αεροσκάφη βρίσκονται σε λάθος αεροδρόμια στην αρχή, ακόμη και όταν ο συνολικός αριθμός είναι επαρκής.</w:t>
      </w:r>
    </w:p>
    <w:p>
      <w:pPr>
        <w:pStyle w:val="Heading2"/>
        <w:keepNext/>
        <w:spacing w:before="0" w:after="120"/>
      </w:pPr>
      <w:r>
        <w:rPr>
          <w:rFonts w:ascii="Arial" w:hAnsi="Arial" w:cs="Arial"/>
          <w:b w:val="0"/>
          <w:i w:val="0"/>
          <w:color w:val="000000"/>
          <w:sz w:val="21"/>
        </w:rPr>
        <w:t>7.1 Έλεγχος συνολικού στόλου</w:t>
      </w:r>
    </w:p>
    <w:tbl>
      <w:tblPr>
        <w:tblW w:type="auto" w:w="0"/>
        <w:jc w:val="center"/>
        <w:tblLayout w:type="fixed"/>
        <w:tblLook w:firstColumn="1" w:firstRow="1" w:lastColumn="0" w:lastRow="0" w:noHBand="0" w:noVBand="1" w:val="04A0"/>
      </w:tblPr>
      <w:tblGrid>
        <w:gridCol w:w="3293"/>
        <w:gridCol w:w="3293"/>
        <w:gridCol w:w="3293"/>
      </w:tblGrid>
      <w:tr>
        <w:tc>
          <w:tcPr>
            <w:tcW w:type="dxa" w:w="3456"/>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Μέγεθος</w:t>
            </w:r>
          </w:p>
        </w:tc>
        <w:tc>
          <w:tcPr>
            <w:tcW w:type="dxa" w:w="1872"/>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Τιμή</w:t>
            </w:r>
          </w:p>
        </w:tc>
        <w:tc>
          <w:tcPr>
            <w:tcW w:type="dxa" w:w="4176"/>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Ερμηνεία</w:t>
            </w:r>
          </w:p>
        </w:tc>
      </w:tr>
      <w:t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Διαθέσιμος στόλος</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137</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Σύνολο από tail/type mapping</w:t>
            </w:r>
          </w:p>
        </w:tc>
      </w:tr>
      <w:t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Ελάχιστη ανάγκη schedule</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118</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Από σωρευτική airport flow</w:t>
            </w:r>
          </w:p>
        </w:tc>
      </w:tr>
      <w:t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Διαφορά</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+19</w:t>
            </w:r>
          </w:p>
        </w:tc>
        <w:tc>
          <w:tcPr>
            <w:tcW w:type="dxa" w:w="417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Δεν υπάρχει aggregate shortage</w:t>
            </w:r>
          </w:p>
        </w:tc>
      </w:tr>
    </w:tbl>
    <w:p>
      <w:pPr>
        <w:keepNext w:val="0"/>
        <w:spacing w:before="0" w:after="100"/>
      </w:pPr>
    </w:p>
    <w:p>
      <w:pPr>
        <w:keepNext w:val="0"/>
        <w:spacing w:before="0" w:after="120"/>
      </w:pPr>
      <w:r>
        <w:rPr>
          <w:rFonts w:ascii="Arial" w:hAnsi="Arial" w:cs="Arial"/>
          <w:b w:val="0"/>
          <w:i w:val="0"/>
          <w:color w:val="000000"/>
          <w:sz w:val="21"/>
        </w:rPr>
        <w:t>Το αποτέλεσμα έδειξε ότι υπήρχαν 19 περισσότερα αεροσκάφη από την ελάχιστη συνολική ανάγκη που υπονοεί το πρόγραμμα. Επομένως η έρευνα μετακινήθηκε από το ερώτημα «πόσα αεροσκάφη έχουμε;» στο ερώτημα «πού βρίσκονται στην αρχή;».</w:t>
      </w:r>
    </w:p>
    <w:p>
      <w:pPr>
        <w:pStyle w:val="Heading2"/>
        <w:keepNext/>
        <w:spacing w:before="0" w:after="120"/>
      </w:pPr>
      <w:r>
        <w:rPr>
          <w:rFonts w:ascii="Arial" w:hAnsi="Arial" w:cs="Arial"/>
          <w:b w:val="0"/>
          <w:i w:val="0"/>
          <w:color w:val="000000"/>
          <w:sz w:val="21"/>
        </w:rPr>
        <w:t>7.2 Airport-level διάγνωση</w:t>
      </w:r>
    </w:p>
    <w:p>
      <w:pPr>
        <w:keepNext w:val="0"/>
        <w:spacing w:before="0" w:after="120"/>
      </w:pPr>
      <w:r>
        <w:rPr>
          <w:rFonts w:ascii="Arial" w:hAnsi="Arial" w:cs="Arial"/>
          <w:b w:val="0"/>
          <w:i w:val="0"/>
          <w:color w:val="000000"/>
          <w:sz w:val="21"/>
        </w:rPr>
        <w:t>Ο έλεγχος σωρευτικών αναχωρήσεων και αφίξεων έδειξε αρχική πίεση σε δύο αεροδρόμια:</w:t>
      </w:r>
    </w:p>
    <w:tbl>
      <w:tblPr>
        <w:tblW w:type="auto" w:w="0"/>
        <w:jc w:val="center"/>
        <w:tblLayout w:type="fixed"/>
        <w:tblLook w:firstColumn="1" w:firstRow="1" w:lastColumn="0" w:lastRow="0" w:noHBand="0" w:noVBand="1" w:val="04A0"/>
      </w:tblPr>
      <w:tblGrid>
        <w:gridCol w:w="2469"/>
        <w:gridCol w:w="2469"/>
        <w:gridCol w:w="2469"/>
        <w:gridCol w:w="2469"/>
      </w:tblGrid>
      <w:tr>
        <w:tc>
          <w:tcPr>
            <w:tcW w:type="dxa" w:w="2880"/>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Αεροδρόμιο</w:t>
            </w:r>
          </w:p>
        </w:tc>
        <w:tc>
          <w:tcPr>
            <w:tcW w:type="dxa" w:w="2304"/>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Proxy initial</w:t>
            </w:r>
          </w:p>
        </w:tc>
        <w:tc>
          <w:tcPr>
            <w:tcW w:type="dxa" w:w="2592"/>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Απαιτούμενο initial</w:t>
            </w:r>
          </w:p>
        </w:tc>
        <w:tc>
          <w:tcPr>
            <w:tcW w:type="dxa" w:w="1872"/>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Έλλειμμα</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LEX</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1</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2</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1</w:t>
            </w:r>
          </w:p>
        </w:tc>
      </w:tr>
      <w:t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PHX</w:t>
            </w:r>
          </w:p>
        </w:tc>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0</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1</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1</w:t>
            </w:r>
          </w:p>
        </w:tc>
      </w:tr>
    </w:tbl>
    <w:p>
      <w:pPr>
        <w:keepNext w:val="0"/>
        <w:spacing w:before="0" w:after="100"/>
      </w:pPr>
    </w:p>
    <w:p>
      <w:pPr>
        <w:keepNext w:val="0"/>
        <w:spacing w:before="0" w:after="120"/>
      </w:pPr>
      <w:r>
        <w:rPr>
          <w:rFonts w:ascii="Arial" w:hAnsi="Arial" w:cs="Arial"/>
          <w:b w:val="0"/>
          <w:i w:val="0"/>
          <w:color w:val="000000"/>
          <w:sz w:val="21"/>
        </w:rPr>
        <w:t>Το νόημα του ελέγχου είναι σωρευτικό. Αν ένα αεροδρόμιο ξεκινά με ένα αεροσκάφος αλλά έχει δύο αναχωρήσεις πριν από τις αντίστοιχες αφίξεις, η διαθέσιμη inventory γίνεται αρνητική. Για το LEX, η απλή εικόνα είναι:</w:t>
      </w:r>
    </w:p>
    <w:p>
      <w:pPr>
        <w:keepLines/>
        <w:spacing w:before="60" w:after="100"/>
        <w:jc w:val="center"/>
      </w:pPr>
      <w:r>
        <w:rPr>
          <w:rFonts w:ascii="Cambria Math" w:hAnsi="Cambria Math" w:cs="Cambria Math"/>
          <w:b w:val="0"/>
          <w:i/>
          <w:color w:val="000000"/>
          <w:sz w:val="22"/>
        </w:rPr>
        <w:t>1 αρχικό − 1 αναχώρηση − 1 αναχώρηση = −1 διαθέσιμο</w:t>
      </w:r>
    </w:p>
    <w:p>
      <w:pPr>
        <w:keepNext w:val="0"/>
        <w:spacing w:before="0" w:after="120"/>
      </w:pPr>
      <w:r>
        <w:rPr>
          <w:rFonts w:ascii="Arial" w:hAnsi="Arial" w:cs="Arial"/>
          <w:b w:val="0"/>
          <w:i w:val="0"/>
          <w:color w:val="000000"/>
          <w:sz w:val="21"/>
        </w:rPr>
        <w:t>Αυτό παραβιάζει τη φυσική λογική του μοντέλου. Η αιτία της μη εφικτότητας ήταν λοιπόν η ασυμβατότητα του proxy initial vector με την early schedule pressure.</w:t>
      </w:r>
    </w:p>
    <w:p>
      <w:pPr>
        <w:pStyle w:val="Heading1"/>
        <w:keepNext/>
        <w:spacing w:before="0" w:after="120"/>
      </w:pPr>
      <w:r>
        <w:rPr>
          <w:rFonts w:ascii="Arial" w:hAnsi="Arial" w:cs="Arial"/>
          <w:b w:val="0"/>
          <w:i w:val="0"/>
          <w:color w:val="000000"/>
          <w:sz w:val="21"/>
        </w:rPr>
        <w:t>8. Χειροκίνητη διόρθωση για debugging</w:t>
      </w:r>
    </w:p>
    <w:p>
      <w:pPr>
        <w:keepNext w:val="0"/>
        <w:spacing w:before="0" w:after="120"/>
      </w:pPr>
      <w:r>
        <w:rPr>
          <w:rFonts w:ascii="Arial" w:hAnsi="Arial" w:cs="Arial"/>
          <w:b w:val="0"/>
          <w:i w:val="0"/>
          <w:color w:val="000000"/>
          <w:sz w:val="21"/>
        </w:rPr>
        <w:t>Πριν κατασκευαστεί συστηματική MILP διόρθωση, δοκιμάστηκε χειροκίνητη αλλαγή αρχικών θέσεων. Ο σκοπός αυτής της φάσης ήταν διαγνωστικός: να ελεγχθεί αν η μη εφικτότητα εξαφανίζεται όταν μετακινηθούν αεροσκάφη μεταξύ αεροδρομίων χωρίς να αλλάξει η σύνθεση του στόλου.</w:t>
      </w:r>
    </w:p>
    <w:p>
      <w:pPr>
        <w:pStyle w:val="ListBullet"/>
        <w:spacing w:after="60"/>
      </w:pPr>
      <w:r>
        <w:rPr>
          <w:rFonts w:ascii="Arial" w:hAnsi="Arial" w:cs="Arial"/>
          <w:b w:val="0"/>
          <w:i w:val="0"/>
          <w:color w:val="000000"/>
          <w:sz w:val="21"/>
        </w:rPr>
        <w:t>ERJ145: ORD προς PHX</w:t>
      </w:r>
    </w:p>
    <w:p>
      <w:pPr>
        <w:pStyle w:val="ListBullet"/>
        <w:spacing w:after="60"/>
      </w:pPr>
      <w:r>
        <w:rPr>
          <w:rFonts w:ascii="Arial" w:hAnsi="Arial" w:cs="Arial"/>
          <w:b w:val="0"/>
          <w:i w:val="0"/>
          <w:color w:val="000000"/>
          <w:sz w:val="21"/>
        </w:rPr>
        <w:t>ERJ175: MIA προς MGM</w:t>
      </w:r>
    </w:p>
    <w:p>
      <w:pPr>
        <w:keepNext w:val="0"/>
        <w:spacing w:before="0" w:after="120"/>
      </w:pPr>
      <w:r>
        <w:rPr>
          <w:rFonts w:ascii="Arial" w:hAnsi="Arial" w:cs="Arial"/>
          <w:b w:val="0"/>
          <w:i w:val="0"/>
          <w:color w:val="000000"/>
          <w:sz w:val="21"/>
        </w:rPr>
        <w:t>Η μετακίνηση ORD προς PHX συνδέεται άμεσα με το έλλειμμα του PHX. Η μετακίνηση MIA προς MGM χρειάζεται πιο προσεκτική διατύπωση: το πρώτο diagnostic δεν έδειξε έλλειμμα στο MGM. Επομένως δεν πρέπει να παρουσιαστεί ως ιστορικά αποδεδειγμένη θέση αεροσκάφους. Ήταν heuristic engineering intervention που χρησιμοποιήθηκε για να δοκιμαστεί η συμπεριφορά του FAM.</w:t>
      </w:r>
    </w:p>
    <w:p>
      <w:pPr>
        <w:keepNext w:val="0"/>
        <w:spacing w:before="0" w:after="120"/>
      </w:pPr>
      <w:r>
        <w:rPr>
          <w:rFonts w:ascii="Arial" w:hAnsi="Arial" w:cs="Arial"/>
          <w:b w:val="0"/>
          <w:i w:val="0"/>
          <w:color w:val="000000"/>
          <w:sz w:val="21"/>
        </w:rPr>
        <w:t>Το debugging επιβεβαίωσε ότι η αρχική χωροθέτηση ήταν κρίσιμο μέρος του προβλήματος, αλλά δεν έδωσε από μόνη της έναν ακαδημαϊκά ισχυρό τρόπο ανακατασκευής της πραγματικής ιστορικής κατάστασης.</w:t>
      </w:r>
    </w:p>
    <w:p>
      <w:pPr>
        <w:pStyle w:val="Heading1"/>
        <w:keepNext/>
        <w:spacing w:before="0" w:after="120"/>
      </w:pPr>
      <w:r>
        <w:rPr>
          <w:rFonts w:ascii="Arial" w:hAnsi="Arial" w:cs="Arial"/>
          <w:b w:val="0"/>
          <w:i w:val="0"/>
          <w:color w:val="000000"/>
          <w:sz w:val="21"/>
        </w:rPr>
        <w:t>9. MILP διόρθωση της αρχικής κατανομής</w:t>
      </w:r>
    </w:p>
    <w:p>
      <w:pPr>
        <w:keepNext w:val="0"/>
        <w:spacing w:before="0" w:after="120"/>
      </w:pPr>
      <w:r>
        <w:rPr>
          <w:rFonts w:ascii="Arial" w:hAnsi="Arial" w:cs="Arial"/>
          <w:b w:val="0"/>
          <w:i w:val="0"/>
          <w:color w:val="000000"/>
          <w:sz w:val="21"/>
        </w:rPr>
        <w:t>Για να αντικατασταθεί η χειροκίνητη δοκιμή, δημιουργήθηκε ένα μικρό MILP που αναζητά τη μικρότερη αλλαγή από το proxy initial distribution. Η νέα κατανομή πρέπει να είναι κοντά στην αρχική, να διατηρεί τον αριθμό αεροσκαφών κάθε τύπου και να καλύπτει τις ελάχιστες airport-level απαιτήσεις.</w:t>
      </w:r>
    </w:p>
    <w:p>
      <w:pPr>
        <w:keepNext w:val="0"/>
        <w:spacing w:before="0" w:after="120"/>
      </w:pPr>
      <w:r>
        <w:rPr>
          <w:rFonts w:ascii="Arial" w:hAnsi="Arial" w:cs="Arial"/>
          <w:b w:val="0"/>
          <w:i w:val="0"/>
          <w:color w:val="000000"/>
          <w:sz w:val="21"/>
        </w:rPr>
        <w:t>Η απόσταση από το proxy είναι L1 απόσταση:</w:t>
      </w:r>
    </w:p>
    <w:p>
      <w:pPr>
        <w:keepLines/>
        <w:spacing w:before="60" w:after="100"/>
        <w:jc w:val="center"/>
      </w:pPr>
      <w:r>
        <w:rPr>
          <w:rFonts w:ascii="Cambria Math" w:hAnsi="Cambria Math" w:cs="Cambria Math"/>
          <w:b w:val="0"/>
          <w:i/>
          <w:color w:val="000000"/>
          <w:sz w:val="22"/>
        </w:rPr>
        <w:t>minimize  Σa Σp |y_new(a,p) − y_proxy(a,p)|</w:t>
      </w:r>
    </w:p>
    <w:p>
      <w:pPr>
        <w:keepNext w:val="0"/>
        <w:spacing w:before="0" w:after="120"/>
      </w:pPr>
      <w:r>
        <w:rPr>
          <w:rFonts w:ascii="Arial" w:hAnsi="Arial" w:cs="Arial"/>
          <w:b w:val="0"/>
          <w:i w:val="0"/>
          <w:color w:val="000000"/>
          <w:sz w:val="21"/>
        </w:rPr>
        <w:t>Επειδή η απόλυτη τιμή δεν είναι απευθείας γραμμική, χρησιμοποιήθηκαν θετικές και αρνητικές αποκλίσεις:</w:t>
      </w:r>
    </w:p>
    <w:p>
      <w:pPr>
        <w:keepLines/>
        <w:spacing w:before="60" w:after="100"/>
        <w:jc w:val="center"/>
      </w:pPr>
      <w:r>
        <w:rPr>
          <w:rFonts w:ascii="Cambria Math" w:hAnsi="Cambria Math" w:cs="Cambria Math"/>
          <w:b w:val="0"/>
          <w:i/>
          <w:color w:val="000000"/>
          <w:sz w:val="22"/>
        </w:rPr>
        <w:t>y_new(a,p) − y_proxy(a,p) = d_plus(a,p) − d_minus(a,p)</w:t>
      </w:r>
    </w:p>
    <w:p>
      <w:pPr>
        <w:keepLines/>
        <w:spacing w:before="60" w:after="100"/>
        <w:jc w:val="center"/>
      </w:pPr>
      <w:r>
        <w:rPr>
          <w:rFonts w:ascii="Cambria Math" w:hAnsi="Cambria Math" w:cs="Cambria Math"/>
          <w:b w:val="0"/>
          <w:i/>
          <w:color w:val="000000"/>
          <w:sz w:val="22"/>
        </w:rPr>
        <w:t>minimize  Σa Σp [d_plus(a,p) + d_minus(a,p)]</w:t>
      </w:r>
    </w:p>
    <w:p>
      <w:pPr>
        <w:keepNext w:val="0"/>
        <w:spacing w:before="0" w:after="120"/>
      </w:pPr>
      <w:r>
        <w:rPr>
          <w:rFonts w:ascii="Arial" w:hAnsi="Arial" w:cs="Arial"/>
          <w:b w:val="0"/>
          <w:i w:val="0"/>
          <w:color w:val="000000"/>
          <w:sz w:val="21"/>
        </w:rPr>
        <w:t>Η διατήρηση της σύνθεσης στόλου επιβάλλεται από:</w:t>
      </w:r>
    </w:p>
    <w:p>
      <w:pPr>
        <w:keepLines/>
        <w:spacing w:before="60" w:after="100"/>
        <w:jc w:val="center"/>
      </w:pPr>
      <w:r>
        <w:rPr>
          <w:rFonts w:ascii="Cambria Math" w:hAnsi="Cambria Math" w:cs="Cambria Math"/>
          <w:b w:val="0"/>
          <w:i/>
          <w:color w:val="000000"/>
          <w:sz w:val="22"/>
        </w:rPr>
        <w:t>Σp y_new(a,p) = Fleet(a)   για κάθε τύπο a</w:t>
      </w:r>
    </w:p>
    <w:p>
      <w:pPr>
        <w:keepNext w:val="0"/>
        <w:spacing w:before="0" w:after="120"/>
      </w:pPr>
      <w:r>
        <w:rPr>
          <w:rFonts w:ascii="Arial" w:hAnsi="Arial" w:cs="Arial"/>
          <w:b w:val="0"/>
          <w:i w:val="0"/>
          <w:color w:val="000000"/>
          <w:sz w:val="21"/>
        </w:rPr>
        <w:t>Το MILP βρήκε συνολική L1 απόκλιση 4, η οποία αντιστοιχεί σε δύο μετακινήσεις αεροσκαφών:</w:t>
      </w:r>
    </w:p>
    <w:tbl>
      <w:tblPr>
        <w:tblW w:type="auto" w:w="0"/>
        <w:jc w:val="center"/>
        <w:tblLayout w:type="fixed"/>
        <w:tblLook w:firstColumn="1" w:firstRow="1" w:lastColumn="0" w:lastRow="0" w:noHBand="0" w:noVBand="1" w:val="04A0"/>
      </w:tblPr>
      <w:tblGrid>
        <w:gridCol w:w="1976"/>
        <w:gridCol w:w="1976"/>
        <w:gridCol w:w="1976"/>
        <w:gridCol w:w="1976"/>
        <w:gridCol w:w="1976"/>
      </w:tblGrid>
      <w:tr>
        <w:tc>
          <w:tcPr>
            <w:tcW w:type="dxa" w:w="2016"/>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Τύπος</w:t>
            </w:r>
          </w:p>
        </w:tc>
        <w:tc>
          <w:tcPr>
            <w:tcW w:type="dxa" w:w="2016"/>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Αεροδρόμιο</w:t>
            </w:r>
          </w:p>
        </w:tc>
        <w:tc>
          <w:tcPr>
            <w:tcW w:type="dxa" w:w="1584"/>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Proxy</w:t>
            </w:r>
          </w:p>
        </w:tc>
        <w:tc>
          <w:tcPr>
            <w:tcW w:type="dxa" w:w="1872"/>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Feasible</w:t>
            </w:r>
          </w:p>
        </w:tc>
        <w:tc>
          <w:tcPr>
            <w:tcW w:type="dxa" w:w="1584"/>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Αλλαγή</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ERJ145</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ORD</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8</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7</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−1</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ERJ145</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PHX</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0</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1</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+1</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ERJ175</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MIA</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3</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2</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−1</w:t>
            </w:r>
          </w:p>
        </w:tc>
      </w:tr>
      <w:tr>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ERJ175</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MGM</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0</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1</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+1</w:t>
            </w:r>
          </w:p>
        </w:tc>
      </w:tr>
    </w:tbl>
    <w:p>
      <w:pPr>
        <w:keepNext w:val="0"/>
        <w:spacing w:before="0" w:after="100"/>
      </w:pPr>
    </w:p>
    <w:p>
      <w:pPr>
        <w:keepNext w:val="0"/>
        <w:spacing w:before="0" w:after="120"/>
      </w:pPr>
      <w:r>
        <w:rPr>
          <w:rFonts w:ascii="Arial" w:hAnsi="Arial" w:cs="Arial"/>
          <w:b w:val="0"/>
          <w:i w:val="0"/>
          <w:color w:val="000000"/>
          <w:sz w:val="21"/>
        </w:rPr>
        <w:t>Η διόρθωση διατηρεί ακριβώς τα 28 ERJ145, 8 ERJ170 και 101 ERJ175. Είναι βελτίωση σε σχέση με τη χειροκίνητη διαδικασία, αλλά παραμένει aggregate repair. Δεν αποδεικνύει ποιο συγκεκριμένο tail βρισκόταν ιστορικά σε κάθε αεροδρόμιο.</w:t>
      </w:r>
    </w:p>
    <w:p>
      <w:pPr>
        <w:pStyle w:val="Heading1"/>
        <w:keepNext/>
        <w:spacing w:before="0" w:after="120"/>
      </w:pPr>
      <w:r>
        <w:rPr>
          <w:rFonts w:ascii="Arial" w:hAnsi="Arial" w:cs="Arial"/>
          <w:b w:val="0"/>
          <w:i w:val="0"/>
          <w:color w:val="000000"/>
          <w:sz w:val="21"/>
        </w:rPr>
        <w:t>10. Τελική επίλυση του FAM</w:t>
      </w:r>
    </w:p>
    <w:p>
      <w:pPr>
        <w:keepNext w:val="0"/>
        <w:spacing w:before="0" w:after="120"/>
      </w:pPr>
      <w:r>
        <w:rPr>
          <w:rFonts w:ascii="Arial" w:hAnsi="Arial" w:cs="Arial"/>
          <w:b w:val="0"/>
          <w:i w:val="0"/>
          <w:color w:val="000000"/>
          <w:sz w:val="21"/>
        </w:rPr>
        <w:t>Μετά την αντικατάσταση του αρχικού proxy vector από το feasible vector, το τελικό script solve_FAm.py κατασκευάζει το πλήρες integer programming model και το επιλύει με PuLP και CBC. Το script φορτώνει το assignment cost matrix και τις feasible αρχικές θέσεις, δημιουργεί τα event lookups arrivals και departures και επιβάλλει coverage, range, flow balance, initial condition και precedence constraints.</w:t>
      </w:r>
    </w:p>
    <w:p>
      <w:pPr>
        <w:keepNext w:val="0"/>
        <w:spacing w:before="0" w:after="120"/>
      </w:pPr>
      <w:r>
        <w:rPr>
          <w:rFonts w:ascii="Arial" w:hAnsi="Arial" w:cs="Arial"/>
          <w:b w:val="0"/>
          <w:i w:val="0"/>
          <w:color w:val="000000"/>
          <w:sz w:val="21"/>
        </w:rPr>
        <w:t>Τα τελικά αποτελέσματα που έχουν καταγραφεί στο project είναι:</w:t>
      </w:r>
    </w:p>
    <w:tbl>
      <w:tblPr>
        <w:tblW w:type="auto" w:w="0"/>
        <w:jc w:val="center"/>
        <w:tblLayout w:type="fixed"/>
        <w:tblLook w:firstColumn="1" w:firstRow="1" w:lastColumn="0" w:lastRow="0" w:noHBand="0" w:noVBand="1" w:val="04A0"/>
      </w:tblPr>
      <w:tblGrid>
        <w:gridCol w:w="4939"/>
        <w:gridCol w:w="4939"/>
      </w:tblGrid>
      <w:tr>
        <w:tc>
          <w:tcPr>
            <w:tcW w:type="dxa" w:w="5328"/>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Μέγεθος</w:t>
            </w:r>
          </w:p>
        </w:tc>
        <w:tc>
          <w:tcPr>
            <w:tcW w:type="dxa" w:w="3744"/>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Αποτέλεσμα</w:t>
            </w:r>
          </w:p>
        </w:tc>
      </w:tr>
      <w:tr>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Κατάσταση solver</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Optimal</w:t>
            </w:r>
          </w:p>
        </w:tc>
      </w:tr>
      <w:tr>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Συνολικό objective</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79.096.176,93 USD</w:t>
            </w:r>
          </w:p>
        </w:tc>
      </w:tr>
      <w:tr>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ERJ145 assignments</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514</w:t>
            </w:r>
          </w:p>
        </w:tc>
      </w:tr>
      <w:tr>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ERJ170 assignments</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975</w:t>
            </w:r>
          </w:p>
        </w:tc>
      </w:tr>
      <w:tr>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ERJ175 assignments</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17.360</w:t>
            </w:r>
          </w:p>
        </w:tc>
      </w:tr>
      <w:tr>
        <w:tc>
          <w:tcPr>
            <w:tcW w:type="dxa" w:w="5328"/>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Σύνολο πτήσεων</w:t>
            </w:r>
          </w:p>
        </w:tc>
        <w:tc>
          <w:tcPr>
            <w:tcW w:type="dxa" w:w="3744"/>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18.849</w:t>
            </w:r>
          </w:p>
        </w:tc>
      </w:tr>
    </w:tbl>
    <w:p>
      <w:pPr>
        <w:keepNext w:val="0"/>
        <w:spacing w:before="0" w:after="100"/>
      </w:pPr>
    </w:p>
    <w:p>
      <w:pPr>
        <w:keepNext w:val="0"/>
        <w:spacing w:before="0" w:after="120"/>
      </w:pPr>
      <w:r>
        <w:rPr>
          <w:rFonts w:ascii="Arial" w:hAnsi="Arial" w:cs="Arial"/>
          <w:b w:val="0"/>
          <w:i w:val="0"/>
          <w:color w:val="000000"/>
          <w:sz w:val="21"/>
        </w:rPr>
        <w:t>Οι τρεις αριθμοί αναθέσεων αθροίζουν σε 18.849, άρα συμφωνούν με το πλήθος των πτήσεων του model-ready schedule. Το νεότερο run summary δίνει επίσης 79.058.109,76 USD operating cost και 38.067,17 USD spill cost. Η αριθμητική επαλήθευση κόστους περνά με μέγιστη απόλυτη διαφορά περίπου 4,55 × 10⁻¹³ USD.</w:t>
      </w:r>
    </w:p>
    <w:p>
      <w:pPr>
        <w:pStyle w:val="Heading1"/>
        <w:keepNext/>
        <w:spacing w:before="0" w:after="120"/>
      </w:pPr>
      <w:r>
        <w:rPr>
          <w:rFonts w:ascii="Arial" w:hAnsi="Arial" w:cs="Arial"/>
          <w:b w:val="0"/>
          <w:i w:val="0"/>
          <w:color w:val="000000"/>
          <w:sz w:val="21"/>
        </w:rPr>
        <w:t>11. Validation του FAM με τα πραγματικά δεδομένα</w:t>
      </w:r>
    </w:p>
    <w:p>
      <w:pPr>
        <w:keepNext w:val="0"/>
        <w:spacing w:before="0" w:after="120"/>
      </w:pPr>
      <w:r>
        <w:rPr>
          <w:rFonts w:ascii="Arial" w:hAnsi="Arial" w:cs="Arial"/>
          <w:b w:val="0"/>
          <w:i w:val="0"/>
          <w:color w:val="000000"/>
          <w:sz w:val="21"/>
        </w:rPr>
        <w:t>Μετά την επίλυση προστέθηκε ξεχωριστός validation κώδικας, validation_with_real_data.py. Ο κώδικας συγκρίνει το actual αρχείο envoy_ontime_jan2023_with_faa_model.csv με το envoy_FAM_assignment_results.csv. Η σύγκριση δεν γίνεται με το FLIGHT_ID ως μοναδικό κοινό κλειδί, αλλά με FlightDate, αριθμό πτήσης, Origin και Dest, αφού αυτά τα πεδία υπάρχουν και στις δύο πλευρές.</w:t>
      </w:r>
    </w:p>
    <w:p>
      <w:pPr>
        <w:keepNext w:val="0"/>
        <w:spacing w:before="0" w:after="120"/>
      </w:pPr>
      <w:r>
        <w:rPr>
          <w:rFonts w:ascii="Arial" w:hAnsi="Arial" w:cs="Arial"/>
          <w:b w:val="0"/>
          <w:i w:val="0"/>
          <w:color w:val="000000"/>
          <w:sz w:val="21"/>
        </w:rPr>
        <w:t>Πριν από το merge γίνεται κανονικοποίηση ημερομηνίας, αριθμού πτήσης και κωδικών αεροδρομίων. Το merge είναι one-to-one και ο έλεγχος duplicate keys ολοκληρώνεται χωρίς σφάλμα. Αυτό είναι σημαντικό, επειδή δείχνει ότι το validation δεν συγκρίνει πολλαπλές ή διπλομετρημένες εγγραφές.</w:t>
      </w:r>
    </w:p>
    <w:tbl>
      <w:tblPr>
        <w:tblW w:type="auto" w:w="0"/>
        <w:jc w:val="center"/>
        <w:tblLayout w:type="fixed"/>
        <w:tblLook w:firstColumn="1" w:firstRow="1" w:lastColumn="0" w:lastRow="0" w:noHBand="0" w:noVBand="1" w:val="04A0"/>
      </w:tblPr>
      <w:tblGrid>
        <w:gridCol w:w="4939"/>
        <w:gridCol w:w="4939"/>
      </w:tblGrid>
      <w:tr>
        <w:tc>
          <w:tcPr>
            <w:tcW w:type="dxa" w:w="5472"/>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Validation μέγεθος</w:t>
            </w:r>
          </w:p>
        </w:tc>
        <w:tc>
          <w:tcPr>
            <w:tcW w:type="dxa" w:w="3600"/>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Αποτέλεσμα</w:t>
            </w:r>
          </w:p>
        </w:tc>
      </w:tr>
      <w:t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Actual rows</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18.849</w:t>
            </w:r>
          </w:p>
        </w:tc>
      </w:tr>
      <w:t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FAM rows</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18.849</w:t>
            </w:r>
          </w:p>
        </w:tc>
      </w:tr>
      <w:t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Επιλέξιμες rows για type matching</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18.367</w:t>
            </w:r>
          </w:p>
        </w:tc>
      </w:tr>
      <w:t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Μη επιλέξιμες rows</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482</w:t>
            </w:r>
          </w:p>
        </w:tc>
      </w:tr>
      <w:t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Matches</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13.633</w:t>
            </w:r>
          </w:p>
        </w:tc>
      </w:tr>
      <w:t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Mismatches</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4.734</w:t>
            </w:r>
          </w:p>
        </w:tc>
      </w:tr>
      <w:tr>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Match percentage</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74,23%</w:t>
            </w:r>
          </w:p>
        </w:tc>
      </w:tr>
    </w:tbl>
    <w:p>
      <w:pPr>
        <w:keepNext w:val="0"/>
        <w:spacing w:before="0" w:after="100"/>
      </w:pPr>
    </w:p>
    <w:p>
      <w:pPr>
        <w:keepNext w:val="0"/>
        <w:spacing w:before="0" w:after="120"/>
      </w:pPr>
      <w:r>
        <w:rPr>
          <w:rFonts w:ascii="Arial" w:hAnsi="Arial" w:cs="Arial"/>
          <w:b w:val="0"/>
          <w:i w:val="0"/>
          <w:color w:val="000000"/>
          <w:sz w:val="21"/>
        </w:rPr>
        <w:t>Οι 482 μη επιλέξιμες εγγραφές αντιστοιχούν στις ακυρωμένες πτήσεις του actual schedule. Οι πτήσεις που χρησιμοποιούνται για matching πρέπει να έχουν ίδιο κλειδί, actual aircraft type από τα ERJ145/ERJ170/ERJ175 και Cancelled = 0. Σημειώνεται ότι το validation κρατά τις 42 operated diverted flights μέσα στη σύγκριση, επειδή το πεδίο Diverted δεν χρησιμοποιείται ως κριτήριο αποκλεισμού.</w:t>
      </w:r>
    </w:p>
    <w:p>
      <w:pPr>
        <w:pStyle w:val="Heading2"/>
        <w:keepNext/>
        <w:spacing w:before="0" w:after="120"/>
      </w:pPr>
      <w:r>
        <w:rPr>
          <w:rFonts w:ascii="Arial" w:hAnsi="Arial" w:cs="Arial"/>
          <w:b w:val="0"/>
          <w:i w:val="0"/>
          <w:color w:val="000000"/>
          <w:sz w:val="21"/>
        </w:rPr>
        <w:t>11.1 Confusion matrix και fleet distribution</w:t>
      </w:r>
    </w:p>
    <w:p>
      <w:pPr>
        <w:keepNext w:val="0"/>
        <w:spacing w:before="0" w:after="120"/>
      </w:pPr>
      <w:r>
        <w:rPr>
          <w:rFonts w:ascii="Arial" w:hAnsi="Arial" w:cs="Arial"/>
          <w:b w:val="0"/>
          <w:i w:val="0"/>
          <w:color w:val="000000"/>
          <w:sz w:val="21"/>
        </w:rPr>
        <w:t>Η συνολική ακρίβεια 74,23% δεν σημαίνει ότι όλοι οι τύποι αεροσκαφών αναπαράγονται εξίσου καλά. Η confusion matrix έχει actual aircraft στις γραμμές και FAM assigned aircraft στις στήλες:</w:t>
      </w:r>
    </w:p>
    <w:tbl>
      <w:tblPr>
        <w:tblW w:type="auto" w:w="0"/>
        <w:jc w:val="center"/>
        <w:tblLayout w:type="fixed"/>
        <w:tblLook w:firstColumn="1" w:firstRow="1" w:lastColumn="0" w:lastRow="0" w:noHBand="0" w:noVBand="1" w:val="04A0"/>
      </w:tblPr>
      <w:tblGrid>
        <w:gridCol w:w="2469"/>
        <w:gridCol w:w="2469"/>
        <w:gridCol w:w="2469"/>
        <w:gridCol w:w="2469"/>
      </w:tblGrid>
      <w:tr>
        <w:tc>
          <w:tcPr>
            <w:tcW w:type="dxa" w:w="3024"/>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Actual \ FAM</w:t>
            </w:r>
          </w:p>
        </w:tc>
        <w:tc>
          <w:tcPr>
            <w:tcW w:type="dxa" w:w="2016"/>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ERJ145</w:t>
            </w:r>
          </w:p>
        </w:tc>
        <w:tc>
          <w:tcPr>
            <w:tcW w:type="dxa" w:w="2016"/>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ERJ170</w:t>
            </w:r>
          </w:p>
        </w:tc>
        <w:tc>
          <w:tcPr>
            <w:tcW w:type="dxa" w:w="2016"/>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ERJ175</w:t>
            </w:r>
          </w:p>
        </w:tc>
      </w:tr>
      <w:t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ERJ145</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329</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458</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2.676</w:t>
            </w:r>
          </w:p>
        </w:tc>
      </w:tr>
      <w:t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ERJ170</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36</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29</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969</w:t>
            </w:r>
          </w:p>
        </w:tc>
      </w:tr>
      <w:t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ERJ175</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132</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463</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13.275</w:t>
            </w:r>
          </w:p>
        </w:tc>
      </w:tr>
    </w:tbl>
    <w:p>
      <w:pPr>
        <w:keepNext w:val="0"/>
        <w:spacing w:before="0" w:after="100"/>
      </w:pPr>
    </w:p>
    <w:p>
      <w:pPr>
        <w:keepNext w:val="0"/>
        <w:spacing w:before="0" w:after="120"/>
      </w:pPr>
      <w:r>
        <w:rPr>
          <w:rFonts w:ascii="Arial" w:hAnsi="Arial" w:cs="Arial"/>
          <w:b w:val="0"/>
          <w:i w:val="0"/>
          <w:color w:val="000000"/>
          <w:sz w:val="21"/>
        </w:rPr>
        <w:t>Η κύρια διαφορά είναι ότι πολλές πτήσεις που στο actual mapping εμφανίζονται ως ERJ145 ή ERJ170 ανατίθενται από το cost-minimizing FAM ως ERJ175. Συγκεκριμένα, τα 2.676 ERJ145 προς ERJ175 και τα 969 ERJ170 προς ERJ175 είναι οι δύο μεγαλύτερες κατηγορίες mismatch. Αντίθετα, ο τύπος ERJ175 ταιριάζει σε 13.275 από τις 13.870 επιλέξιμες ERJ175 πτήσεις.</w:t>
      </w:r>
    </w:p>
    <w:tbl>
      <w:tblPr>
        <w:tblW w:type="auto" w:w="0"/>
        <w:jc w:val="center"/>
        <w:tblLayout w:type="fixed"/>
        <w:tblLook w:firstColumn="1" w:firstRow="1" w:lastColumn="0" w:lastRow="0" w:noHBand="0" w:noVBand="1" w:val="04A0"/>
      </w:tblPr>
      <w:tblGrid>
        <w:gridCol w:w="3293"/>
        <w:gridCol w:w="3293"/>
        <w:gridCol w:w="3293"/>
      </w:tblGrid>
      <w:tr>
        <w:tc>
          <w:tcPr>
            <w:tcW w:type="dxa" w:w="3888"/>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Τύπος</w:t>
            </w:r>
          </w:p>
        </w:tc>
        <w:tc>
          <w:tcPr>
            <w:tcW w:type="dxa" w:w="2592"/>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Actual eligible</w:t>
            </w:r>
          </w:p>
        </w:tc>
        <w:tc>
          <w:tcPr>
            <w:tcW w:type="dxa" w:w="2592"/>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FAM eligible</w:t>
            </w:r>
          </w:p>
        </w:tc>
      </w:tr>
      <w:tr>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ERJ145</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3.463</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497</w:t>
            </w:r>
          </w:p>
        </w:tc>
      </w:tr>
      <w:tr>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ERJ170</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1.034</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950</w:t>
            </w:r>
          </w:p>
        </w:tc>
      </w:tr>
      <w:tr>
        <w:tc>
          <w:tcPr>
            <w:tcW w:type="dxa" w:w="388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ERJ175</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13.870</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16.920</w:t>
            </w:r>
          </w:p>
        </w:tc>
      </w:tr>
    </w:tbl>
    <w:p>
      <w:pPr>
        <w:keepNext w:val="0"/>
        <w:spacing w:before="0" w:after="100"/>
      </w:pPr>
    </w:p>
    <w:p>
      <w:pPr>
        <w:keepNext w:val="0"/>
        <w:spacing w:before="0" w:after="120"/>
      </w:pPr>
      <w:r>
        <w:rPr>
          <w:rFonts w:ascii="Arial" w:hAnsi="Arial" w:cs="Arial"/>
          <w:b w:val="0"/>
          <w:i w:val="0"/>
          <w:color w:val="000000"/>
          <w:sz w:val="21"/>
        </w:rPr>
        <w:t>Οι αριθμοί του παραπάνω πίνακα αφορούν μόνο τις 18.367 επιλέξιμες operated πτήσεις και για αυτό δεν ταυτίζονται με τα πλήρη τελικά assignments 514, 975 και 17.360. Οι 482 ακυρωμένες πτήσεις έχουν αποκλειστεί από το type matching. Η σύγκριση δείχνει ότι η λύση αναθέτει πολύ μεγαλύτερο μερίδιο στο ERJ175 από αυτό που παρατηρείται στο actual schedule.</w:t>
      </w:r>
    </w:p>
    <w:p>
      <w:pPr>
        <w:pStyle w:val="Heading2"/>
        <w:keepNext/>
        <w:spacing w:before="0" w:after="120"/>
      </w:pPr>
      <w:r>
        <w:rPr>
          <w:rFonts w:ascii="Arial" w:hAnsi="Arial" w:cs="Arial"/>
          <w:b w:val="0"/>
          <w:i w:val="0"/>
          <w:color w:val="000000"/>
          <w:sz w:val="21"/>
        </w:rPr>
        <w:t>11.2 Πού εμφανίζονται τα mismatches</w:t>
      </w:r>
    </w:p>
    <w:p>
      <w:pPr>
        <w:keepNext w:val="0"/>
        <w:spacing w:before="0" w:after="120"/>
      </w:pPr>
      <w:r>
        <w:rPr>
          <w:rFonts w:ascii="Arial" w:hAnsi="Arial" w:cs="Arial"/>
          <w:b w:val="0"/>
          <w:i w:val="0"/>
          <w:color w:val="000000"/>
          <w:sz w:val="21"/>
        </w:rPr>
        <w:t>Τα mismatches δεν περιορίζονται σε μία μόνο ημέρα. Εμφανίζονται και στις 31 ημέρες του Ιανουαρίου, με 107 έως 191 mismatches ανά ημέρα. Η μεγαλύτερη ημερήσια τιμή καταγράφηκε στις 9 Ιανουαρίου με 191 mismatches, ενώ η μικρότερη στις 14 Ιανουαρίου με 107.</w:t>
      </w:r>
    </w:p>
    <w:tbl>
      <w:tblPr>
        <w:tblW w:type="auto" w:w="0"/>
        <w:jc w:val="center"/>
        <w:tblLayout w:type="fixed"/>
        <w:tblLook w:firstColumn="1" w:firstRow="1" w:lastColumn="0" w:lastRow="0" w:noHBand="0" w:noVBand="1" w:val="04A0"/>
      </w:tblPr>
      <w:tblGrid>
        <w:gridCol w:w="2469"/>
        <w:gridCol w:w="2469"/>
        <w:gridCol w:w="2469"/>
        <w:gridCol w:w="2469"/>
      </w:tblGrid>
      <w:tr>
        <w:tc>
          <w:tcPr>
            <w:tcW w:type="dxa" w:w="2304"/>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Route</w:t>
            </w:r>
          </w:p>
        </w:tc>
        <w:tc>
          <w:tcPr>
            <w:tcW w:type="dxa" w:w="1872"/>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Actual</w:t>
            </w:r>
          </w:p>
        </w:tc>
        <w:tc>
          <w:tcPr>
            <w:tcW w:type="dxa" w:w="1872"/>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FAM</w:t>
            </w:r>
          </w:p>
        </w:tc>
        <w:tc>
          <w:tcPr>
            <w:tcW w:type="dxa" w:w="2016"/>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Mismatches</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ORD-SGF</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ERJ145</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ERJ175</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74</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SGF-ORD</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ERJ145</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ERJ175</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72</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ORD-CLE</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ERJ145</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ERJ175</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68</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ORD-FAR</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ERJ145</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ERJ175</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68</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CLE-ORD</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ERJ145</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ERJ175</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68</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FAR-ORD</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ERJ145</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ERJ175</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67</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ORD-FSD</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ERJ145</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ERJ175</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62</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FSD-ORD</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ERJ145</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ERJ175</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62</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ORD-GSO</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ERJ145</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ERJ175</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60</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GSO-ORD</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ERJ145</w:t>
            </w:r>
          </w:p>
        </w:tc>
        <w:tc>
          <w:tcPr>
            <w:tcW w:type="dxa" w:w="187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ERJ175</w:t>
            </w:r>
          </w:p>
        </w:tc>
        <w:tc>
          <w:tcPr>
            <w:tcW w:type="dxa" w:w="2016"/>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58</w:t>
            </w:r>
          </w:p>
        </w:tc>
      </w:tr>
    </w:tbl>
    <w:p>
      <w:pPr>
        <w:keepNext w:val="0"/>
        <w:spacing w:before="0" w:after="100"/>
      </w:pPr>
    </w:p>
    <w:p>
      <w:pPr>
        <w:keepNext w:val="0"/>
        <w:spacing w:before="0" w:after="120"/>
      </w:pPr>
      <w:r>
        <w:rPr>
          <w:rFonts w:ascii="Arial" w:hAnsi="Arial" w:cs="Arial"/>
          <w:b w:val="0"/>
          <w:i w:val="0"/>
          <w:color w:val="000000"/>
          <w:sz w:val="21"/>
        </w:rPr>
        <w:t>Οι δέκα πρώτες directed routes συγκεντρώνουν 659 mismatches. Το μοτίβο είναι έντονα συνδεδεμένο με το ORD και τις spoke διαδρομές του, και κυριαρχείται από actual ERJ145 που το FAM αντικαθιστά με ERJ175. Αυτό δείχνει ότι η απόκλιση είναι συστηματική κατανομή τύπου και όχι τυχαία μεμονωμένα λάθη.</w:t>
      </w:r>
    </w:p>
    <w:p>
      <w:pPr>
        <w:pStyle w:val="Heading2"/>
        <w:keepNext/>
        <w:spacing w:before="0" w:after="120"/>
      </w:pPr>
      <w:r>
        <w:rPr>
          <w:rFonts w:ascii="Arial" w:hAnsi="Arial" w:cs="Arial"/>
          <w:b w:val="0"/>
          <w:i w:val="0"/>
          <w:color w:val="000000"/>
          <w:sz w:val="21"/>
        </w:rPr>
        <w:t>11.3 Ερμηνεία του validation αποτελέσματος</w:t>
      </w:r>
    </w:p>
    <w:p>
      <w:pPr>
        <w:keepNext w:val="0"/>
        <w:spacing w:before="0" w:after="120"/>
      </w:pPr>
      <w:r>
        <w:rPr>
          <w:rFonts w:ascii="Arial" w:hAnsi="Arial" w:cs="Arial"/>
          <w:b w:val="0"/>
          <w:i w:val="0"/>
          <w:color w:val="000000"/>
          <w:sz w:val="21"/>
        </w:rPr>
        <w:t>Το validation ελέγχει συμφωνία με τον τύπο αεροσκάφους που παρατηρείται στο FAA-based actual mapping. Δεν ελέγχει αν το FAM έλυσε σωστά τις inventory, range ή precedence constraints, ούτε απαιτεί από ένα cost-optimized assignment να αναπαράγει την ιστορική επιλογή τύπου σε κάθε πτήση. Άρα το 74,23% είναι δείκτης similarity με το actual schedule, όχι από μόνο του απόδειξη ορθότητας ή αποτυχίας του optimization model.</w:t>
      </w:r>
    </w:p>
    <w:p>
      <w:pPr>
        <w:keepNext w:val="0"/>
        <w:spacing w:before="0" w:after="120"/>
      </w:pPr>
      <w:r>
        <w:rPr>
          <w:rFonts w:ascii="Arial" w:hAnsi="Arial" w:cs="Arial"/>
          <w:b w:val="0"/>
          <w:i w:val="0"/>
          <w:color w:val="000000"/>
          <w:sz w:val="21"/>
        </w:rPr>
        <w:t>Το πιο ουσιαστικό εύρημα είναι η ασυμμετρία ανά τύπο: το FAM επιλέγει πολύ συχνότερα ERJ175, ενώ το actual mapping περιέχει περισσότερες ERJ145. Η πιθανότερη τεχνική εξήγηση βρίσκεται στη συνάρτηση κόστους και στη διαθεσιμότητα του στόλου, ιδιαίτερα στο cost-per-mile και στο spill-cost input. Για ισχυρότερο συμπέρασμα χρειάζεται decomposition του objective ανά aircraft type και route, καθώς και έλεγχος των cost differences στις διαδρομές με τα περισσότερα mismatches.</w:t>
      </w:r>
    </w:p>
    <w:p>
      <w:pPr>
        <w:pStyle w:val="Heading1"/>
        <w:keepNext/>
        <w:spacing w:before="0" w:after="120"/>
      </w:pPr>
      <w:r>
        <w:rPr>
          <w:rFonts w:ascii="Arial" w:hAnsi="Arial" w:cs="Arial"/>
          <w:b w:val="0"/>
          <w:i w:val="0"/>
          <w:color w:val="000000"/>
          <w:sz w:val="21"/>
        </w:rPr>
        <w:t>12. Σύγκριση με το paper</w:t>
      </w:r>
    </w:p>
    <w:p>
      <w:pPr>
        <w:keepNext w:val="0"/>
        <w:spacing w:before="0" w:after="120"/>
      </w:pPr>
      <w:r>
        <w:rPr>
          <w:rFonts w:ascii="Arial" w:hAnsi="Arial" w:cs="Arial"/>
          <w:b w:val="0"/>
          <w:i w:val="0"/>
          <w:color w:val="000000"/>
          <w:sz w:val="21"/>
        </w:rPr>
        <w:t>Το paper αναφέρει conventional baseline περίπου 73,10 εκατ. USD. Η διαφορά από το αποτέλεσμα του project είναι:</w:t>
      </w:r>
    </w:p>
    <w:p>
      <w:pPr>
        <w:keepLines/>
        <w:spacing w:before="60" w:after="100"/>
        <w:jc w:val="center"/>
      </w:pPr>
      <w:r>
        <w:rPr>
          <w:rFonts w:ascii="Cambria Math" w:hAnsi="Cambria Math" w:cs="Cambria Math"/>
          <w:b w:val="0"/>
          <w:i/>
          <w:color w:val="000000"/>
          <w:sz w:val="22"/>
        </w:rPr>
        <w:t>79,096M − 73,10M ≈ 5,996M USD</w:t>
      </w:r>
    </w:p>
    <w:p>
      <w:pPr>
        <w:keepLines/>
        <w:spacing w:before="60" w:after="100"/>
        <w:jc w:val="center"/>
      </w:pPr>
      <w:r>
        <w:rPr>
          <w:rFonts w:ascii="Cambria Math" w:hAnsi="Cambria Math" w:cs="Cambria Math"/>
          <w:b w:val="0"/>
          <w:i/>
          <w:color w:val="000000"/>
          <w:sz w:val="22"/>
        </w:rPr>
        <w:t>5,996M / 73,10M ≈ 8,2% υψηλότερο objective</w:t>
      </w:r>
    </w:p>
    <w:p>
      <w:pPr>
        <w:keepNext w:val="0"/>
        <w:spacing w:before="0" w:after="120"/>
      </w:pPr>
      <w:r>
        <w:rPr>
          <w:rFonts w:ascii="Arial" w:hAnsi="Arial" w:cs="Arial"/>
          <w:b w:val="0"/>
          <w:i w:val="0"/>
          <w:color w:val="000000"/>
          <w:sz w:val="21"/>
        </w:rPr>
        <w:t>Η σύγκριση δεν πρέπει να παρουσιαστεί ως απόλυτη αναπαραγωγή αριθμών, επειδή υπάρχουν αρκετές διαφορές στην αλυσίδα εισόδων:</w:t>
      </w:r>
    </w:p>
    <w:tbl>
      <w:tblPr>
        <w:tblW w:type="auto" w:w="0"/>
        <w:jc w:val="center"/>
        <w:tblLayout w:type="fixed"/>
        <w:tblLook w:firstColumn="1" w:firstRow="1" w:lastColumn="0" w:lastRow="0" w:noHBand="0" w:noVBand="1" w:val="04A0"/>
      </w:tblPr>
      <w:tblGrid>
        <w:gridCol w:w="3293"/>
        <w:gridCol w:w="3293"/>
        <w:gridCol w:w="3293"/>
      </w:tblGrid>
      <w:tr>
        <w:tc>
          <w:tcPr>
            <w:tcW w:type="dxa" w:w="2232"/>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Θέμα</w:t>
            </w:r>
          </w:p>
        </w:tc>
        <w:tc>
          <w:tcPr>
            <w:tcW w:type="dxa" w:w="3960"/>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Paper</w:t>
            </w:r>
          </w:p>
        </w:tc>
        <w:tc>
          <w:tcPr>
            <w:tcW w:type="dxa" w:w="2880"/>
            <w:vAlign w:val="center"/>
            <w:shd w:fill="2F5597"/>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i w:val="0"/>
                <w:color w:val="FFFFFF"/>
                <w:sz w:val="18"/>
              </w:rPr>
              <w:t>Τρέχουσα αναδημιουργία</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Demand</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Πολυετές T-100 pipeline, εκτός 2020-2021</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Ιανουάριος 2023 T-100</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Fares</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Ιστορικό DB1B Q1 για ευρύτερο παράθυρο</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Q1 2023 DB1B και imputation</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Operating cost</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Αρχικό cost-per-mile και λεπτομερές fuel/labor model</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Cost per mile × distance</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left"/>
            </w:pPr>
            <w:r>
              <w:rPr>
                <w:rFonts w:ascii="Arial" w:hAnsi="Arial" w:cs="Arial"/>
                <w:b w:val="0"/>
                <w:i w:val="0"/>
                <w:color w:val="000000"/>
                <w:sz w:val="18"/>
              </w:rPr>
              <w:t>Initial positions</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Υποθέτει διαθέσιμη αρχική κατάσταση</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shd w:fill="F2F5F9"/>
          </w:tcPr>
          <w:p>
            <w:pPr>
              <w:spacing w:after="0"/>
              <w:jc w:val="center"/>
            </w:pPr>
            <w:r>
              <w:rPr>
                <w:rFonts w:ascii="Arial" w:hAnsi="Arial" w:cs="Arial"/>
                <w:b w:val="0"/>
                <w:i w:val="0"/>
                <w:color w:val="000000"/>
                <w:sz w:val="18"/>
              </w:rPr>
              <w:t>Proxy από first observed tail departure</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left"/>
            </w:pPr>
            <w:r>
              <w:rPr>
                <w:rFonts w:ascii="Arial" w:hAnsi="Arial" w:cs="Arial"/>
                <w:b w:val="0"/>
                <w:i w:val="0"/>
                <w:color w:val="000000"/>
                <w:sz w:val="18"/>
              </w:rPr>
              <w:t>Fleet count</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101 ERJ175 σε ένα σημείο, 103 σε άλλο</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0"/>
              <w:jc w:val="center"/>
            </w:pPr>
            <w:r>
              <w:rPr>
                <w:rFonts w:ascii="Arial" w:hAnsi="Arial" w:cs="Arial"/>
                <w:b w:val="0"/>
                <w:i w:val="0"/>
                <w:color w:val="000000"/>
                <w:sz w:val="18"/>
              </w:rPr>
              <w:t>101 ERJ175 στα processed data</w:t>
            </w:r>
          </w:p>
        </w:tc>
      </w:tr>
    </w:tbl>
    <w:p>
      <w:pPr>
        <w:keepNext w:val="0"/>
        <w:spacing w:before="0" w:after="100"/>
      </w:pPr>
    </w:p>
    <w:p>
      <w:pPr>
        <w:keepNext w:val="0"/>
        <w:spacing w:before="0" w:after="120"/>
      </w:pPr>
      <w:r>
        <w:rPr>
          <w:rFonts w:ascii="Arial" w:hAnsi="Arial" w:cs="Arial"/>
          <w:b w:val="0"/>
          <w:i w:val="0"/>
          <w:color w:val="000000"/>
          <w:sz w:val="21"/>
        </w:rPr>
        <w:t>Με βάση όσα ελέγχθηκαν στο project, η διόρθωση των αρχικών θέσεων φαίνεται να έχει μικρή επίδραση στο objective σε σχέση με το συνολικό gap. Οι σημαντικότεροι αναμενόμενοι οδηγοί της διαφοράς είναι το operating-cost matrix, η ζήτηση και οι ναύλοι που χρησιμοποιούνται στο spill cost.</w:t>
      </w:r>
    </w:p>
    <w:p>
      <w:pPr>
        <w:pStyle w:val="Heading1"/>
        <w:keepNext/>
        <w:spacing w:before="0" w:after="120"/>
      </w:pPr>
      <w:r>
        <w:rPr>
          <w:rFonts w:ascii="Arial" w:hAnsi="Arial" w:cs="Arial"/>
          <w:b w:val="0"/>
          <w:i w:val="0"/>
          <w:color w:val="000000"/>
          <w:sz w:val="21"/>
        </w:rPr>
        <w:t>13. Προβλήματα που αντιμετωπίστηκαν και τι μάθαμε</w:t>
      </w:r>
    </w:p>
    <w:p>
      <w:pPr>
        <w:pStyle w:val="ListBullet"/>
        <w:spacing w:after="60"/>
      </w:pPr>
      <w:r>
        <w:rPr>
          <w:rFonts w:ascii="Arial" w:hAnsi="Arial" w:cs="Arial"/>
          <w:b w:val="0"/>
          <w:i w:val="0"/>
          <w:color w:val="000000"/>
          <w:sz w:val="21"/>
        </w:rPr>
        <w:t>Οι αριθμοί πτήσεων δεν ήταν μοναδικοί σε μηνιαίο ορίζοντα, άρα χρειάστηκε δημιουργία FLIGHT_ID.</w:t>
      </w:r>
    </w:p>
    <w:p>
      <w:pPr>
        <w:pStyle w:val="ListBullet"/>
        <w:spacing w:after="60"/>
      </w:pPr>
      <w:r>
        <w:rPr>
          <w:rFonts w:ascii="Arial" w:hAnsi="Arial" w:cs="Arial"/>
          <w:b w:val="0"/>
          <w:i w:val="0"/>
          <w:color w:val="000000"/>
          <w:sz w:val="21"/>
        </w:rPr>
        <w:t>Οι χρόνοι έπρεπε να μεταφερθούν σε κοινή αναφορά και να ελεγχθεί ότι καμία άφιξη δεν προηγείται της αναχώρησης.</w:t>
      </w:r>
    </w:p>
    <w:p>
      <w:pPr>
        <w:pStyle w:val="ListBullet"/>
        <w:spacing w:after="60"/>
      </w:pPr>
      <w:r>
        <w:rPr>
          <w:rFonts w:ascii="Arial" w:hAnsi="Arial" w:cs="Arial"/>
          <w:b w:val="0"/>
          <w:i w:val="0"/>
          <w:color w:val="000000"/>
          <w:sz w:val="21"/>
        </w:rPr>
        <w:t>Το route-level demand και fare input έπρεπε να συνδεθεί με flight-level cost rows.</w:t>
      </w:r>
    </w:p>
    <w:p>
      <w:pPr>
        <w:pStyle w:val="ListBullet"/>
        <w:spacing w:after="60"/>
      </w:pPr>
      <w:r>
        <w:rPr>
          <w:rFonts w:ascii="Arial" w:hAnsi="Arial" w:cs="Arial"/>
          <w:b w:val="0"/>
          <w:i w:val="0"/>
          <w:color w:val="000000"/>
          <w:sz w:val="21"/>
        </w:rPr>
        <w:t>Υπήρχαν ελλείποντες ναύλοι και χρειάστηκε προσωρινή, καταγεγραμμένη imputation.</w:t>
      </w:r>
    </w:p>
    <w:p>
      <w:pPr>
        <w:pStyle w:val="ListBullet"/>
        <w:spacing w:after="60"/>
      </w:pPr>
      <w:r>
        <w:rPr>
          <w:rFonts w:ascii="Arial" w:hAnsi="Arial" w:cs="Arial"/>
          <w:b w:val="0"/>
          <w:i w:val="0"/>
          <w:color w:val="000000"/>
          <w:sz w:val="21"/>
        </w:rPr>
        <w:t>Το proxy initial position είχε σωστό συνολικό fleet count αλλά λάθος χωρική κατανομή για την early schedule pressure.</w:t>
      </w:r>
    </w:p>
    <w:p>
      <w:pPr>
        <w:pStyle w:val="ListBullet"/>
        <w:spacing w:after="60"/>
      </w:pPr>
      <w:r>
        <w:rPr>
          <w:rFonts w:ascii="Arial" w:hAnsi="Arial" w:cs="Arial"/>
          <w:b w:val="0"/>
          <w:i w:val="0"/>
          <w:color w:val="000000"/>
          <w:sz w:val="21"/>
        </w:rPr>
        <w:t>Η πρώτη solver αποτυχία απαιτούσε διάκριση μεταξύ aggregate fleet shortage και airport-position infeasibility.</w:t>
      </w:r>
    </w:p>
    <w:p>
      <w:pPr>
        <w:pStyle w:val="ListBullet"/>
        <w:spacing w:after="60"/>
      </w:pPr>
      <w:r>
        <w:rPr>
          <w:rFonts w:ascii="Arial" w:hAnsi="Arial" w:cs="Arial"/>
          <w:b w:val="0"/>
          <w:i w:val="0"/>
          <w:color w:val="000000"/>
          <w:sz w:val="21"/>
        </w:rPr>
        <w:t>Η χειροκίνητη διόρθωση ήταν χρήσιμη για debugging αλλά όχι αρκετή ως τελική μεθοδολογία.</w:t>
      </w:r>
    </w:p>
    <w:p>
      <w:pPr>
        <w:pStyle w:val="ListBullet"/>
        <w:spacing w:after="60"/>
      </w:pPr>
      <w:r>
        <w:rPr>
          <w:rFonts w:ascii="Arial" w:hAnsi="Arial" w:cs="Arial"/>
          <w:b w:val="0"/>
          <w:i w:val="0"/>
          <w:color w:val="000000"/>
          <w:sz w:val="21"/>
        </w:rPr>
        <w:t>Η MILP repair έδωσε συστηματική λύση με ελάχιστη απόκλιση και διατήρηση fleet composition.</w:t>
      </w:r>
    </w:p>
    <w:p>
      <w:pPr>
        <w:pStyle w:val="ListBullet"/>
        <w:spacing w:after="60"/>
      </w:pPr>
      <w:r>
        <w:rPr>
          <w:rFonts w:ascii="Arial" w:hAnsi="Arial" w:cs="Arial"/>
          <w:b w:val="0"/>
          <w:i w:val="0"/>
          <w:color w:val="000000"/>
          <w:sz w:val="21"/>
        </w:rPr>
        <w:t>Το project δεν είχε αποθηκευμένο πλήρες final assignment output, οπότε τα τελικά assignment counts χρειάζονται επανέλεγχο για πλήρη αναπαραγωγιμότητα.</w:t>
      </w:r>
    </w:p>
    <w:p>
      <w:pPr>
        <w:pStyle w:val="Heading1"/>
        <w:keepNext/>
        <w:spacing w:before="0" w:after="120"/>
      </w:pPr>
      <w:r>
        <w:rPr>
          <w:rFonts w:ascii="Arial" w:hAnsi="Arial" w:cs="Arial"/>
          <w:b w:val="0"/>
          <w:i w:val="0"/>
          <w:color w:val="000000"/>
          <w:sz w:val="21"/>
        </w:rPr>
        <w:t>14. Περιορισμοί και προτεινόμενη συνέχεια</w:t>
      </w:r>
    </w:p>
    <w:p>
      <w:pPr>
        <w:keepNext w:val="0"/>
        <w:spacing w:before="0" w:after="120"/>
      </w:pPr>
      <w:r>
        <w:rPr>
          <w:rFonts w:ascii="Arial" w:hAnsi="Arial" w:cs="Arial"/>
          <w:b w:val="0"/>
          <w:i w:val="0"/>
          <w:color w:val="000000"/>
          <w:sz w:val="21"/>
        </w:rPr>
        <w:t>Η επόμενη έκδοση της εργασίας μπορεί να βελτιωθεί σε τέσσερις άξονες:</w:t>
      </w:r>
    </w:p>
    <w:p>
      <w:pPr>
        <w:pStyle w:val="ListNumber"/>
        <w:spacing w:after="60"/>
      </w:pPr>
      <w:r>
        <w:rPr>
          <w:rFonts w:ascii="Arial" w:hAnsi="Arial" w:cs="Arial"/>
          <w:b w:val="0"/>
          <w:i w:val="0"/>
          <w:color w:val="000000"/>
          <w:sz w:val="21"/>
        </w:rPr>
        <w:t>Να ανακατασκευάζει την αρχική κατάσταση με πλήρη time-space συνέπεια και, ιδανικά, με προηγούμενο schedule ή tail-level routing.</w:t>
      </w:r>
    </w:p>
    <w:p>
      <w:pPr>
        <w:pStyle w:val="ListNumber"/>
        <w:spacing w:after="60"/>
      </w:pPr>
      <w:r>
        <w:rPr>
          <w:rFonts w:ascii="Arial" w:hAnsi="Arial" w:cs="Arial"/>
          <w:b w:val="0"/>
          <w:i w:val="0"/>
          <w:color w:val="000000"/>
          <w:sz w:val="21"/>
        </w:rPr>
        <w:t>Να αντικαταστήσει το προσωρινό fare imputation με το πλήρες ιστορικό T-100 και DB1B pipeline που περιγράφεται στο paper.</w:t>
      </w:r>
    </w:p>
    <w:p>
      <w:pPr>
        <w:pStyle w:val="ListNumber"/>
        <w:spacing w:after="60"/>
      </w:pPr>
      <w:r>
        <w:rPr>
          <w:rFonts w:ascii="Arial" w:hAnsi="Arial" w:cs="Arial"/>
          <w:b w:val="0"/>
          <w:i w:val="0"/>
          <w:color w:val="000000"/>
          <w:sz w:val="21"/>
        </w:rPr>
        <w:t>Να υλοποιήσει το λεπτομερές operating-cost model με fuel burn, Jet-A price και labor components, ώστε η σύγκριση με το baseline να είναι πιο δίκαιη.</w:t>
      </w:r>
    </w:p>
    <w:p>
      <w:pPr>
        <w:pStyle w:val="ListNumber"/>
        <w:spacing w:after="60"/>
      </w:pPr>
      <w:r>
        <w:rPr>
          <w:rFonts w:ascii="Arial" w:hAnsi="Arial" w:cs="Arial"/>
          <w:b w:val="0"/>
          <w:i w:val="0"/>
          <w:color w:val="000000"/>
          <w:sz w:val="21"/>
        </w:rPr>
        <w:t>Να τροποποιήσει το solve script ώστε να αποθηκεύει assignment table, objective components, solver status, runtime και reproducibility log.</w:t>
      </w:r>
    </w:p>
    <w:p>
      <w:pPr>
        <w:keepNext w:val="0"/>
        <w:spacing w:before="0" w:after="120"/>
      </w:pPr>
      <w:r>
        <w:rPr>
          <w:rFonts w:ascii="Arial" w:hAnsi="Arial" w:cs="Arial"/>
          <w:b w:val="0"/>
          <w:i w:val="0"/>
          <w:color w:val="000000"/>
          <w:sz w:val="21"/>
        </w:rPr>
        <w:t>Σε δεύτερη φάση μπορεί να επεκταθεί το μοντέλο σε hybrid-electric aircraft, charging constraints, battery limits και mixed-fleet scenarios, όπως στο ευρύτερο αντικείμενο του paper. Αυτή όμως είναι ξεχωριστή επέκταση από την επιβεβαίωση του συμβατικού baseline.</w:t>
      </w:r>
    </w:p>
    <w:p>
      <w:pPr>
        <w:pStyle w:val="Heading1"/>
        <w:keepNext/>
        <w:spacing w:before="0" w:after="120"/>
      </w:pPr>
      <w:r>
        <w:rPr>
          <w:rFonts w:ascii="Arial" w:hAnsi="Arial" w:cs="Arial"/>
          <w:b w:val="0"/>
          <w:i w:val="0"/>
          <w:color w:val="000000"/>
          <w:sz w:val="21"/>
        </w:rPr>
        <w:t>Συμπέρασμα</w:t>
      </w:r>
    </w:p>
    <w:p>
      <w:pPr>
        <w:keepNext w:val="0"/>
        <w:spacing w:before="0" w:after="120"/>
      </w:pPr>
      <w:r>
        <w:rPr>
          <w:rFonts w:ascii="Arial" w:hAnsi="Arial" w:cs="Arial"/>
          <w:b w:val="0"/>
          <w:i w:val="0"/>
          <w:color w:val="000000"/>
          <w:sz w:val="21"/>
        </w:rPr>
        <w:t>Το workflow πέτυχε να αναδημιουργήσει τη βασική λειτουργική και μαθηματική δομή του συμβατικού FAM για 18.849 πτήσεις της Envoy Air. Η σημαντικότερη τεχνική δυσκολία δεν ήταν η σύνταξη της αντικειμενικής συνάρτησης, αλλά η δημιουργία συμβατών εισόδων: πλήρες cost matrix, αξιόπιστη αρχική κατανομή και σωστή ροή αεροσκαφών στον χρόνο.</w:t>
      </w:r>
    </w:p>
    <w:p>
      <w:pPr>
        <w:keepNext w:val="0"/>
        <w:spacing w:before="0" w:after="120"/>
      </w:pPr>
      <w:r>
        <w:rPr>
          <w:rFonts w:ascii="Arial" w:hAnsi="Arial" w:cs="Arial"/>
          <w:b w:val="0"/>
          <w:i w:val="0"/>
          <w:color w:val="000000"/>
          <w:sz w:val="21"/>
        </w:rPr>
        <w:t>Η μη εφικτότητα εντοπίστηκε ως πρόβλημα αρχικής τοποθέτησης, ενώ ο συνολικός στόλος ήταν επαρκής. Η MILP διόρθωση με ελάχιστη απόκλιση έδωσε feasible initial vector και επέτρεψε την τελική επίλυση. Το validation έδειξε 74,23% συμφωνία τύπου στις επιλέξιμες operated πτήσεις, αλλά και έντονη μετατόπιση από actual ERJ145/ERJ170 προς FAM ERJ175. Το objective των 79,10 εκατ. USD είναι χρήσιμο ως αποτέλεσμα της συγκεκριμένης αναδημιουργίας, όμως η διαφορά από τα 73,10 εκατ. USD του paper πρέπει να αξιολογηθεί μαζί με τις διαφορές των δεδομένων και των παραδοχών.</w:t>
      </w:r>
    </w:p>
    <w:p>
      <w:pPr>
        <w:pStyle w:val="Heading1"/>
        <w:keepNext/>
        <w:spacing w:before="0" w:after="120"/>
      </w:pPr>
      <w:r>
        <w:rPr>
          <w:rFonts w:ascii="Arial" w:hAnsi="Arial" w:cs="Arial"/>
          <w:b w:val="0"/>
          <w:i w:val="0"/>
          <w:color w:val="000000"/>
          <w:sz w:val="21"/>
        </w:rPr>
        <w:t>Πηγές</w:t>
      </w:r>
    </w:p>
    <w:p>
      <w:pPr>
        <w:keepNext w:val="0"/>
        <w:spacing w:before="0" w:after="120"/>
      </w:pPr>
      <w:r>
        <w:rPr>
          <w:rFonts w:ascii="Arial" w:hAnsi="Arial" w:cs="Arial"/>
          <w:b w:val="0"/>
          <w:i w:val="0"/>
          <w:color w:val="000000"/>
          <w:sz w:val="21"/>
        </w:rPr>
        <w:t>Chan, S., Deng, Y., Tran, H., Wu, J., Ikeda, K., Cinar, G., and Li, J. «Optimizing Fleet Assignment Decisions for Regional Airlines with Hybrid Electric Aircraft Uptake», ICAS 2024.</w:t>
      </w:r>
    </w:p>
    <w:p>
      <w:pPr>
        <w:keepNext w:val="0"/>
        <w:spacing w:before="0" w:after="120"/>
      </w:pPr>
      <w:r>
        <w:rPr>
          <w:rFonts w:ascii="Arial" w:hAnsi="Arial" w:cs="Arial"/>
          <w:b w:val="0"/>
          <w:i w:val="0"/>
          <w:color w:val="000000"/>
          <w:sz w:val="21"/>
        </w:rPr>
        <w:t>Project inputs and scripts: Envoy Air January 2023 model-ready schedule, route inputs, initial position files, assignment cost matrix, validation_with_real_data.py, validation_summary.json, confusion matrix, mismatch summaries, and Python/PuLP/CBC implementation stored in the Paper_reCreation_chan project folder.</w:t>
      </w:r>
    </w:p>
    <w:sectPr w:rsidR="00FC693F" w:rsidRPr="0006063C" w:rsidSect="00034616">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cs="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cs="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Αναδημιουργία του Μοντέλου Ανάθεσης Στόλου</dc:title>
  <dc:subject>Αναλυτική ελληνική τεχνική αναφορά</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