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rial" w:hAnsi="Arial" w:cs="Arial"/>
          <w:b/>
          <w:i w:val="0"/>
          <w:color w:val="000000"/>
          <w:sz w:val="42"/>
        </w:rPr>
        <w:t>Recreation of the Fleet Assignment Model</w:t>
      </w:r>
    </w:p>
    <w:p>
      <w:pPr>
        <w:spacing w:after="280"/>
      </w:pPr>
      <w:r>
        <w:rPr>
          <w:rFonts w:ascii="Arial" w:hAnsi="Arial" w:cs="Arial"/>
          <w:b w:val="0"/>
          <w:i/>
          <w:color w:val="555555"/>
          <w:sz w:val="23"/>
        </w:rPr>
        <w:t>Detailed technical report for Envoy Air January 2023 operations</w:t>
      </w:r>
    </w:p>
    <w:p>
      <w:pPr>
        <w:pStyle w:val="Heading1"/>
        <w:keepNext/>
        <w:spacing w:before="0" w:after="120"/>
      </w:pPr>
      <w:r>
        <w:rPr>
          <w:rFonts w:ascii="Arial" w:hAnsi="Arial" w:cs="Arial"/>
          <w:b w:val="0"/>
          <w:i w:val="0"/>
          <w:color w:val="000000"/>
          <w:sz w:val="21"/>
        </w:rPr>
        <w:t>Executive Summary</w:t>
      </w:r>
    </w:p>
    <w:p>
      <w:pPr>
        <w:keepNext w:val="0"/>
        <w:spacing w:before="0" w:after="120"/>
      </w:pPr>
      <w:r>
        <w:rPr>
          <w:rFonts w:ascii="Arial" w:hAnsi="Arial" w:cs="Arial"/>
          <w:b w:val="0"/>
          <w:i w:val="0"/>
          <w:color w:val="000000"/>
          <w:sz w:val="21"/>
        </w:rPr>
        <w:t>This work recreates the conventional Fleet Assignment Model (FAM) presented by Chan et al. in the ICAS 2024 paper, “Optimizing Fleet Assignment Decisions for Regional Airlines with Hybrid Electric Aircraft Uptake.” The model assigns an aircraft type to every scheduled flight, minimizes operating and passenger-spill costs, and enforces the time-space availability of aircraft across the network.</w:t>
      </w:r>
    </w:p>
    <w:p>
      <w:pPr>
        <w:keepNext w:val="0"/>
        <w:spacing w:before="0" w:after="120"/>
      </w:pPr>
      <w:r>
        <w:rPr>
          <w:rFonts w:ascii="Arial" w:hAnsi="Arial" w:cs="Arial"/>
          <w:b w:val="0"/>
          <w:i w:val="0"/>
          <w:color w:val="000000"/>
          <w:sz w:val="21"/>
        </w:rPr>
        <w:t>The workflow began with the paper and the project files, followed by schedule preparation, demand and fare integration, assignment-cost generation, initial-fleet reconstruction, infeasibility diagnosis, manual debugging, MILP repair of initial positions, and final FAM optimization.</w:t>
      </w:r>
    </w:p>
    <w:p>
      <w:pPr>
        <w:keepNext w:val="0"/>
        <w:spacing w:before="0" w:after="120"/>
      </w:pPr>
      <w:r>
        <w:rPr>
          <w:rFonts w:ascii="Arial" w:hAnsi="Arial" w:cs="Arial"/>
          <w:b w:val="0"/>
          <w:i w:val="0"/>
          <w:color w:val="000000"/>
          <w:sz w:val="21"/>
        </w:rPr>
        <w:t>The latest saved run is optimal with a total assignment cost of 79,096,176.93 USD for 18,849 flights. The validation code confirms a one-to-one comparison between 18,849 FAM rows and 18,849 actual schedule rows. Among 18,367 eligible operated flights, 13,633 assignments match the FAA-based aircraft-type mapping and 4,734 do not, giving a 74.23% match rate.</w:t>
      </w:r>
    </w:p>
    <w:p>
      <w:pPr>
        <w:pStyle w:val="Heading1"/>
        <w:keepNext/>
        <w:spacing w:before="0" w:after="120"/>
      </w:pPr>
      <w:r>
        <w:rPr>
          <w:rFonts w:ascii="Arial" w:hAnsi="Arial" w:cs="Arial"/>
          <w:b w:val="0"/>
          <w:i w:val="0"/>
          <w:color w:val="000000"/>
          <w:sz w:val="21"/>
        </w:rPr>
        <w:t>1. Scope and objective</w:t>
      </w:r>
    </w:p>
    <w:p>
      <w:pPr>
        <w:keepNext w:val="0"/>
        <w:spacing w:before="0" w:after="120"/>
      </w:pPr>
      <w:r>
        <w:rPr>
          <w:rFonts w:ascii="Arial" w:hAnsi="Arial" w:cs="Arial"/>
          <w:b w:val="0"/>
          <w:i w:val="0"/>
          <w:color w:val="000000"/>
          <w:sz w:val="21"/>
        </w:rPr>
        <w:t>The task was not limited to running a solver. It required rebuilding the input chain that leads to a feasible FAM, from the operational schedule and aircraft mapping to the assignment cost matrix and initial aircraft distribution.</w:t>
      </w:r>
    </w:p>
    <w:p>
      <w:pPr>
        <w:keepNext w:val="0"/>
        <w:spacing w:before="0" w:after="120"/>
      </w:pPr>
      <w:r>
        <w:rPr>
          <w:rFonts w:ascii="Arial" w:hAnsi="Arial" w:cs="Arial"/>
          <w:b w:val="0"/>
          <w:i w:val="0"/>
          <w:color w:val="000000"/>
          <w:sz w:val="21"/>
        </w:rPr>
        <w:t>The operational question is: given the Envoy Air January 2023 schedule and the ERJ145, ERJ170, and ERJ175 fleet, which aircraft type should be assigned to each flight so that total cost is minimized without violating aircraft availability, range, or time-space flow constraints?</w:t>
      </w:r>
    </w:p>
    <w:p>
      <w:pPr>
        <w:keepNext w:val="0"/>
        <w:spacing w:before="0" w:after="120"/>
      </w:pPr>
      <w:r>
        <w:rPr>
          <w:rFonts w:ascii="Arial" w:hAnsi="Arial" w:cs="Arial"/>
          <w:b w:val="0"/>
          <w:i w:val="0"/>
          <w:color w:val="000000"/>
          <w:sz w:val="21"/>
        </w:rPr>
        <w:t>The report distinguishes between paper elements, implemented project elements, and assumptions introduced where the full historical or internal paper inputs were not available.</w:t>
      </w:r>
    </w:p>
    <w:p>
      <w:pPr>
        <w:pStyle w:val="Heading1"/>
        <w:keepNext/>
        <w:spacing w:before="0" w:after="120"/>
      </w:pPr>
      <w:r>
        <w:rPr>
          <w:rFonts w:ascii="Arial" w:hAnsi="Arial" w:cs="Arial"/>
          <w:b w:val="0"/>
          <w:i w:val="0"/>
          <w:color w:val="000000"/>
          <w:sz w:val="21"/>
        </w:rPr>
        <w:t>2. Sources and project workflow</w:t>
      </w:r>
    </w:p>
    <w:p>
      <w:pPr>
        <w:keepNext w:val="0"/>
        <w:spacing w:before="0" w:after="120"/>
      </w:pPr>
      <w:r>
        <w:rPr>
          <w:rFonts w:ascii="Arial" w:hAnsi="Arial" w:cs="Arial"/>
          <w:b w:val="0"/>
          <w:i w:val="0"/>
          <w:color w:val="000000"/>
          <w:sz w:val="21"/>
        </w:rPr>
        <w:t>The paper supplied the intended FAM structure, cost definitions, aircraft capacities, data-source description, and conventional baseline. The project folder supplied the processed schedule, aircraft-type mapping, T-100 and DB1B inputs, financial data, initial-position files, solver output, and the validation outputs.</w:t>
      </w:r>
    </w:p>
    <w:tbl>
      <w:tblPr>
        <w:tblW w:type="auto" w:w="0"/>
        <w:jc w:val="center"/>
        <w:tblLayout w:type="fixed"/>
        <w:tblLook w:firstColumn="1" w:firstRow="1" w:lastColumn="0" w:lastRow="0" w:noHBand="0" w:noVBand="1" w:val="04A0"/>
      </w:tblPr>
      <w:tblGrid>
        <w:gridCol w:w="3293"/>
        <w:gridCol w:w="3293"/>
        <w:gridCol w:w="3293"/>
      </w:tblGrid>
      <w:tr>
        <w:tc>
          <w:tcPr>
            <w:tcW w:type="dxa" w:w="252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Source</w:t>
            </w:r>
          </w:p>
        </w:tc>
        <w:tc>
          <w:tcPr>
            <w:tcW w:type="dxa" w:w="403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Used information</w:t>
            </w:r>
          </w:p>
        </w:tc>
        <w:tc>
          <w:tcPr>
            <w:tcW w:type="dxa" w:w="2808"/>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Workflow role</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ICAS 2024 paper</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FAM, cost model, fleet and benchmark</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Methodology and comparison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Envoy January 2023 schedule</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Flights, times, origin and destination</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Operational dataset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FAA tail mapping</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Tail number and aircraft type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Fleet and actual-type reference</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BTS T-100</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Route demand and passenger counts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Spill-cost input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BTS DB1B</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Average route fares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Spill-cost input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BTS Form 41</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Operating expense and mileage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Cost per mile</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FAM validation outputs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Matches, mismatches and cost checks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Post-solve validation</w:t>
            </w:r>
          </w:p>
        </w:tc>
      </w:tr>
    </w:tbl>
    <w:p>
      <w:pPr>
        <w:keepNext w:val="0"/>
        <w:spacing w:before="0" w:after="100"/>
      </w:pPr>
    </w:p>
    <w:p>
      <w:pPr>
        <w:keepNext w:val="0"/>
        <w:spacing w:before="0" w:after="120"/>
      </w:pPr>
      <w:r>
        <w:rPr>
          <w:rFonts w:ascii="Arial" w:hAnsi="Arial" w:cs="Arial"/>
          <w:b w:val="0"/>
          <w:i w:val="0"/>
          <w:color w:val="000000"/>
          <w:sz w:val="21"/>
        </w:rPr>
        <w:t>The main scripts were schedule_preparation_with_central_time.py, route_inputs_ready.py, build_initial_cost_matrix.py, build_initial_positions.py, build_feaible_initial_positions.py, solve_FAm.py, and the new validation_with_real_data.py.</w:t>
      </w:r>
    </w:p>
    <w:p>
      <w:pPr>
        <w:pStyle w:val="Heading1"/>
        <w:keepNext/>
        <w:spacing w:before="0" w:after="120"/>
      </w:pPr>
      <w:r>
        <w:rPr>
          <w:rFonts w:ascii="Arial" w:hAnsi="Arial" w:cs="Arial"/>
          <w:b w:val="0"/>
          <w:i w:val="0"/>
          <w:color w:val="000000"/>
          <w:sz w:val="21"/>
        </w:rPr>
        <w:t>3. Schedule preparation</w:t>
      </w:r>
    </w:p>
    <w:p>
      <w:pPr>
        <w:pStyle w:val="Heading2"/>
        <w:keepNext/>
        <w:spacing w:before="0" w:after="120"/>
      </w:pPr>
      <w:r>
        <w:rPr>
          <w:rFonts w:ascii="Arial" w:hAnsi="Arial" w:cs="Arial"/>
          <w:b w:val="0"/>
          <w:i w:val="0"/>
          <w:color w:val="000000"/>
          <w:sz w:val="21"/>
        </w:rPr>
        <w:t>3.1 Unique flight identity</w:t>
      </w:r>
    </w:p>
    <w:p>
      <w:pPr>
        <w:keepNext w:val="0"/>
        <w:spacing w:before="0" w:after="120"/>
      </w:pPr>
      <w:r>
        <w:rPr>
          <w:rFonts w:ascii="Arial" w:hAnsi="Arial" w:cs="Arial"/>
          <w:b w:val="0"/>
          <w:i w:val="0"/>
          <w:color w:val="000000"/>
          <w:sz w:val="21"/>
        </w:rPr>
        <w:t>Airline flight numbers repeat on different dates. A unique FLIGHT_ID such as F00001 or F00002 was therefore created so that every physical scheduled flight maps to one coverage variable in the FAM.</w:t>
      </w:r>
    </w:p>
    <w:p>
      <w:pPr>
        <w:pStyle w:val="Heading2"/>
        <w:keepNext/>
        <w:spacing w:before="0" w:after="120"/>
      </w:pPr>
      <w:r>
        <w:rPr>
          <w:rFonts w:ascii="Arial" w:hAnsi="Arial" w:cs="Arial"/>
          <w:b w:val="0"/>
          <w:i w:val="0"/>
          <w:color w:val="000000"/>
          <w:sz w:val="21"/>
        </w:rPr>
        <w:t>3.2 Time indexing and network</w:t>
      </w:r>
    </w:p>
    <w:p>
      <w:pPr>
        <w:keepNext w:val="0"/>
        <w:spacing w:before="0" w:after="120"/>
      </w:pPr>
      <w:r>
        <w:rPr>
          <w:rFonts w:ascii="Arial" w:hAnsi="Arial" w:cs="Arial"/>
          <w:b w:val="0"/>
          <w:i w:val="0"/>
          <w:color w:val="000000"/>
          <w:sz w:val="21"/>
        </w:rPr>
        <w:t>Local departure and arrival times were converted to a common reference time and discretized into 15-minute indices. The processed schedule contains DEP_TIME_INDEX_COMMON and ARR_TIME_INDEX_COMMON. No final cost-matrix row has arrival time less than or equal to departure time.</w:t>
      </w:r>
    </w:p>
    <w:p>
      <w:pPr>
        <w:keepNext w:val="0"/>
        <w:spacing w:before="0" w:after="120"/>
      </w:pPr>
      <w:r>
        <w:rPr>
          <w:rFonts w:ascii="Arial" w:hAnsi="Arial" w:cs="Arial"/>
          <w:b w:val="0"/>
          <w:i w:val="0"/>
          <w:color w:val="000000"/>
          <w:sz w:val="21"/>
        </w:rPr>
        <w:t>The final FAM uses a compressed time-space network with inventory variables only at active airport-time nodes, rather than at every possible airport and time combination.</w:t>
      </w:r>
    </w:p>
    <w:tbl>
      <w:tblPr>
        <w:tblW w:type="auto" w:w="0"/>
        <w:jc w:val="center"/>
        <w:tblLayout w:type="fixed"/>
        <w:tblLook w:firstColumn="1" w:firstRow="1" w:lastColumn="0" w:lastRow="0" w:noHBand="0" w:noVBand="1" w:val="04A0"/>
      </w:tblPr>
      <w:tblGrid>
        <w:gridCol w:w="4939"/>
        <w:gridCol w:w="4939"/>
      </w:tblGrid>
      <w:tr>
        <w:tc>
          <w:tcPr>
            <w:tcW w:type="dxa" w:w="54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Check</w:t>
            </w:r>
          </w:p>
        </w:tc>
        <w:tc>
          <w:tcPr>
            <w:tcW w:type="dxa" w:w="360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Result</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Model-ready flights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18,849</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Airports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135</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Time-index range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17 to 2,976</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Rows with ARR &lt;= DEP</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Cancelled flights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482</w:t>
            </w:r>
          </w:p>
        </w:tc>
      </w:tr>
    </w:tbl>
    <w:p>
      <w:pPr>
        <w:keepNext w:val="0"/>
        <w:spacing w:before="0" w:after="100"/>
      </w:pPr>
    </w:p>
    <w:p>
      <w:pPr>
        <w:pStyle w:val="Heading1"/>
        <w:keepNext/>
        <w:spacing w:before="0" w:after="120"/>
      </w:pPr>
      <w:r>
        <w:rPr>
          <w:rFonts w:ascii="Arial" w:hAnsi="Arial" w:cs="Arial"/>
          <w:b w:val="0"/>
          <w:i w:val="0"/>
          <w:color w:val="000000"/>
          <w:sz w:val="21"/>
        </w:rPr>
        <w:t>4. Assignment-cost construction</w:t>
      </w:r>
    </w:p>
    <w:p>
      <w:pPr>
        <w:keepNext w:val="0"/>
        <w:spacing w:before="0" w:after="120"/>
      </w:pPr>
      <w:r>
        <w:rPr>
          <w:rFonts w:ascii="Arial" w:hAnsi="Arial" w:cs="Arial"/>
          <w:b w:val="0"/>
          <w:i w:val="0"/>
          <w:color w:val="000000"/>
          <w:sz w:val="21"/>
        </w:rPr>
        <w:t>For each flight and aircraft type, the project created a total assignment-cost coefficient following the paper's structure:</w:t>
      </w:r>
    </w:p>
    <w:p>
      <w:pPr>
        <w:keepLines/>
        <w:spacing w:before="60" w:after="100"/>
        <w:jc w:val="center"/>
      </w:pPr>
      <w:r>
        <w:rPr>
          <w:rFonts w:ascii="Cambria Math" w:hAnsi="Cambria Math" w:cs="Cambria Math"/>
          <w:b w:val="0"/>
          <w:i/>
          <w:color w:val="000000"/>
          <w:sz w:val="22"/>
        </w:rPr>
        <w:t>c(f,a) = o(f,a) + s(f,a)</w:t>
      </w:r>
    </w:p>
    <w:p>
      <w:pPr>
        <w:keepNext w:val="0"/>
        <w:spacing w:before="0" w:after="120"/>
      </w:pPr>
      <w:r>
        <w:rPr>
          <w:rFonts w:ascii="Arial" w:hAnsi="Arial" w:cs="Arial"/>
          <w:b w:val="0"/>
          <w:i w:val="0"/>
          <w:color w:val="000000"/>
          <w:sz w:val="21"/>
        </w:rPr>
        <w:t>The implemented operating cost is distance multiplied by the aircraft-specific cost per mile:</w:t>
      </w:r>
    </w:p>
    <w:p>
      <w:pPr>
        <w:keepLines/>
        <w:spacing w:before="60" w:after="100"/>
        <w:jc w:val="center"/>
      </w:pPr>
      <w:r>
        <w:rPr>
          <w:rFonts w:ascii="Cambria Math" w:hAnsi="Cambria Math" w:cs="Cambria Math"/>
          <w:b w:val="0"/>
          <w:i/>
          <w:color w:val="000000"/>
          <w:sz w:val="22"/>
        </w:rPr>
        <w:t>o(f,a) = Distance(f) × CostPerMile(a)</w:t>
      </w:r>
    </w:p>
    <w:tbl>
      <w:tblPr>
        <w:tblW w:type="auto" w:w="0"/>
        <w:jc w:val="center"/>
        <w:tblLayout w:type="fixed"/>
        <w:tblLook w:firstColumn="1" w:firstRow="1" w:lastColumn="0" w:lastRow="0" w:noHBand="0" w:noVBand="1" w:val="04A0"/>
      </w:tblPr>
      <w:tblGrid>
        <w:gridCol w:w="3293"/>
        <w:gridCol w:w="3293"/>
        <w:gridCol w:w="3293"/>
      </w:tblGrid>
      <w:tr>
        <w:tc>
          <w:tcPr>
            <w:tcW w:type="dxa" w:w="345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Aircraft type</w:t>
            </w:r>
          </w:p>
        </w:tc>
        <w:tc>
          <w:tcPr>
            <w:tcW w:type="dxa" w:w="331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Cost per mile</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Capacity</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10.6036 USD/mile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50</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8.4874 USD/mile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65</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8.0565 USD/mile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76</w:t>
            </w:r>
          </w:p>
        </w:tc>
      </w:tr>
    </w:tbl>
    <w:p>
      <w:pPr>
        <w:keepNext w:val="0"/>
        <w:spacing w:before="0" w:after="100"/>
      </w:pPr>
    </w:p>
    <w:p>
      <w:pPr>
        <w:keepNext w:val="0"/>
        <w:spacing w:before="0" w:after="120"/>
      </w:pPr>
      <w:r>
        <w:rPr>
          <w:rFonts w:ascii="Arial" w:hAnsi="Arial" w:cs="Arial"/>
          <w:b w:val="0"/>
          <w:i w:val="0"/>
          <w:color w:val="000000"/>
          <w:sz w:val="21"/>
        </w:rPr>
        <w:t>Passenger spill cost is calculated from average demand, aircraft capacity, and route fare:</w:t>
      </w:r>
    </w:p>
    <w:p>
      <w:pPr>
        <w:keepLines/>
        <w:spacing w:before="60" w:after="100"/>
        <w:jc w:val="center"/>
      </w:pPr>
      <w:r>
        <w:rPr>
          <w:rFonts w:ascii="Cambria Math" w:hAnsi="Cambria Math" w:cs="Cambria Math"/>
          <w:b w:val="0"/>
          <w:i/>
          <w:color w:val="000000"/>
          <w:sz w:val="22"/>
        </w:rPr>
        <w:t>s(f,a) = max(Demand(f) − Capacity(a), 0) × Fare(f)</w:t>
      </w:r>
    </w:p>
    <w:p>
      <w:pPr>
        <w:keepNext w:val="0"/>
        <w:spacing w:before="0" w:after="120"/>
      </w:pPr>
      <w:r>
        <w:rPr>
          <w:rFonts w:ascii="Arial" w:hAnsi="Arial" w:cs="Arial"/>
          <w:b w:val="0"/>
          <w:i w:val="0"/>
          <w:color w:val="000000"/>
          <w:sz w:val="21"/>
        </w:rPr>
        <w:t>When demand exceeds aircraft capacity, the excess passengers create a cost through the average fare. A larger aircraft may therefore be preferable even when its direct operating cost is not the lowest.</w:t>
      </w:r>
    </w:p>
    <w:p>
      <w:pPr>
        <w:pStyle w:val="Heading2"/>
        <w:keepNext/>
        <w:spacing w:before="0" w:after="120"/>
      </w:pPr>
      <w:r>
        <w:rPr>
          <w:rFonts w:ascii="Arial" w:hAnsi="Arial" w:cs="Arial"/>
          <w:b w:val="0"/>
          <w:i w:val="0"/>
          <w:color w:val="000000"/>
          <w:sz w:val="21"/>
        </w:rPr>
        <w:t>4.1 Missing fares and imputation</w:t>
      </w:r>
    </w:p>
    <w:p>
      <w:pPr>
        <w:keepNext w:val="0"/>
        <w:spacing w:before="0" w:after="120"/>
      </w:pPr>
      <w:r>
        <w:rPr>
          <w:rFonts w:ascii="Arial" w:hAnsi="Arial" w:cs="Arial"/>
          <w:b w:val="0"/>
          <w:i w:val="0"/>
          <w:color w:val="000000"/>
          <w:sz w:val="21"/>
        </w:rPr>
        <w:t>Some routes used by the January schedule did not have an available AVG_FARE. The cost matrix was completed by using, in order, a reverse-route fare, a median fare from similar nearby routes, or a broader nearby-distance fallback.</w:t>
      </w:r>
    </w:p>
    <w:p>
      <w:pPr>
        <w:keepNext w:val="0"/>
        <w:spacing w:before="0" w:after="120"/>
      </w:pPr>
      <w:r>
        <w:rPr>
          <w:rFonts w:ascii="Arial" w:hAnsi="Arial" w:cs="Arial"/>
          <w:b w:val="0"/>
          <w:i w:val="0"/>
          <w:color w:val="000000"/>
          <w:sz w:val="21"/>
        </w:rPr>
        <w:t>The procedure affected 66 flight records across AGS-CLT, CLT-GSP, DCA-MSP, and GSP-CLT. It made the matrix complete but is not equivalent to the paper's full historical fare-estimation pipeline.</w:t>
      </w:r>
    </w:p>
    <w:p>
      <w:pPr>
        <w:pStyle w:val="Heading1"/>
        <w:keepNext/>
        <w:spacing w:before="0" w:after="120"/>
      </w:pPr>
      <w:r>
        <w:rPr>
          <w:rFonts w:ascii="Arial" w:hAnsi="Arial" w:cs="Arial"/>
          <w:b w:val="0"/>
          <w:i w:val="0"/>
          <w:color w:val="000000"/>
          <w:sz w:val="21"/>
        </w:rPr>
        <w:t>5. Initial aircraft positions</w:t>
      </w:r>
    </w:p>
    <w:p>
      <w:pPr>
        <w:keepNext w:val="0"/>
        <w:spacing w:before="0" w:after="120"/>
      </w:pPr>
      <w:r>
        <w:rPr>
          <w:rFonts w:ascii="Arial" w:hAnsi="Arial" w:cs="Arial"/>
          <w:b w:val="0"/>
          <w:i w:val="0"/>
          <w:color w:val="000000"/>
          <w:sz w:val="21"/>
        </w:rPr>
        <w:t>The FAM requires an initial quantity of each aircraft type at each airport. The paper assumes this information is available, but the project did not contain a direct historical initial-position table for the start of January.</w:t>
      </w:r>
    </w:p>
    <w:p>
      <w:pPr>
        <w:keepNext w:val="0"/>
        <w:spacing w:before="0" w:after="120"/>
      </w:pPr>
      <w:r>
        <w:rPr>
          <w:rFonts w:ascii="Arial" w:hAnsi="Arial" w:cs="Arial"/>
          <w:b w:val="0"/>
          <w:i w:val="0"/>
          <w:color w:val="000000"/>
          <w:sz w:val="21"/>
        </w:rPr>
        <w:t>A proxy was constructed from tail activity: for each tail number, the origin of its first non-cancelled observed departure was used as the initial airport.</w:t>
      </w:r>
    </w:p>
    <w:p>
      <w:pPr>
        <w:keepLines/>
        <w:spacing w:before="60" w:after="100"/>
        <w:jc w:val="center"/>
      </w:pPr>
      <w:r>
        <w:rPr>
          <w:rFonts w:ascii="Cambria Math" w:hAnsi="Cambria Math" w:cs="Cambria Math"/>
          <w:b w:val="0"/>
          <w:i/>
          <w:color w:val="000000"/>
          <w:sz w:val="22"/>
        </w:rPr>
        <w:t>y_proxy(a,p) = number of tails of type a whose first departure is from p</w:t>
      </w:r>
    </w:p>
    <w:tbl>
      <w:tblPr>
        <w:tblW w:type="auto" w:w="0"/>
        <w:jc w:val="center"/>
        <w:tblLayout w:type="fixed"/>
        <w:tblLook w:firstColumn="1" w:firstRow="1" w:lastColumn="0" w:lastRow="0" w:noHBand="0" w:noVBand="1" w:val="04A0"/>
      </w:tblPr>
      <w:tblGrid>
        <w:gridCol w:w="3293"/>
        <w:gridCol w:w="3293"/>
        <w:gridCol w:w="3293"/>
      </w:tblGrid>
      <w:tr>
        <w:tc>
          <w:tcPr>
            <w:tcW w:type="dxa" w:w="360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Type</w:t>
            </w:r>
          </w:p>
        </w:tc>
        <w:tc>
          <w:tcPr>
            <w:tcW w:type="dxa" w:w="302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Tail count</w:t>
            </w:r>
          </w:p>
        </w:tc>
        <w:tc>
          <w:tcPr>
            <w:tcW w:type="dxa" w:w="288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Feasible input</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28</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28</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8</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8</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Total</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137</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137</w:t>
            </w:r>
          </w:p>
        </w:tc>
      </w:tr>
    </w:tbl>
    <w:p>
      <w:pPr>
        <w:keepNext w:val="0"/>
        <w:spacing w:before="0" w:after="100"/>
      </w:pPr>
    </w:p>
    <w:p>
      <w:pPr>
        <w:keepNext w:val="0"/>
        <w:spacing w:before="0" w:after="120"/>
      </w:pPr>
      <w:r>
        <w:rPr>
          <w:rFonts w:ascii="Arial" w:hAnsi="Arial" w:cs="Arial"/>
          <w:b w:val="0"/>
          <w:i w:val="0"/>
          <w:color w:val="000000"/>
          <w:sz w:val="21"/>
        </w:rPr>
        <w:t>This approach is transparent and reproducible, but the first observed departure may not equal the true location immediately before the planning horizon. Prior repositioning movements may be missing. The paper also contains an internal inconsistency: one passage uses 101 ERJ175 aircraft, while another mentions 103. The project follows the 101 ERJ175 observed in the processed data and tail mapping.</w:t>
      </w:r>
    </w:p>
    <w:p>
      <w:pPr>
        <w:pStyle w:val="Heading1"/>
        <w:keepNext/>
        <w:spacing w:before="0" w:after="120"/>
      </w:pPr>
      <w:r>
        <w:rPr>
          <w:rFonts w:ascii="Arial" w:hAnsi="Arial" w:cs="Arial"/>
          <w:b w:val="0"/>
          <w:i w:val="0"/>
          <w:color w:val="000000"/>
          <w:sz w:val="21"/>
        </w:rPr>
        <w:t>6. FAM formulation</w:t>
      </w:r>
    </w:p>
    <w:p>
      <w:pPr>
        <w:pStyle w:val="Heading2"/>
        <w:keepNext/>
        <w:spacing w:before="0" w:after="120"/>
      </w:pPr>
      <w:r>
        <w:rPr>
          <w:rFonts w:ascii="Arial" w:hAnsi="Arial" w:cs="Arial"/>
          <w:b w:val="0"/>
          <w:i w:val="0"/>
          <w:color w:val="000000"/>
          <w:sz w:val="21"/>
        </w:rPr>
        <w:t>6.1 Decision variables</w:t>
      </w:r>
    </w:p>
    <w:p>
      <w:pPr>
        <w:keepNext w:val="0"/>
        <w:spacing w:before="0" w:after="120"/>
      </w:pPr>
      <w:r>
        <w:rPr>
          <w:rFonts w:ascii="Arial" w:hAnsi="Arial" w:cs="Arial"/>
          <w:b w:val="0"/>
          <w:i w:val="0"/>
          <w:color w:val="000000"/>
          <w:sz w:val="21"/>
        </w:rPr>
        <w:t>The binary variable x(f,a) equals one when flight f is assigned to aircraft type a. The inventory variables y_before(a,p,t) and y_after(a,p,t) track aircraft available before and after events at each active airport-time node.</w:t>
      </w:r>
    </w:p>
    <w:p>
      <w:pPr>
        <w:keepLines/>
        <w:spacing w:before="60" w:after="100"/>
        <w:jc w:val="center"/>
      </w:pPr>
      <w:r>
        <w:rPr>
          <w:rFonts w:ascii="Cambria Math" w:hAnsi="Cambria Math" w:cs="Cambria Math"/>
          <w:b w:val="0"/>
          <w:i/>
          <w:color w:val="000000"/>
          <w:sz w:val="22"/>
        </w:rPr>
        <w:t>x(f,a) = 1 if flight f is assigned to type a, otherwise 0</w:t>
      </w:r>
    </w:p>
    <w:p>
      <w:pPr>
        <w:pStyle w:val="Heading2"/>
        <w:keepNext/>
        <w:spacing w:before="0" w:after="120"/>
      </w:pPr>
      <w:r>
        <w:rPr>
          <w:rFonts w:ascii="Arial" w:hAnsi="Arial" w:cs="Arial"/>
          <w:b w:val="0"/>
          <w:i w:val="0"/>
          <w:color w:val="000000"/>
          <w:sz w:val="21"/>
        </w:rPr>
        <w:t>6.2 Objective and coverage</w:t>
      </w:r>
    </w:p>
    <w:p>
      <w:pPr>
        <w:keepNext w:val="0"/>
        <w:spacing w:before="0" w:after="120"/>
      </w:pPr>
      <w:r>
        <w:rPr>
          <w:rFonts w:ascii="Arial" w:hAnsi="Arial" w:cs="Arial"/>
          <w:b w:val="0"/>
          <w:i w:val="0"/>
          <w:color w:val="000000"/>
          <w:sz w:val="21"/>
        </w:rPr>
        <w:t>The objective minimizes the total cost of all assignments:</w:t>
      </w:r>
    </w:p>
    <w:p>
      <w:pPr>
        <w:keepLines/>
        <w:spacing w:before="60" w:after="100"/>
        <w:jc w:val="center"/>
      </w:pPr>
      <w:r>
        <w:rPr>
          <w:rFonts w:ascii="Cambria Math" w:hAnsi="Cambria Math" w:cs="Cambria Math"/>
          <w:b w:val="0"/>
          <w:i/>
          <w:color w:val="000000"/>
          <w:sz w:val="22"/>
        </w:rPr>
        <w:t>minimize  Σf Σa c(f,a) × x(f,a)</w:t>
      </w:r>
    </w:p>
    <w:p>
      <w:pPr>
        <w:keepNext w:val="0"/>
        <w:spacing w:before="0" w:after="120"/>
      </w:pPr>
      <w:r>
        <w:rPr>
          <w:rFonts w:ascii="Arial" w:hAnsi="Arial" w:cs="Arial"/>
          <w:b w:val="0"/>
          <w:i w:val="0"/>
          <w:color w:val="000000"/>
          <w:sz w:val="21"/>
        </w:rPr>
        <w:t>Every flight receives exactly one aircraft type:</w:t>
      </w:r>
    </w:p>
    <w:p>
      <w:pPr>
        <w:keepLines/>
        <w:spacing w:before="60" w:after="100"/>
        <w:jc w:val="center"/>
      </w:pPr>
      <w:r>
        <w:rPr>
          <w:rFonts w:ascii="Cambria Math" w:hAnsi="Cambria Math" w:cs="Cambria Math"/>
          <w:b w:val="0"/>
          <w:i/>
          <w:color w:val="000000"/>
          <w:sz w:val="22"/>
        </w:rPr>
        <w:t>Σa x(f,a) = 1   for every flight f</w:t>
      </w:r>
    </w:p>
    <w:p>
      <w:pPr>
        <w:pStyle w:val="Heading2"/>
        <w:keepNext/>
        <w:spacing w:before="0" w:after="120"/>
      </w:pPr>
      <w:r>
        <w:rPr>
          <w:rFonts w:ascii="Arial" w:hAnsi="Arial" w:cs="Arial"/>
          <w:b w:val="0"/>
          <w:i w:val="0"/>
          <w:color w:val="000000"/>
          <w:sz w:val="21"/>
        </w:rPr>
        <w:t>6.3 Range and flow</w:t>
      </w:r>
    </w:p>
    <w:p>
      <w:pPr>
        <w:keepNext w:val="0"/>
        <w:spacing w:before="0" w:after="120"/>
      </w:pPr>
      <w:r>
        <w:rPr>
          <w:rFonts w:ascii="Arial" w:hAnsi="Arial" w:cs="Arial"/>
          <w:b w:val="0"/>
          <w:i w:val="0"/>
          <w:color w:val="000000"/>
          <w:sz w:val="21"/>
        </w:rPr>
        <w:t>Assignments beyond an aircraft type's range are fixed to zero. The time-space conservation equation is:</w:t>
      </w:r>
    </w:p>
    <w:p>
      <w:pPr>
        <w:keepLines/>
        <w:spacing w:before="60" w:after="100"/>
        <w:jc w:val="center"/>
      </w:pPr>
      <w:r>
        <w:rPr>
          <w:rFonts w:ascii="Cambria Math" w:hAnsi="Cambria Math" w:cs="Cambria Math"/>
          <w:b w:val="0"/>
          <w:i/>
          <w:color w:val="000000"/>
          <w:sz w:val="22"/>
        </w:rPr>
        <w:t>y_before + Arrivals = y_after + Departures</w:t>
      </w:r>
    </w:p>
    <w:p>
      <w:pPr>
        <w:keepNext w:val="0"/>
        <w:spacing w:before="0" w:after="120"/>
      </w:pPr>
      <w:r>
        <w:rPr>
          <w:rFonts w:ascii="Arial" w:hAnsi="Arial" w:cs="Arial"/>
          <w:b w:val="0"/>
          <w:i w:val="0"/>
          <w:color w:val="000000"/>
          <w:sz w:val="21"/>
        </w:rPr>
        <w:t>The initial condition anchors the network to the initial-position input:</w:t>
      </w:r>
    </w:p>
    <w:p>
      <w:pPr>
        <w:keepLines/>
        <w:spacing w:before="60" w:after="100"/>
        <w:jc w:val="center"/>
      </w:pPr>
      <w:r>
        <w:rPr>
          <w:rFonts w:ascii="Cambria Math" w:hAnsi="Cambria Math" w:cs="Cambria Math"/>
          <w:b w:val="0"/>
          <w:i/>
          <w:color w:val="000000"/>
          <w:sz w:val="22"/>
        </w:rPr>
        <w:t>y_before(a,p,0) = y_initial(a,p)</w:t>
      </w:r>
    </w:p>
    <w:p>
      <w:pPr>
        <w:keepNext w:val="0"/>
        <w:spacing w:before="0" w:after="120"/>
      </w:pPr>
      <w:r>
        <w:rPr>
          <w:rFonts w:ascii="Arial" w:hAnsi="Arial" w:cs="Arial"/>
          <w:b w:val="0"/>
          <w:i w:val="0"/>
          <w:color w:val="000000"/>
          <w:sz w:val="21"/>
        </w:rPr>
        <w:t>Precedence constraints carry inventory from one active time node to the next, so an assignment at one time can affect the feasibility of later departures.</w:t>
      </w:r>
    </w:p>
    <w:p>
      <w:pPr>
        <w:pStyle w:val="Heading1"/>
        <w:keepNext/>
        <w:spacing w:before="0" w:after="120"/>
      </w:pPr>
      <w:r>
        <w:rPr>
          <w:rFonts w:ascii="Arial" w:hAnsi="Arial" w:cs="Arial"/>
          <w:b w:val="0"/>
          <w:i w:val="0"/>
          <w:color w:val="000000"/>
          <w:sz w:val="21"/>
        </w:rPr>
        <w:t>7. First failure and infeasibility diagnosis</w:t>
      </w:r>
    </w:p>
    <w:p>
      <w:pPr>
        <w:keepNext w:val="0"/>
        <w:spacing w:before="0" w:after="120"/>
      </w:pPr>
      <w:r>
        <w:rPr>
          <w:rFonts w:ascii="Arial" w:hAnsi="Arial" w:cs="Arial"/>
          <w:b w:val="0"/>
          <w:i w:val="0"/>
          <w:color w:val="000000"/>
          <w:sz w:val="21"/>
        </w:rPr>
        <w:t>The first FAM run using the proxy initial positions was infeasible. This did not necessarily indicate an insufficient fleet. In a time-space model, infeasibility can arise from aircraft being positioned at the wrong airports at the beginning of the horizon.</w:t>
      </w:r>
    </w:p>
    <w:tbl>
      <w:tblPr>
        <w:tblW w:type="auto" w:w="0"/>
        <w:jc w:val="center"/>
        <w:tblLayout w:type="fixed"/>
        <w:tblLook w:firstColumn="1" w:firstRow="1" w:lastColumn="0" w:lastRow="0" w:noHBand="0" w:noVBand="1" w:val="04A0"/>
      </w:tblPr>
      <w:tblGrid>
        <w:gridCol w:w="3293"/>
        <w:gridCol w:w="3293"/>
        <w:gridCol w:w="3293"/>
      </w:tblGrid>
      <w:tr>
        <w:tc>
          <w:tcPr>
            <w:tcW w:type="dxa" w:w="345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Measure</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Value</w:t>
            </w:r>
          </w:p>
        </w:tc>
        <w:tc>
          <w:tcPr>
            <w:tcW w:type="dxa" w:w="417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Interpretation</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Available fleet</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137</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Fleet from tail/type mapping</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Minimum schedule need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118</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Cumulative airport-flow requirement</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Difference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+19</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No aggregate fleet shortage</w:t>
            </w:r>
          </w:p>
        </w:tc>
      </w:tr>
    </w:tbl>
    <w:p>
      <w:pPr>
        <w:keepNext w:val="0"/>
        <w:spacing w:before="0" w:after="100"/>
      </w:pPr>
    </w:p>
    <w:p>
      <w:pPr>
        <w:keepNext w:val="0"/>
        <w:spacing w:before="0" w:after="120"/>
      </w:pPr>
      <w:r>
        <w:rPr>
          <w:rFonts w:ascii="Arial" w:hAnsi="Arial" w:cs="Arial"/>
          <w:b w:val="0"/>
          <w:i w:val="0"/>
          <w:color w:val="000000"/>
          <w:sz w:val="21"/>
        </w:rPr>
        <w:t>The airport-level diagnostic identified early-departure pressure at LEX and PHX:</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88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Airport</w:t>
            </w:r>
          </w:p>
        </w:tc>
        <w:tc>
          <w:tcPr>
            <w:tcW w:type="dxa" w:w="230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Proxy initial</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Required initial</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Deficit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LEX</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PHX</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r>
    </w:tbl>
    <w:p>
      <w:pPr>
        <w:keepNext w:val="0"/>
        <w:spacing w:before="0" w:after="100"/>
      </w:pPr>
    </w:p>
    <w:p>
      <w:pPr>
        <w:keepNext w:val="0"/>
        <w:spacing w:before="0" w:after="120"/>
      </w:pPr>
      <w:r>
        <w:rPr>
          <w:rFonts w:ascii="Arial" w:hAnsi="Arial" w:cs="Arial"/>
          <w:b w:val="0"/>
          <w:i w:val="0"/>
          <w:color w:val="000000"/>
          <w:sz w:val="21"/>
        </w:rPr>
        <w:t>For example, if LEX starts with one aircraft and two departures occur before sufficient arrivals, the cumulative inventory becomes:</w:t>
      </w:r>
    </w:p>
    <w:p>
      <w:pPr>
        <w:keepLines/>
        <w:spacing w:before="60" w:after="100"/>
        <w:jc w:val="center"/>
      </w:pPr>
      <w:r>
        <w:rPr>
          <w:rFonts w:ascii="Cambria Math" w:hAnsi="Cambria Math" w:cs="Cambria Math"/>
          <w:b w:val="0"/>
          <w:i/>
          <w:color w:val="000000"/>
          <w:sz w:val="22"/>
        </w:rPr>
        <w:t>1 initial − 1 departure − 1 departure = −1 available</w:t>
      </w:r>
    </w:p>
    <w:p>
      <w:pPr>
        <w:keepNext w:val="0"/>
        <w:spacing w:before="0" w:after="120"/>
      </w:pPr>
      <w:r>
        <w:rPr>
          <w:rFonts w:ascii="Arial" w:hAnsi="Arial" w:cs="Arial"/>
          <w:b w:val="0"/>
          <w:i w:val="0"/>
          <w:color w:val="000000"/>
          <w:sz w:val="21"/>
        </w:rPr>
        <w:t>The proxy vector therefore had the correct total fleet size but was not fully compatible with the early time-space flow requirements.</w:t>
      </w:r>
    </w:p>
    <w:p>
      <w:pPr>
        <w:pStyle w:val="Heading1"/>
        <w:keepNext/>
        <w:spacing w:before="0" w:after="120"/>
      </w:pPr>
      <w:r>
        <w:rPr>
          <w:rFonts w:ascii="Arial" w:hAnsi="Arial" w:cs="Arial"/>
          <w:b w:val="0"/>
          <w:i w:val="0"/>
          <w:color w:val="000000"/>
          <w:sz w:val="21"/>
        </w:rPr>
        <w:t>8. Manual feasibility repair</w:t>
      </w:r>
    </w:p>
    <w:p>
      <w:pPr>
        <w:keepNext w:val="0"/>
        <w:spacing w:before="0" w:after="120"/>
      </w:pPr>
      <w:r>
        <w:rPr>
          <w:rFonts w:ascii="Arial" w:hAnsi="Arial" w:cs="Arial"/>
          <w:b w:val="0"/>
          <w:i w:val="0"/>
          <w:color w:val="000000"/>
          <w:sz w:val="21"/>
        </w:rPr>
        <w:t>A manual repair was first used as a debugging experiment. Its purpose was to test whether moving aircraft between airports, while preserving fleet composition, could remove the infeasibility.</w:t>
      </w:r>
    </w:p>
    <w:p>
      <w:pPr>
        <w:pStyle w:val="ListBullet"/>
        <w:spacing w:after="60"/>
      </w:pPr>
      <w:r>
        <w:rPr>
          <w:rFonts w:ascii="Arial" w:hAnsi="Arial" w:cs="Arial"/>
          <w:b w:val="0"/>
          <w:i w:val="0"/>
          <w:color w:val="000000"/>
          <w:sz w:val="21"/>
        </w:rPr>
        <w:t>ERJ145: ORD to PHX</w:t>
      </w:r>
    </w:p>
    <w:p>
      <w:pPr>
        <w:pStyle w:val="ListBullet"/>
        <w:spacing w:after="60"/>
      </w:pPr>
      <w:r>
        <w:rPr>
          <w:rFonts w:ascii="Arial" w:hAnsi="Arial" w:cs="Arial"/>
          <w:b w:val="0"/>
          <w:i w:val="0"/>
          <w:color w:val="000000"/>
          <w:sz w:val="21"/>
        </w:rPr>
        <w:t>ERJ175: MIA to MGM</w:t>
      </w:r>
    </w:p>
    <w:p>
      <w:pPr>
        <w:keepNext w:val="0"/>
        <w:spacing w:before="0" w:after="120"/>
      </w:pPr>
      <w:r>
        <w:rPr>
          <w:rFonts w:ascii="Arial" w:hAnsi="Arial" w:cs="Arial"/>
          <w:b w:val="0"/>
          <w:i w:val="0"/>
          <w:color w:val="000000"/>
          <w:sz w:val="21"/>
        </w:rPr>
        <w:t>The ORD-to-PHX move is directly related to the PHX deficit. The MIA-to-MGM move requires caution: MGM was not one of the two airports identified by the first simple deficit diagnostic. It was a heuristic engineering intervention, not proof of a historical MGM initial position.</w:t>
      </w:r>
    </w:p>
    <w:p>
      <w:pPr>
        <w:keepNext w:val="0"/>
        <w:spacing w:before="0" w:after="120"/>
      </w:pPr>
      <w:r>
        <w:rPr>
          <w:rFonts w:ascii="Arial" w:hAnsi="Arial" w:cs="Arial"/>
          <w:b w:val="0"/>
          <w:i w:val="0"/>
          <w:color w:val="000000"/>
          <w:sz w:val="21"/>
        </w:rPr>
        <w:t>The experiment confirmed that initial placement was a material part of the infeasibility, but it was not sufficiently rigorous to serve as the final reconstruction method.</w:t>
      </w:r>
    </w:p>
    <w:p>
      <w:pPr>
        <w:pStyle w:val="Heading1"/>
        <w:keepNext/>
        <w:spacing w:before="0" w:after="120"/>
      </w:pPr>
      <w:r>
        <w:rPr>
          <w:rFonts w:ascii="Arial" w:hAnsi="Arial" w:cs="Arial"/>
          <w:b w:val="0"/>
          <w:i w:val="0"/>
          <w:color w:val="000000"/>
          <w:sz w:val="21"/>
        </w:rPr>
        <w:t>9. MILP repair of initial positions</w:t>
      </w:r>
    </w:p>
    <w:p>
      <w:pPr>
        <w:keepNext w:val="0"/>
        <w:spacing w:before="0" w:after="120"/>
      </w:pPr>
      <w:r>
        <w:rPr>
          <w:rFonts w:ascii="Arial" w:hAnsi="Arial" w:cs="Arial"/>
          <w:b w:val="0"/>
          <w:i w:val="0"/>
          <w:color w:val="000000"/>
          <w:sz w:val="21"/>
        </w:rPr>
        <w:t>A small MILP was then introduced to find the feasible initial distribution closest to the proxy. It preserves the fleet count by type and imposes the airport-level minimum initial requirements.</w:t>
      </w:r>
    </w:p>
    <w:p>
      <w:pPr>
        <w:keepLines/>
        <w:spacing w:before="60" w:after="100"/>
        <w:jc w:val="center"/>
      </w:pPr>
      <w:r>
        <w:rPr>
          <w:rFonts w:ascii="Cambria Math" w:hAnsi="Cambria Math" w:cs="Cambria Math"/>
          <w:b w:val="0"/>
          <w:i/>
          <w:color w:val="000000"/>
          <w:sz w:val="22"/>
        </w:rPr>
        <w:t>minimize  Σa Σp |y_new(a,p) − y_proxy(a,p)|</w:t>
      </w:r>
    </w:p>
    <w:p>
      <w:pPr>
        <w:keepNext w:val="0"/>
        <w:spacing w:before="0" w:after="120"/>
      </w:pPr>
      <w:r>
        <w:rPr>
          <w:rFonts w:ascii="Arial" w:hAnsi="Arial" w:cs="Arial"/>
          <w:b w:val="0"/>
          <w:i w:val="0"/>
          <w:color w:val="000000"/>
          <w:sz w:val="21"/>
        </w:rPr>
        <w:t>Absolute deviations are linearized with positive and negative deviation variables:</w:t>
      </w:r>
    </w:p>
    <w:p>
      <w:pPr>
        <w:keepLines/>
        <w:spacing w:before="60" w:after="100"/>
        <w:jc w:val="center"/>
      </w:pPr>
      <w:r>
        <w:rPr>
          <w:rFonts w:ascii="Cambria Math" w:hAnsi="Cambria Math" w:cs="Cambria Math"/>
          <w:b w:val="0"/>
          <w:i/>
          <w:color w:val="000000"/>
          <w:sz w:val="22"/>
        </w:rPr>
        <w:t>y_new(a,p) − y_proxy(a,p) = d_plus(a,p) − d_minus(a,p)</w:t>
      </w:r>
    </w:p>
    <w:p>
      <w:pPr>
        <w:keepLines/>
        <w:spacing w:before="60" w:after="100"/>
        <w:jc w:val="center"/>
      </w:pPr>
      <w:r>
        <w:rPr>
          <w:rFonts w:ascii="Cambria Math" w:hAnsi="Cambria Math" w:cs="Cambria Math"/>
          <w:b w:val="0"/>
          <w:i/>
          <w:color w:val="000000"/>
          <w:sz w:val="22"/>
        </w:rPr>
        <w:t>minimize  Σa Σp [d_plus(a,p) + d_minus(a,p)]</w:t>
      </w:r>
    </w:p>
    <w:p>
      <w:pPr>
        <w:keepLines/>
        <w:spacing w:before="60" w:after="100"/>
        <w:jc w:val="center"/>
      </w:pPr>
      <w:r>
        <w:rPr>
          <w:rFonts w:ascii="Cambria Math" w:hAnsi="Cambria Math" w:cs="Cambria Math"/>
          <w:b w:val="0"/>
          <w:i/>
          <w:color w:val="000000"/>
          <w:sz w:val="22"/>
        </w:rPr>
        <w:t>Σp y_new(a,p) = Fleet(a)   for every type a</w:t>
      </w:r>
    </w:p>
    <w:p>
      <w:pPr>
        <w:keepNext w:val="0"/>
        <w:spacing w:before="0" w:after="120"/>
      </w:pPr>
      <w:r>
        <w:rPr>
          <w:rFonts w:ascii="Arial" w:hAnsi="Arial" w:cs="Arial"/>
          <w:b w:val="0"/>
          <w:i w:val="0"/>
          <w:color w:val="000000"/>
          <w:sz w:val="21"/>
        </w:rPr>
        <w:t>The MILP found an L1 deviation of 4, equivalent to two aircraft relocations:</w:t>
      </w:r>
    </w:p>
    <w:tbl>
      <w:tblPr>
        <w:tblW w:type="auto" w:w="0"/>
        <w:jc w:val="center"/>
        <w:tblLayout w:type="fixed"/>
        <w:tblLook w:firstColumn="1" w:firstRow="1" w:lastColumn="0" w:lastRow="0" w:noHBand="0" w:noVBand="1" w:val="04A0"/>
      </w:tblPr>
      <w:tblGrid>
        <w:gridCol w:w="1976"/>
        <w:gridCol w:w="1976"/>
        <w:gridCol w:w="1976"/>
        <w:gridCol w:w="1976"/>
        <w:gridCol w:w="1976"/>
      </w:tblGrid>
      <w:tr>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Type</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Airport</w:t>
            </w:r>
          </w:p>
        </w:tc>
        <w:tc>
          <w:tcPr>
            <w:tcW w:type="dxa" w:w="158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Proxy</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Feasible</w:t>
            </w:r>
          </w:p>
        </w:tc>
        <w:tc>
          <w:tcPr>
            <w:tcW w:type="dxa" w:w="158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Change</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ORD</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8</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ERJ145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PHX</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MIA</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3</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MGM</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r>
    </w:tbl>
    <w:p>
      <w:pPr>
        <w:keepNext w:val="0"/>
        <w:spacing w:before="0" w:after="100"/>
      </w:pPr>
    </w:p>
    <w:p>
      <w:pPr>
        <w:keepNext w:val="0"/>
        <w:spacing w:before="0" w:after="120"/>
      </w:pPr>
      <w:r>
        <w:rPr>
          <w:rFonts w:ascii="Arial" w:hAnsi="Arial" w:cs="Arial"/>
          <w:b w:val="0"/>
          <w:i w:val="0"/>
          <w:color w:val="000000"/>
          <w:sz w:val="21"/>
        </w:rPr>
        <w:t>The repair preserves 28 ERJ145, 8 ERJ170, and 101 ERJ175 aircraft. It is a minimum-change aggregate correction, not a proof of the actual historical location of a specific tail.</w:t>
      </w:r>
    </w:p>
    <w:p>
      <w:pPr>
        <w:pStyle w:val="Heading1"/>
        <w:keepNext/>
        <w:spacing w:before="0" w:after="120"/>
      </w:pPr>
      <w:r>
        <w:rPr>
          <w:rFonts w:ascii="Arial" w:hAnsi="Arial" w:cs="Arial"/>
          <w:b w:val="0"/>
          <w:i w:val="0"/>
          <w:color w:val="000000"/>
          <w:sz w:val="21"/>
        </w:rPr>
        <w:t>10. Final FAM solution</w:t>
      </w:r>
    </w:p>
    <w:p>
      <w:pPr>
        <w:keepNext w:val="0"/>
        <w:spacing w:before="0" w:after="120"/>
      </w:pPr>
      <w:r>
        <w:rPr>
          <w:rFonts w:ascii="Arial" w:hAnsi="Arial" w:cs="Arial"/>
          <w:b w:val="0"/>
          <w:i w:val="0"/>
          <w:color w:val="000000"/>
          <w:sz w:val="21"/>
        </w:rPr>
        <w:t>After the feasible initial vector replaced the proxy vector, solve_FAm.py built and solved the full integer program with PuLP and CBC. It loaded the cost matrix and feasible initial positions, created arrival and departure lookups, and enforced coverage, range, flow balance, initial-condition, and precedence constraints.</w:t>
      </w:r>
    </w:p>
    <w:tbl>
      <w:tblPr>
        <w:tblW w:type="auto" w:w="0"/>
        <w:jc w:val="center"/>
        <w:tblLayout w:type="fixed"/>
        <w:tblLook w:firstColumn="1" w:firstRow="1" w:lastColumn="0" w:lastRow="0" w:noHBand="0" w:noVBand="1" w:val="04A0"/>
      </w:tblPr>
      <w:tblGrid>
        <w:gridCol w:w="4939"/>
        <w:gridCol w:w="4939"/>
      </w:tblGrid>
      <w:tr>
        <w:tc>
          <w:tcPr>
            <w:tcW w:type="dxa" w:w="5328"/>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Measure</w:t>
            </w:r>
          </w:p>
        </w:tc>
        <w:tc>
          <w:tcPr>
            <w:tcW w:type="dxa" w:w="37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Result</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Solver status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Optimal</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Total assignment cost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79,096,176.93 USD</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Operating cost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79,058,109.76 USD</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Spill cost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38,067.17 USD</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 assignments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514</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 assignments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975</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 assignments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17,360</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Total flights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18,849</w:t>
            </w:r>
          </w:p>
        </w:tc>
      </w:tr>
    </w:tbl>
    <w:p>
      <w:pPr>
        <w:keepNext w:val="0"/>
        <w:spacing w:before="0" w:after="100"/>
      </w:pPr>
    </w:p>
    <w:p>
      <w:pPr>
        <w:keepNext w:val="0"/>
        <w:spacing w:before="0" w:after="120"/>
      </w:pPr>
      <w:r>
        <w:rPr>
          <w:rFonts w:ascii="Arial" w:hAnsi="Arial" w:cs="Arial"/>
          <w:b w:val="0"/>
          <w:i w:val="0"/>
          <w:color w:val="000000"/>
          <w:sz w:val="21"/>
        </w:rPr>
        <w:t>The assignment counts sum to 18,849. The saved run summary also reports a maximum absolute cost-check difference of approximately 4.55 × 10⁻¹³ USD, with cost_check_passed = true. These are the latest saved solver results; a full solver rerun was not performed while preparing this report.</w:t>
      </w:r>
    </w:p>
    <w:p>
      <w:pPr>
        <w:pStyle w:val="Heading1"/>
        <w:keepNext/>
        <w:spacing w:before="0" w:after="120"/>
      </w:pPr>
      <w:r>
        <w:rPr>
          <w:rFonts w:ascii="Arial" w:hAnsi="Arial" w:cs="Arial"/>
          <w:b w:val="0"/>
          <w:i w:val="0"/>
          <w:color w:val="000000"/>
          <w:sz w:val="21"/>
        </w:rPr>
        <w:t>11. Validation against the actual schedule</w:t>
      </w:r>
    </w:p>
    <w:p>
      <w:pPr>
        <w:keepNext w:val="0"/>
        <w:spacing w:before="0" w:after="120"/>
      </w:pPr>
      <w:r>
        <w:rPr>
          <w:rFonts w:ascii="Arial" w:hAnsi="Arial" w:cs="Arial"/>
          <w:b w:val="0"/>
          <w:i w:val="0"/>
          <w:color w:val="000000"/>
          <w:sz w:val="21"/>
        </w:rPr>
        <w:t>The new validation_with_real_data.py script compares envoy_ontime_jan2023_with_faa_model.csv with envoy_FAM_assignment_results.csv. It normalizes the date, flight number, origin, and destination, then performs a one-to-one merge on those four fields. Both files contain 18,849 rows and neither file has duplicate keys under this comparison grain.</w:t>
      </w:r>
    </w:p>
    <w:p>
      <w:pPr>
        <w:keepNext w:val="0"/>
        <w:spacing w:before="0" w:after="120"/>
      </w:pPr>
      <w:r>
        <w:rPr>
          <w:rFonts w:ascii="Arial" w:hAnsi="Arial" w:cs="Arial"/>
          <w:b w:val="0"/>
          <w:i w:val="0"/>
          <w:color w:val="000000"/>
          <w:sz w:val="21"/>
        </w:rPr>
        <w:t>Aircraft-type matching is restricted to rows that exist on both sides, have an actual type in ERJ145, ERJ170, or ERJ175, and are operated according to Cancelled = 0. The validation therefore measures similarity to the FAA-based actual aircraft type, not exact tail-level replication.</w:t>
      </w:r>
    </w:p>
    <w:tbl>
      <w:tblPr>
        <w:tblW w:type="auto" w:w="0"/>
        <w:jc w:val="center"/>
        <w:tblLayout w:type="fixed"/>
        <w:tblLook w:firstColumn="1" w:firstRow="1" w:lastColumn="0" w:lastRow="0" w:noHBand="0" w:noVBand="1" w:val="04A0"/>
      </w:tblPr>
      <w:tblGrid>
        <w:gridCol w:w="4939"/>
        <w:gridCol w:w="4939"/>
      </w:tblGrid>
      <w:tr>
        <w:tc>
          <w:tcPr>
            <w:tcW w:type="dxa" w:w="54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Validation measure</w:t>
            </w:r>
          </w:p>
        </w:tc>
        <w:tc>
          <w:tcPr>
            <w:tcW w:type="dxa" w:w="360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Result</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Actual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18,849</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FAM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18,849</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Eligible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18,367</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Not eligible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482</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Matched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13,633</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Mismatched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4,734</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Match rate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74.23%</w:t>
            </w:r>
          </w:p>
        </w:tc>
      </w:tr>
    </w:tbl>
    <w:p>
      <w:pPr>
        <w:keepNext w:val="0"/>
        <w:spacing w:before="0" w:after="100"/>
      </w:pPr>
    </w:p>
    <w:p>
      <w:pPr>
        <w:keepNext w:val="0"/>
        <w:spacing w:before="0" w:after="120"/>
      </w:pPr>
      <w:r>
        <w:rPr>
          <w:rFonts w:ascii="Arial" w:hAnsi="Arial" w:cs="Arial"/>
          <w:b w:val="0"/>
          <w:i w:val="0"/>
          <w:color w:val="000000"/>
          <w:sz w:val="21"/>
        </w:rPr>
        <w:t>The 482 non-eligible rows are the cancelled flights in the actual schedule. The validation keeps 42 operated diverted flights in the comparison because Diverted is retained as a field but is not used as an exclusion rule. This is a documented limitation of the current validation definition.</w:t>
      </w:r>
    </w:p>
    <w:p>
      <w:pPr>
        <w:pStyle w:val="Heading2"/>
        <w:keepNext/>
        <w:spacing w:before="0" w:after="120"/>
      </w:pPr>
      <w:r>
        <w:rPr>
          <w:rFonts w:ascii="Arial" w:hAnsi="Arial" w:cs="Arial"/>
          <w:b w:val="0"/>
          <w:i w:val="0"/>
          <w:color w:val="000000"/>
          <w:sz w:val="21"/>
        </w:rPr>
        <w:t>11.1 Confusion matrix and fleet distribution</w:t>
      </w:r>
    </w:p>
    <w:p>
      <w:pPr>
        <w:keepNext w:val="0"/>
        <w:spacing w:before="0" w:after="120"/>
      </w:pPr>
      <w:r>
        <w:rPr>
          <w:rFonts w:ascii="Arial" w:hAnsi="Arial" w:cs="Arial"/>
          <w:b w:val="0"/>
          <w:i w:val="0"/>
          <w:color w:val="000000"/>
          <w:sz w:val="21"/>
        </w:rPr>
        <w:t>The confusion matrix uses actual aircraft type as rows and FAM-assigned aircraft type as columns:</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302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Actual \ FAM</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ERJ145</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ERJ170</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ERJ175</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329</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458</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2,676</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36</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29</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969</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132</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463</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13,275</w:t>
            </w:r>
          </w:p>
        </w:tc>
      </w:tr>
    </w:tbl>
    <w:p>
      <w:pPr>
        <w:keepNext w:val="0"/>
        <w:spacing w:before="0" w:after="100"/>
      </w:pPr>
    </w:p>
    <w:p>
      <w:pPr>
        <w:keepNext w:val="0"/>
        <w:spacing w:before="0" w:after="120"/>
      </w:pPr>
      <w:r>
        <w:rPr>
          <w:rFonts w:ascii="Arial" w:hAnsi="Arial" w:cs="Arial"/>
          <w:b w:val="0"/>
          <w:i w:val="0"/>
          <w:color w:val="000000"/>
          <w:sz w:val="21"/>
        </w:rPr>
        <w:t>The largest mismatch categories are actual ERJ145 assigned by the FAM as ERJ175, with 2,676 flights, and actual ERJ170 assigned as ERJ175, with 969 flights. ERJ175 is much more stable: 13,275 of 13,870 eligible actual ERJ175 flights remain ERJ175 in the FAM.</w:t>
      </w:r>
    </w:p>
    <w:tbl>
      <w:tblPr>
        <w:tblW w:type="auto" w:w="0"/>
        <w:jc w:val="center"/>
        <w:tblLayout w:type="fixed"/>
        <w:tblLook w:firstColumn="1" w:firstRow="1" w:lastColumn="0" w:lastRow="0" w:noHBand="0" w:noVBand="1" w:val="04A0"/>
      </w:tblPr>
      <w:tblGrid>
        <w:gridCol w:w="3293"/>
        <w:gridCol w:w="3293"/>
        <w:gridCol w:w="3293"/>
      </w:tblGrid>
      <w:tr>
        <w:tc>
          <w:tcPr>
            <w:tcW w:type="dxa" w:w="3888"/>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Type</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Actual eligible</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FAM eligible</w:t>
            </w:r>
          </w:p>
        </w:tc>
      </w:tr>
      <w:tr>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3,463</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497</w:t>
            </w:r>
          </w:p>
        </w:tc>
      </w:tr>
      <w:tr>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1,034</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950</w:t>
            </w:r>
          </w:p>
        </w:tc>
      </w:tr>
      <w:tr>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13,870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16,920</w:t>
            </w:r>
          </w:p>
        </w:tc>
      </w:tr>
    </w:tbl>
    <w:p>
      <w:pPr>
        <w:keepNext w:val="0"/>
        <w:spacing w:before="0" w:after="100"/>
      </w:pPr>
    </w:p>
    <w:p>
      <w:pPr>
        <w:keepNext w:val="0"/>
        <w:spacing w:before="0" w:after="120"/>
      </w:pPr>
      <w:r>
        <w:rPr>
          <w:rFonts w:ascii="Arial" w:hAnsi="Arial" w:cs="Arial"/>
          <w:b w:val="0"/>
          <w:i w:val="0"/>
          <w:color w:val="000000"/>
          <w:sz w:val="21"/>
        </w:rPr>
        <w:t>These fleet-distribution values are calculated only on the 18,367 eligible rows and therefore do not equal the full FAM assignment totals of 514, 975, and 17,360. The comparison shows a strong shift toward ERJ175 in the optimized assignment relative to the actual aircraft-type mapping.</w:t>
      </w:r>
    </w:p>
    <w:p>
      <w:pPr>
        <w:pStyle w:val="Heading2"/>
        <w:keepNext/>
        <w:spacing w:before="0" w:after="120"/>
      </w:pPr>
      <w:r>
        <w:rPr>
          <w:rFonts w:ascii="Arial" w:hAnsi="Arial" w:cs="Arial"/>
          <w:b w:val="0"/>
          <w:i w:val="0"/>
          <w:color w:val="000000"/>
          <w:sz w:val="21"/>
        </w:rPr>
        <w:t>11.2 Where mismatches occur</w:t>
      </w:r>
    </w:p>
    <w:p>
      <w:pPr>
        <w:keepNext w:val="0"/>
        <w:spacing w:before="0" w:after="120"/>
      </w:pPr>
      <w:r>
        <w:rPr>
          <w:rFonts w:ascii="Arial" w:hAnsi="Arial" w:cs="Arial"/>
          <w:b w:val="0"/>
          <w:i w:val="0"/>
          <w:color w:val="000000"/>
          <w:sz w:val="21"/>
        </w:rPr>
        <w:t>Mismatches occur on all 31 days of January, ranging from 107 to 191 per day. The peak is 191 on January 9, and the minimum is 107 on January 14. The issue is therefore spread across the month rather than isolated to one date.</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0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Route</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Actual</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FAM</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Mismatches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ORD-SGF</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74</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SGF-ORD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72</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ORD-CLE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68</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ORD-FAR</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68</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CLE-ORD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68</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FAR-ORD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67</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ORD-FSD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62</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FSD-ORD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62</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ORD-GSO</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60</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GSO-ORD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58</w:t>
            </w:r>
          </w:p>
        </w:tc>
      </w:tr>
    </w:tbl>
    <w:p>
      <w:pPr>
        <w:keepNext w:val="0"/>
        <w:spacing w:before="0" w:after="100"/>
      </w:pPr>
    </w:p>
    <w:p>
      <w:pPr>
        <w:keepNext w:val="0"/>
        <w:spacing w:before="0" w:after="120"/>
      </w:pPr>
      <w:r>
        <w:rPr>
          <w:rFonts w:ascii="Arial" w:hAnsi="Arial" w:cs="Arial"/>
          <w:b w:val="0"/>
          <w:i w:val="0"/>
          <w:color w:val="000000"/>
          <w:sz w:val="21"/>
        </w:rPr>
        <w:t>The ten highest directed routes contain 659 mismatches. They are strongly connected to the ORD hub and its spokes, and are dominated by actual ERJ145 flights assigned as ERJ175 by the FAM. This indicates a systematic type-allocation difference rather than isolated record errors.</w:t>
      </w:r>
    </w:p>
    <w:p>
      <w:pPr>
        <w:pStyle w:val="Heading2"/>
        <w:keepNext/>
        <w:spacing w:before="0" w:after="120"/>
      </w:pPr>
      <w:r>
        <w:rPr>
          <w:rFonts w:ascii="Arial" w:hAnsi="Arial" w:cs="Arial"/>
          <w:b w:val="0"/>
          <w:i w:val="0"/>
          <w:color w:val="000000"/>
          <w:sz w:val="21"/>
        </w:rPr>
        <w:t>11.3 Meaning of the validation result</w:t>
      </w:r>
    </w:p>
    <w:p>
      <w:pPr>
        <w:keepNext w:val="0"/>
        <w:spacing w:before="0" w:after="120"/>
      </w:pPr>
      <w:r>
        <w:rPr>
          <w:rFonts w:ascii="Arial" w:hAnsi="Arial" w:cs="Arial"/>
          <w:b w:val="0"/>
          <w:i w:val="0"/>
          <w:color w:val="000000"/>
          <w:sz w:val="21"/>
        </w:rPr>
        <w:t>The 74.23% match rate is a similarity measure against the actual aircraft-type mapping. It is not, by itself, a proof that the optimization is correct or incorrect. The FAM is cost-driven and is not designed to reproduce the historical aircraft type on every flight. The validation also does not independently recheck all range, inventory, or precedence constraints; those are enforced by the solver model itself.</w:t>
      </w:r>
    </w:p>
    <w:p>
      <w:pPr>
        <w:keepNext w:val="0"/>
        <w:spacing w:before="0" w:after="120"/>
      </w:pPr>
      <w:r>
        <w:rPr>
          <w:rFonts w:ascii="Arial" w:hAnsi="Arial" w:cs="Arial"/>
          <w:b w:val="0"/>
          <w:i w:val="0"/>
          <w:color w:val="000000"/>
          <w:sz w:val="21"/>
        </w:rPr>
        <w:t>The most important finding is the type-level asymmetry: the FAM uses ERJ175 much more often than the actual mapping uses it, while many actual ERJ145 and ERJ170 flights are replaced by ERJ175. The likely technical drivers are the cost function, spill-cost inputs, and fleet-flow availability. A stronger follow-up would decompose objective cost by aircraft type and route, especially for the ORD-related routes with the highest mismatch counts.</w:t>
      </w:r>
    </w:p>
    <w:p>
      <w:pPr>
        <w:pStyle w:val="Heading1"/>
        <w:keepNext/>
        <w:spacing w:before="0" w:after="120"/>
      </w:pPr>
      <w:r>
        <w:rPr>
          <w:rFonts w:ascii="Arial" w:hAnsi="Arial" w:cs="Arial"/>
          <w:b w:val="0"/>
          <w:i w:val="0"/>
          <w:color w:val="000000"/>
          <w:sz w:val="21"/>
        </w:rPr>
        <w:t>12. Comparison with the paper</w:t>
      </w:r>
    </w:p>
    <w:p>
      <w:pPr>
        <w:keepNext w:val="0"/>
        <w:spacing w:before="0" w:after="120"/>
      </w:pPr>
      <w:r>
        <w:rPr>
          <w:rFonts w:ascii="Arial" w:hAnsi="Arial" w:cs="Arial"/>
          <w:b w:val="0"/>
          <w:i w:val="0"/>
          <w:color w:val="000000"/>
          <w:sz w:val="21"/>
        </w:rPr>
        <w:t>The paper reports a conventional baseline of approximately 73.10 million USD. The current result is higher by:</w:t>
      </w:r>
    </w:p>
    <w:p>
      <w:pPr>
        <w:keepLines/>
        <w:spacing w:before="60" w:after="100"/>
        <w:jc w:val="center"/>
      </w:pPr>
      <w:r>
        <w:rPr>
          <w:rFonts w:ascii="Cambria Math" w:hAnsi="Cambria Math" w:cs="Cambria Math"/>
          <w:b w:val="0"/>
          <w:i/>
          <w:color w:val="000000"/>
          <w:sz w:val="22"/>
        </w:rPr>
        <w:t>79.096M − 73.10M ≈ 5.996M USD</w:t>
      </w:r>
    </w:p>
    <w:p>
      <w:pPr>
        <w:keepLines/>
        <w:spacing w:before="60" w:after="100"/>
        <w:jc w:val="center"/>
      </w:pPr>
      <w:r>
        <w:rPr>
          <w:rFonts w:ascii="Cambria Math" w:hAnsi="Cambria Math" w:cs="Cambria Math"/>
          <w:b w:val="0"/>
          <w:i/>
          <w:color w:val="000000"/>
          <w:sz w:val="22"/>
        </w:rPr>
        <w:t>5.996M / 73.10M ≈ 8.2% higher objective</w:t>
      </w:r>
    </w:p>
    <w:tbl>
      <w:tblPr>
        <w:tblW w:type="auto" w:w="0"/>
        <w:jc w:val="center"/>
        <w:tblLayout w:type="fixed"/>
        <w:tblLook w:firstColumn="1" w:firstRow="1" w:lastColumn="0" w:lastRow="0" w:noHBand="0" w:noVBand="1" w:val="04A0"/>
      </w:tblPr>
      <w:tblGrid>
        <w:gridCol w:w="3293"/>
        <w:gridCol w:w="3293"/>
        <w:gridCol w:w="3293"/>
      </w:tblGrid>
      <w:tr>
        <w:tc>
          <w:tcPr>
            <w:tcW w:type="dxa" w:w="223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Topic</w:t>
            </w:r>
          </w:p>
        </w:tc>
        <w:tc>
          <w:tcPr>
            <w:tcW w:type="dxa" w:w="396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Paper</w:t>
            </w:r>
          </w:p>
        </w:tc>
        <w:tc>
          <w:tcPr>
            <w:tcW w:type="dxa" w:w="288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Current recreation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Demand</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Multi-year T-100 pipeline excluding 2020-2021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January 2023 T-100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Fares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Historical DB1B window</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Q1 2023 DB1B plus imputation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Operating cost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Cost-per-mile and detailed fuel/labor model</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Cost per mile × distance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Initial positions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Assumed available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First observed tail departure proxy</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Fleet count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 ERJ175 in one passage, 103 in another</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 ERJ175 in processed data</w:t>
            </w:r>
          </w:p>
        </w:tc>
      </w:tr>
    </w:tbl>
    <w:p>
      <w:pPr>
        <w:keepNext w:val="0"/>
        <w:spacing w:before="0" w:after="100"/>
      </w:pPr>
    </w:p>
    <w:p>
      <w:pPr>
        <w:keepNext w:val="0"/>
        <w:spacing w:before="0" w:after="120"/>
      </w:pPr>
      <w:r>
        <w:rPr>
          <w:rFonts w:ascii="Arial" w:hAnsi="Arial" w:cs="Arial"/>
          <w:b w:val="0"/>
          <w:i w:val="0"/>
          <w:color w:val="000000"/>
          <w:sz w:val="21"/>
        </w:rPr>
        <w:t>The validation adds an important interpretation: the model is structurally comparable to the actual schedule but reallocates aircraft types in a cost-minimizing way. The initial-position repair appears smaller than the likely contribution of operating-cost, demand, and fare differences to the objective gap.</w:t>
      </w:r>
    </w:p>
    <w:p>
      <w:pPr>
        <w:pStyle w:val="Heading1"/>
        <w:keepNext/>
        <w:spacing w:before="0" w:after="120"/>
      </w:pPr>
      <w:r>
        <w:rPr>
          <w:rFonts w:ascii="Arial" w:hAnsi="Arial" w:cs="Arial"/>
          <w:b w:val="0"/>
          <w:i w:val="0"/>
          <w:color w:val="000000"/>
          <w:sz w:val="21"/>
        </w:rPr>
        <w:t>13. Problems encountered and lessons learned</w:t>
      </w:r>
    </w:p>
    <w:p>
      <w:pPr>
        <w:pStyle w:val="ListBullet"/>
        <w:spacing w:after="60"/>
      </w:pPr>
      <w:r>
        <w:rPr>
          <w:rFonts w:ascii="Arial" w:hAnsi="Arial" w:cs="Arial"/>
          <w:b w:val="0"/>
          <w:i w:val="0"/>
          <w:color w:val="000000"/>
          <w:sz w:val="21"/>
        </w:rPr>
        <w:t>Flight numbers were not unique over the month, so a unique FLIGHT_ID was required.</w:t>
      </w:r>
    </w:p>
    <w:p>
      <w:pPr>
        <w:pStyle w:val="ListBullet"/>
        <w:spacing w:after="60"/>
      </w:pPr>
      <w:r>
        <w:rPr>
          <w:rFonts w:ascii="Arial" w:hAnsi="Arial" w:cs="Arial"/>
          <w:b w:val="0"/>
          <w:i w:val="0"/>
          <w:color w:val="000000"/>
          <w:sz w:val="21"/>
        </w:rPr>
        <w:t>Local times had to be converted to a common reference and checked for valid arrival-after-departure order.</w:t>
      </w:r>
    </w:p>
    <w:p>
      <w:pPr>
        <w:pStyle w:val="ListBullet"/>
        <w:spacing w:after="60"/>
      </w:pPr>
      <w:r>
        <w:rPr>
          <w:rFonts w:ascii="Arial" w:hAnsi="Arial" w:cs="Arial"/>
          <w:b w:val="0"/>
          <w:i w:val="0"/>
          <w:color w:val="000000"/>
          <w:sz w:val="21"/>
        </w:rPr>
        <w:t>Route-level demand and fare inputs had to be connected to flight-level assignment costs.</w:t>
      </w:r>
    </w:p>
    <w:p>
      <w:pPr>
        <w:pStyle w:val="ListBullet"/>
        <w:spacing w:after="60"/>
      </w:pPr>
      <w:r>
        <w:rPr>
          <w:rFonts w:ascii="Arial" w:hAnsi="Arial" w:cs="Arial"/>
          <w:b w:val="0"/>
          <w:i w:val="0"/>
          <w:color w:val="000000"/>
          <w:sz w:val="21"/>
        </w:rPr>
        <w:t>Missing fares required an explicit and auditable imputation step.</w:t>
      </w:r>
    </w:p>
    <w:p>
      <w:pPr>
        <w:pStyle w:val="ListBullet"/>
        <w:spacing w:after="60"/>
      </w:pPr>
      <w:r>
        <w:rPr>
          <w:rFonts w:ascii="Arial" w:hAnsi="Arial" w:cs="Arial"/>
          <w:b w:val="0"/>
          <w:i w:val="0"/>
          <w:color w:val="000000"/>
          <w:sz w:val="21"/>
        </w:rPr>
        <w:t>The proxy initial vector preserved total fleet size but not the airport distribution needed by early departures.</w:t>
      </w:r>
    </w:p>
    <w:p>
      <w:pPr>
        <w:pStyle w:val="ListBullet"/>
        <w:spacing w:after="60"/>
      </w:pPr>
      <w:r>
        <w:rPr>
          <w:rFonts w:ascii="Arial" w:hAnsi="Arial" w:cs="Arial"/>
          <w:b w:val="0"/>
          <w:i w:val="0"/>
          <w:color w:val="000000"/>
          <w:sz w:val="21"/>
        </w:rPr>
        <w:t>The first infeasibility required separating aggregate fleet shortage from airport-position infeasibility.</w:t>
      </w:r>
    </w:p>
    <w:p>
      <w:pPr>
        <w:pStyle w:val="ListBullet"/>
        <w:spacing w:after="60"/>
      </w:pPr>
      <w:r>
        <w:rPr>
          <w:rFonts w:ascii="Arial" w:hAnsi="Arial" w:cs="Arial"/>
          <w:b w:val="0"/>
          <w:i w:val="0"/>
          <w:color w:val="000000"/>
          <w:sz w:val="21"/>
        </w:rPr>
        <w:t>Manual repair was useful for debugging but was not sufficient as a final method.</w:t>
      </w:r>
    </w:p>
    <w:p>
      <w:pPr>
        <w:pStyle w:val="ListBullet"/>
        <w:spacing w:after="60"/>
      </w:pPr>
      <w:r>
        <w:rPr>
          <w:rFonts w:ascii="Arial" w:hAnsi="Arial" w:cs="Arial"/>
          <w:b w:val="0"/>
          <w:i w:val="0"/>
          <w:color w:val="000000"/>
          <w:sz w:val="21"/>
        </w:rPr>
        <w:t>The MILP repair produced a systematic minimum-change feasible initial distribution.</w:t>
      </w:r>
    </w:p>
    <w:p>
      <w:pPr>
        <w:pStyle w:val="ListBullet"/>
        <w:spacing w:after="60"/>
      </w:pPr>
      <w:r>
        <w:rPr>
          <w:rFonts w:ascii="Arial" w:hAnsi="Arial" w:cs="Arial"/>
          <w:b w:val="0"/>
          <w:i w:val="0"/>
          <w:color w:val="000000"/>
          <w:sz w:val="21"/>
        </w:rPr>
        <w:t>The new validation confirms one-to-one row coverage, a passing cost decomposition check, and a 74.23% aircraft-type match rate, while exposing systematic ERJ145/ERJ170 to ERJ175 reallocations.</w:t>
      </w:r>
    </w:p>
    <w:p>
      <w:pPr>
        <w:pStyle w:val="Heading1"/>
        <w:keepNext/>
        <w:spacing w:before="0" w:after="120"/>
      </w:pPr>
      <w:r>
        <w:rPr>
          <w:rFonts w:ascii="Arial" w:hAnsi="Arial" w:cs="Arial"/>
          <w:b w:val="0"/>
          <w:i w:val="0"/>
          <w:color w:val="000000"/>
          <w:sz w:val="21"/>
        </w:rPr>
        <w:t>14. Limitations and next steps</w:t>
      </w:r>
    </w:p>
    <w:p>
      <w:pPr>
        <w:pStyle w:val="ListNumber"/>
        <w:spacing w:after="60"/>
      </w:pPr>
      <w:r>
        <w:rPr>
          <w:rFonts w:ascii="Arial" w:hAnsi="Arial" w:cs="Arial"/>
          <w:b w:val="0"/>
          <w:i w:val="0"/>
          <w:color w:val="000000"/>
          <w:sz w:val="21"/>
        </w:rPr>
        <w:t>Reconstruct initial positions with full time-space consistency and, if possible, a prior schedule or tail-level routing history.</w:t>
      </w:r>
    </w:p>
    <w:p>
      <w:pPr>
        <w:pStyle w:val="ListNumber"/>
        <w:spacing w:after="60"/>
      </w:pPr>
      <w:r>
        <w:rPr>
          <w:rFonts w:ascii="Arial" w:hAnsi="Arial" w:cs="Arial"/>
          <w:b w:val="0"/>
          <w:i w:val="0"/>
          <w:color w:val="000000"/>
          <w:sz w:val="21"/>
        </w:rPr>
        <w:t>Replace temporary fare imputation with the full historical T-100 and DB1B pipeline described in the paper.</w:t>
      </w:r>
    </w:p>
    <w:p>
      <w:pPr>
        <w:pStyle w:val="ListNumber"/>
        <w:spacing w:after="60"/>
      </w:pPr>
      <w:r>
        <w:rPr>
          <w:rFonts w:ascii="Arial" w:hAnsi="Arial" w:cs="Arial"/>
          <w:b w:val="0"/>
          <w:i w:val="0"/>
          <w:color w:val="000000"/>
          <w:sz w:val="21"/>
        </w:rPr>
        <w:t>Implement the detailed fuel and labor operating-cost model before making a close numerical comparison with the paper.</w:t>
      </w:r>
    </w:p>
    <w:p>
      <w:pPr>
        <w:pStyle w:val="ListNumber"/>
        <w:spacing w:after="60"/>
      </w:pPr>
      <w:r>
        <w:rPr>
          <w:rFonts w:ascii="Arial" w:hAnsi="Arial" w:cs="Arial"/>
          <w:b w:val="0"/>
          <w:i w:val="0"/>
          <w:color w:val="000000"/>
          <w:sz w:val="21"/>
        </w:rPr>
        <w:t>Save assignment tables, objective components, solver status, runtime, and validation outputs as a reproducible run package.</w:t>
      </w:r>
    </w:p>
    <w:p>
      <w:pPr>
        <w:pStyle w:val="ListNumber"/>
        <w:spacing w:after="60"/>
      </w:pPr>
      <w:r>
        <w:rPr>
          <w:rFonts w:ascii="Arial" w:hAnsi="Arial" w:cs="Arial"/>
          <w:b w:val="0"/>
          <w:i w:val="0"/>
          <w:color w:val="000000"/>
          <w:sz w:val="21"/>
        </w:rPr>
        <w:t>Refine validation by deciding whether diverted flights should be excluded and by reporting type-specific match rates in addition to the aggregate rate.</w:t>
      </w:r>
    </w:p>
    <w:p>
      <w:pPr>
        <w:keepNext w:val="0"/>
        <w:spacing w:before="0" w:after="120"/>
      </w:pPr>
      <w:r>
        <w:rPr>
          <w:rFonts w:ascii="Arial" w:hAnsi="Arial" w:cs="Arial"/>
          <w:b w:val="0"/>
          <w:i w:val="0"/>
          <w:color w:val="000000"/>
          <w:sz w:val="21"/>
        </w:rPr>
        <w:t>Only after the conventional baseline is stable should the project be extended to hybrid-electric aircraft, charging constraints, battery limits, and mixed-fleet scenarios.</w:t>
      </w:r>
    </w:p>
    <w:p>
      <w:pPr>
        <w:pStyle w:val="Heading1"/>
        <w:keepNext/>
        <w:spacing w:before="0" w:after="120"/>
      </w:pPr>
      <w:r>
        <w:rPr>
          <w:rFonts w:ascii="Arial" w:hAnsi="Arial" w:cs="Arial"/>
          <w:b w:val="0"/>
          <w:i w:val="0"/>
          <w:color w:val="000000"/>
          <w:sz w:val="21"/>
        </w:rPr>
        <w:t>Conclusion</w:t>
      </w:r>
    </w:p>
    <w:p>
      <w:pPr>
        <w:keepNext w:val="0"/>
        <w:spacing w:before="0" w:after="120"/>
      </w:pPr>
      <w:r>
        <w:rPr>
          <w:rFonts w:ascii="Arial" w:hAnsi="Arial" w:cs="Arial"/>
          <w:b w:val="0"/>
          <w:i w:val="0"/>
          <w:color w:val="000000"/>
          <w:sz w:val="21"/>
        </w:rPr>
        <w:t>The workflow recreates the core operational and mathematical structure of the conventional FAM for 18,849 Envoy Air January 2023 flights. The key engineering challenge was building mutually compatible inputs: a complete cost matrix, an initial fleet distribution that supports early departures, and a time-space flow model that carries aircraft availability through the month.</w:t>
      </w:r>
    </w:p>
    <w:p>
      <w:pPr>
        <w:keepNext w:val="0"/>
        <w:spacing w:before="0" w:after="120"/>
      </w:pPr>
      <w:r>
        <w:rPr>
          <w:rFonts w:ascii="Arial" w:hAnsi="Arial" w:cs="Arial"/>
          <w:b w:val="0"/>
          <w:i w:val="0"/>
          <w:color w:val="000000"/>
          <w:sz w:val="21"/>
        </w:rPr>
        <w:t>The first infeasibility was traced to initial aircraft placement rather than insufficient total fleet. A minimum-change MILP repair enabled the final optimal run. The new validation shows that the FAM output is fully covered at the comparison-key level and matches the FAA-based actual type on 74.23% of eligible operated flights, but it also reveals systematic substitution of actual ERJ145 and ERJ170 flights with ERJ175. This is a useful diagnostic for the next cost and demand-calibration stage, not a reason to interpret the model as a historical tail-replication model.</w:t>
      </w:r>
    </w:p>
    <w:p>
      <w:pPr>
        <w:pStyle w:val="Heading1"/>
        <w:keepNext/>
        <w:spacing w:before="0" w:after="120"/>
      </w:pPr>
      <w:r>
        <w:rPr>
          <w:rFonts w:ascii="Arial" w:hAnsi="Arial" w:cs="Arial"/>
          <w:b w:val="0"/>
          <w:i w:val="0"/>
          <w:color w:val="000000"/>
          <w:sz w:val="21"/>
        </w:rPr>
        <w:t>Sources</w:t>
      </w:r>
    </w:p>
    <w:p>
      <w:pPr>
        <w:keepNext w:val="0"/>
        <w:spacing w:before="0" w:after="120"/>
      </w:pPr>
      <w:r>
        <w:rPr>
          <w:rFonts w:ascii="Arial" w:hAnsi="Arial" w:cs="Arial"/>
          <w:b w:val="0"/>
          <w:i w:val="0"/>
          <w:color w:val="000000"/>
          <w:sz w:val="21"/>
        </w:rPr>
        <w:t>Chan, S., Deng, Y., Tran, H., Wu, J., Ikeda, K., Cinar, G., and Li, J. “Optimizing Fleet Assignment Decisions for Regional Airlines with Hybrid Electric Aircraft Uptake,” ICAS 2024.</w:t>
      </w:r>
    </w:p>
    <w:p>
      <w:pPr>
        <w:keepNext w:val="0"/>
        <w:spacing w:before="0" w:after="120"/>
      </w:pPr>
      <w:r>
        <w:rPr>
          <w:rFonts w:ascii="Arial" w:hAnsi="Arial" w:cs="Arial"/>
          <w:b w:val="0"/>
          <w:i w:val="0"/>
          <w:color w:val="000000"/>
          <w:sz w:val="21"/>
        </w:rPr>
        <w:t>Project inputs and scripts: Envoy Air January 2023 schedule, route inputs, initial-position files, assignment cost matrix, envoy_FAM_run_summary.json, envoy_FAM_assignment_results.csv, validation_with_real_data.py, validation_summary.json, confusion matrix, mismatch summaries, and the Python/PuLP/CBC implementation in the Paper_reCreation_chan project folder.</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 of the Fleet Assignment Model</dc:title>
  <dc:subject>Detailed technical report with FAM validation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