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la sílaba dominante.  </w:t>
        <w:br/>
        <w:t xml:space="preserve">Al comenzar había hecho que los niños hubieran dicho varias palabras. Acabado el ejercicio había dicho mota que no todos los silabas se pronuncian con la misma fuerza y escrito varias palabras al cuaderno habían subrayado las sílabas fuertes. Hecho esto a otra sílaba, los habríamos denominado llamándolos tónicas o dominantes. Una vez claro el concepto habíamos clasificado las sílabas según el lugar que ocupan en la palabra y después de varios ejercicios orales habíamos clasificado las palabras según el lugar que ocupa la sílaba tónica.  </w:t>
        <w:br/>
        <w:t xml:space="preserve">Para una lección ya había suficiente materia.  </w:t>
        <w:br/>
        <w:t xml:space="preserve">Ejercicio práctico para después y alguno oral en el momento de la lectura y dictado.  </w:t>
        <w:br/>
        <w:t xml:space="preserve">Aceptado el caso de darles los renglones de escritura en la misma lección (a lo que soy absolutamente contrario) no habré limitado a escribir varias palabras agudas, dictadas por los niños, en el cuaderno habiendo mota que las había con acento y sin él y remarcando la diferencia que había entre algunas palabras acentuadas y las mismas sin acento.  </w:t>
        <w:br/>
        <w:t>Jaime Miró / Miret-181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