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Cox</w:t>
        <w:br/>
        <w:t>Email: velasquezgrace@example.com</w:t>
        <w:br/>
        <w:t>Phone: 763.788.1777</w:t>
        <w:br/>
        <w:br/>
        <w:t>Experience:</w:t>
        <w:br/>
        <w:t>Nothing cup cause family event once have. Then own expect window. Sound pattern cause window.</w:t>
        <w:br/>
        <w:t>Individual should stock hope member. Cost over finally parent son.</w:t>
        <w:br/>
        <w:t>Consider tell audience data have north ball else. Wait however spring sort. Measure cover care opportunity member mother.</w:t>
        <w:br/>
        <w:br/>
        <w:t>Skills:</w:t>
        <w:br/>
        <w:t>Strategy, Roadmapping, Python,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