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d276d98ce94d402fc638a142d69a8eab2e8566"/>
    <w:p>
      <w:pPr>
        <w:pStyle w:val="Heading1"/>
      </w:pPr>
      <w:r>
        <w:t xml:space="preserve">Verifiable Crypto-Erasure for Cross-Border Health Data Audit Trails under the European Health Data Space</w:t>
      </w:r>
    </w:p>
    <w:p>
      <w:pPr>
        <w:pStyle w:val="FirstParagraph"/>
      </w:pPr>
      <w:r>
        <w:t xml:space="preserve">Arshad Akhtar Abbasia, MSc Sustainable Energy Logistics, Høgskolen i Molde</w:t>
      </w:r>
    </w:p>
    <w:p>
      <w:pPr>
        <w:pStyle w:val="BodyText"/>
      </w:pPr>
      <w:r>
        <w:t xml:space="preserve">Supervisor: Prof. João Ferreira.</w:t>
      </w:r>
    </w:p>
    <w:p>
      <w:pPr>
        <w:pStyle w:val="BodyText"/>
      </w:pPr>
      <w:r>
        <w:t xml:space="preserve">Artefact: https://github.com/Astheno-sphere/TRF</w:t>
      </w:r>
    </w:p>
    <w:p>
      <w:pPr>
        <w:pStyle w:val="BodyText"/>
      </w:pPr>
      <w:r>
        <w:t xml:space="preserve">Demonstration: https://trfhimolde.streamlit.app/</w:t>
      </w:r>
    </w:p>
    <w:p>
      <w:r>
        <w:pict>
          <v:rect style="width:0;height:1.5pt" o:hralign="center" o:hrstd="t" o:hr="t"/>
        </w:pict>
      </w:r>
    </w:p>
    <w:bookmarkEnd w:id="20"/>
    <w:bookmarkStart w:id="29" w:name="front-matter"/>
    <w:p>
      <w:pPr>
        <w:pStyle w:val="Heading1"/>
      </w:pPr>
      <w:r>
        <w:t xml:space="preserve">Front Matter</w:t>
      </w:r>
    </w:p>
    <w:p>
      <w:r>
        <w:pict>
          <v:rect style="width:0;height:1.5pt" o:hralign="center" o:hrstd="t" o:hr="t"/>
        </w:pict>
      </w:r>
    </w:p>
    <w:bookmarkStart w:id="21" w:name="title-page"/>
    <w:p>
      <w:pPr>
        <w:pStyle w:val="Heading2"/>
      </w:pPr>
      <w:r>
        <w:t xml:space="preserve">Title Page</w:t>
      </w:r>
    </w:p>
    <w:p>
      <w:pPr>
        <w:pStyle w:val="FirstParagraph"/>
      </w:pPr>
      <w:r>
        <w:rPr>
          <w:iCs/>
          <w:i/>
        </w:rPr>
        <w:t xml:space="preserve">Verifiable Crypto-Erasure for Cross-Border Health Data Audit Trails under the European Health Data Space</w:t>
      </w:r>
    </w:p>
    <w:p>
      <w:pPr>
        <w:pStyle w:val="BodyText"/>
      </w:pPr>
      <w:r>
        <w:rPr>
          <w:iCs/>
          <w:i/>
        </w:rPr>
        <w:t xml:space="preserve">A Design Science Study of the Tri-Lateral Retention Feasibility Problem in the Norwegian Implementation Context</w:t>
      </w:r>
    </w:p>
    <w:p>
      <w:pPr>
        <w:pStyle w:val="BodyText"/>
      </w:pPr>
      <w:r>
        <w:t xml:space="preserve">Arshad Akhtar Abbasia</w:t>
      </w:r>
    </w:p>
    <w:p>
      <w:pPr>
        <w:pStyle w:val="BodyText"/>
      </w:pPr>
      <w:r>
        <w:t xml:space="preserve">Master of Science in Sustainable Energy Logistics</w:t>
      </w:r>
      <w:r>
        <w:t xml:space="preserve"> </w:t>
      </w:r>
      <w:r>
        <w:t xml:space="preserve">Faculty of Logistics, Høgskolen i Molde, Vitenskapelig høgskole i logistikk</w:t>
      </w:r>
    </w:p>
    <w:p>
      <w:pPr>
        <w:pStyle w:val="BodyText"/>
      </w:pPr>
      <w:r>
        <w:t xml:space="preserve">Supervisor: Prof. João Ferreira</w:t>
      </w:r>
    </w:p>
    <w:p>
      <w:pPr>
        <w:pStyle w:val="BodyText"/>
      </w:pPr>
      <w:r>
        <w:t xml:space="preserve">Molde, November 2026</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The European Health Data Space Regulation (EU) 2025/327 subjects cross-border health data audit records to three retention obligations at once: audit-retention floors (ten years for MyHealth@EU audit repositories under the eHDSI deployment baseline, and one year for Secure Processing Environment access logs under Article 73(1)(e)), the right to erasure under Article 17 GDPR, and the six-month deletion ceiling of Article 68(12). No instrument reconciles them, and the implementing acts that must specify Secure Processing Environment requirements are not due until 26 March 2027.</w:t>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(Theorem 1). Under accountability-preserving semantics they are jointly satisfiable for every arrival pattern of erasure requests and permit expiries and for every retention floor (Theorem 2). The witnessing mechanism, Crypto-Erasure by Invalidation, destroys a per-record payload key while retaining event metadata, a hiding commitment and a logged invalidation entry.</w:t>
      </w:r>
    </w:p>
    <w:p>
      <w:pPr>
        <w:pStyle w:val="BodyText"/>
      </w:pPr>
      <w:r>
        <w:t xml:space="preserve">Both results are demonstrated in a Python sandbox over two hundred records with Synthea-generated FHIR R4 payloads: ninety-five violations across ninety records under plaintext semantics, and none under accountability-preserving semantics. Thirty-nine of the violations arise in access-log records that received no erasure request, but only on a contestable reading of Article 68(12).</w:t>
      </w:r>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rPr>
          <w:iCs/>
          <w:i/>
        </w:rPr>
        <w:t xml:space="preserve">Keywords:</w:t>
      </w:r>
      <w:r>
        <w:t xml:space="preserve"> </w:t>
      </w:r>
      <w:r>
        <w:t xml:space="preserve">European Health Data Space; GDPR Article 17; cryptographic erasure; audit trail; data retention; design science research; Secure Processing Environment; MyHealth@EU; information logistics; Norway</w:t>
      </w:r>
    </w:p>
    <w:p>
      <w:pPr>
        <w:pStyle w:val="BodyText"/>
      </w:pPr>
      <w:r>
        <w:t xml:space="preserve">Supervisor: Prof. João Ferreira. Artefact: https://github.com/Astheno-sphere/TRF. Demonstration: https://trfhimolde.streamlit.app/</w:t>
      </w:r>
    </w:p>
    <w:p>
      <w:r>
        <w:pict>
          <v:rect style="width:0;height:1.5pt" o:hralign="center" o:hrstd="t" o:hr="t"/>
        </w:pict>
      </w:r>
    </w:p>
    <w:bookmarkEnd w:id="22"/>
    <w:bookmarkStart w:id="23" w:name="sammendrag"/>
    <w:p>
      <w:pPr>
        <w:pStyle w:val="Heading2"/>
      </w:pPr>
      <w:r>
        <w:t xml:space="preserve">Sammendrag</w:t>
      </w:r>
    </w:p>
    <w:p>
      <w:pPr>
        <w:pStyle w:val="FirstParagraph"/>
      </w:pPr>
      <w:r>
        <w:t xml:space="preserve">Forordning (EU) 2025/327 om det europeiske helsedataområdet (EHDS) underlegger revisjonsspor for grensekryssende helsedata tre lagringsplikter samtidig: minstekrav til lagring av revisjonslogger (ti år for MyHealth@EU under eHDSI-baselinen og ett år for tilgangslogger i sikre analyserom etter artikkel 73(1)(e)), 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(teorem 1). Under semantikk som bevarer etterrettelighet, kan kravene tilfredsstilles samtidig for alle tidspunkter for slettebegjæringer og utløp av tillatelser og for alle lagringsminimum (teorem 2). Mekanismen som viser dette, Crypto-Erasure by Invalidation, ødelegger nøkkelen til innholdet i hver enkelt post, samtidig som hendelsesmetadata, en skjulende forpliktelse (commitment) og en logget ugyldiggjøringspost beholdes.</w:t>
      </w:r>
    </w:p>
    <w:p>
      <w:pPr>
        <w:pStyle w:val="BodyText"/>
      </w:pPr>
      <w:r>
        <w:t xml:space="preserve">Begge resultatene demonstreres i en Python-sandkasse med to hundre poster og syntetiske FHIR R4-data generert med Synthea: nittifem brudd fordelt på nitti poster under klartekstsemantikk, og ingen under semantikk som bevarer etterrettelighet. Trettini av bruddene oppstår i tilgangslogger uten noen slettebegjæring, men bare under en omstridt lesing av artikkel 68(12).</w:t>
      </w:r>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rPr>
          <w:iCs/>
          <w:i/>
        </w:rPr>
        <w:t xml:space="preserve">Nøkkelord:</w:t>
      </w:r>
      <w:r>
        <w:t xml:space="preserve"> </w:t>
      </w:r>
      <w:r>
        <w:t xml:space="preserve">europeisk helsedataområde; GDPR artikkel 17; kryptografisk sletting; revisjonsspor; lagringstid; design science-forskning; sikkert analyserom; MyHealth@EU; informasjonslogistikk; Norge</w:t>
      </w:r>
    </w:p>
    <w:p>
      <w:r>
        <w:pict>
          <v:rect style="width:0;height:1.5pt" o:hralign="center" o:hrstd="t" o:hr="t"/>
        </w:pict>
      </w:r>
    </w:p>
    <w:bookmarkEnd w:id="23"/>
    <w:bookmarkStart w:id="24" w:name="statement-of-contribution"/>
    <w:p>
      <w:pPr>
        <w:pStyle w:val="Heading2"/>
      </w:pPr>
      <w:r>
        <w:t xml:space="preserve">Statement of Contribution</w:t>
      </w:r>
    </w:p>
    <w:p>
      <w:pPr>
        <w:pStyle w:val="FirstParagraph"/>
      </w:pPr>
      <w:r>
        <w:t xml:space="preserve">This thesis makes four contributions, each stated at the level it can be defended.</w:t>
      </w:r>
    </w:p>
    <w:p>
      <w:pPr>
        <w:pStyle w:val="BodyText"/>
      </w:pPr>
      <w:r>
        <w:rPr>
          <w:iCs/>
          <w:i/>
        </w:rPr>
        <w:t xml:space="preserve">1. A formal model of the tri-lateral retention conflict.</w:t>
      </w:r>
      <w:r>
        <w:t xml:space="preserve"> </w:t>
      </w:r>
      <w:r>
        <w:t xml:space="preserve">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pPr>
      <w:r>
        <w:rPr>
          <w:iCs/>
          <w:i/>
        </w:rPr>
        <w:t xml:space="preserve">2. Two feasibility results with an executable witness.</w:t>
      </w:r>
      <w:r>
        <w:t xml:space="preserve"> </w:t>
      </w:r>
      <w:r>
        <w:t xml:space="preserve">Theorem 1 establishes infeasibility under the semantics implicit in current audit practice. Theorem 2 establishes satisfiability under an alternative and exhibits the trajectory achieving it. Both are proved informally and demonstrated executably, with an independent exhaustive cross-check.</w:t>
      </w:r>
    </w:p>
    <w:p>
      <w:pPr>
        <w:pStyle w:val="BodyText"/>
      </w:pPr>
      <w:r>
        <w:rPr>
          <w:iCs/>
          <w:i/>
        </w:rPr>
        <w:t xml:space="preserve">3. A mechanism specification with its residue analysed against the applicable legal threshold.</w:t>
      </w:r>
      <w:r>
        <w:t xml:space="preserve"> </w:t>
      </w:r>
      <w:r>
        <w:t xml:space="preserve">Crypto-Erasure by Invalidation is specified in implementable detail. Its surviving residue is characterised as pseudonymised rather than anonymous by the Norwegian standard, and designed to the corridor established by the European Data Protection Board’s finalised Guidelines 02/2025.</w:t>
      </w:r>
    </w:p>
    <w:p>
      <w:pPr>
        <w:pStyle w:val="BodyText"/>
      </w:pPr>
      <w:r>
        <w:rPr>
          <w:iCs/>
          <w:i/>
        </w:rPr>
        <w:t xml:space="preserve">4. An integration analysis against verified Norwegian infrastructure.</w:t>
      </w:r>
      <w:r>
        <w:t xml:space="preserve"> </w:t>
      </w:r>
      <w:r>
        <w:t xml:space="preserve">The mechanism is placed at the audit-repository step of the MyHealth@EU flow and the access-logging boundary of a Secure Processing Environment, and requires of the substrate nothing that the finalised national criteria do not already demand.</w:t>
      </w:r>
    </w:p>
    <w:p>
      <w:pPr>
        <w:pStyle w:val="BodyText"/>
      </w:pPr>
      <w:r>
        <w:rPr>
          <w:iCs/>
          <w:i/>
        </w:rPr>
        <w:t xml:space="preserve">What is not claimed.</w:t>
      </w:r>
      <w:r>
        <w:t xml:space="preserve"> </w:t>
      </w:r>
      <w:r>
        <w:t xml:space="preserve">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Chapter 6 and proposed for resolution in Chapter 7.</w:t>
      </w:r>
    </w:p>
    <w:p>
      <w:r>
        <w:pict>
          <v:rect style="width:0;height:1.5pt" o:hralign="center" o:hrstd="t" o:hr="t"/>
        </w:pict>
      </w:r>
    </w:p>
    <w:bookmarkEnd w:id="24"/>
    <w:bookmarkStart w:id="25" w:name="declaration-of-originality"/>
    <w:p>
      <w:pPr>
        <w:pStyle w:val="Heading2"/>
      </w:pPr>
      <w:r>
        <w:t xml:space="preserve">Declaration of Originality</w:t>
      </w:r>
    </w:p>
    <w:p>
      <w:pPr>
        <w:pStyle w:val="FirstParagraph"/>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 because the first version of this project, abandoned in May 2026, failed to make them truthfully.</w:t>
      </w:r>
    </w:p>
    <w:p>
      <w:pPr>
        <w:pStyle w:val="BodyText"/>
      </w:pPr>
      <w:r>
        <w:rPr>
          <w:iCs/>
          <w:i/>
        </w:rPr>
        <w:t xml:space="preserve">Ethics.</w:t>
      </w:r>
      <w:r>
        <w:t xml:space="preserve"> </w:t>
      </w:r>
      <w:r>
        <w:t xml:space="preserve">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 Any claim to the contrary appearing in earlier drafts of this project is withdrawn.</w:t>
      </w:r>
    </w:p>
    <w:p>
      <w:pPr>
        <w:pStyle w:val="BodyText"/>
      </w:pPr>
      <w:r>
        <w:rPr>
          <w:iCs/>
          <w:i/>
        </w:rPr>
        <w:t xml:space="preserve">Sources.</w:t>
      </w:r>
      <w:r>
        <w:t xml:space="preserve"> </w:t>
      </w:r>
      <w:r>
        <w:t xml:space="preserve">Every factual claim in this thesis is traceable to a source retrievable at the time of writing. Where verification of a source remains incomplete, the incompleteness is flagged in the text rather than concealed. An audit conducted in May 2026 identified citations in the earlier draft to works that do not exist; that draft has been discarded in its entirety and every citation in the present work has been checked against a primary or retrievable source.</w:t>
      </w:r>
    </w:p>
    <w:p>
      <w:pPr>
        <w:pStyle w:val="BodyText"/>
      </w:pPr>
      <w:r>
        <w:rPr>
          <w:iCs/>
          <w:i/>
        </w:rPr>
        <w:t xml:space="preserve">Use of AI assistance.</w:t>
      </w:r>
      <w:r>
        <w:t xml:space="preserve"> </w:t>
      </w:r>
      <w:r>
        <w:t xml:space="preserve">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p>
      <w:r>
        <w:pict>
          <v:rect style="width:0;height:1.5pt" o:hralign="center" o:hrstd="t" o:hr="t"/>
        </w:pict>
      </w:r>
    </w:p>
    <w:bookmarkEnd w:id="25"/>
    <w:bookmarkStart w:id="26" w:name="nomenclature-and-abbreviations"/>
    <w:p>
      <w:pPr>
        <w:pStyle w:val="Heading2"/>
      </w:pPr>
      <w:r>
        <w:t xml:space="preserve">Nomenclature and Abbreviations</w:t>
      </w:r>
    </w:p>
    <w:p>
      <w:pPr>
        <w:pStyle w:val="FirstParagraph"/>
      </w:pPr>
      <w:r>
        <w:rPr>
          <w:iCs/>
          <w:i/>
        </w:rPr>
        <w:t xml:space="preserve">Model notation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rPr>
                <w:iCs/>
                <w:i/>
              </w:rPr>
              <w:t xml:space="preserve">a</w:t>
            </w:r>
          </w:p>
        </w:tc>
        <w:tc>
          <w:tcPr/>
          <w:p>
            <w:pPr>
              <w:pStyle w:val="Compact"/>
              <w:jc w:val="left"/>
            </w:pPr>
            <w:r>
              <w:t xml:space="preserve">An audit record</w:t>
            </w:r>
          </w:p>
        </w:tc>
      </w:tr>
      <w:tr>
        <w:tc>
          <w:tcPr/>
          <w:p>
            <w:pPr>
              <w:pStyle w:val="Compact"/>
              <w:jc w:val="left"/>
            </w:pPr>
            <w:r>
              <w:rPr>
                <w:iCs/>
                <w:i/>
              </w:rPr>
              <w:t xml:space="preserve">m</w:t>
            </w:r>
            <w:r>
              <w:t xml:space="preserve">(</w:t>
            </w:r>
            <w:r>
              <w:rPr>
                <w:iCs/>
                <w:i/>
              </w:rPr>
              <w:t xml:space="preserve">a</w:t>
            </w:r>
            <w:r>
              <w:t xml:space="preserve">)</w:t>
            </w:r>
          </w:p>
        </w:tc>
        <w:tc>
          <w:tcPr/>
          <w:p>
            <w:pPr>
              <w:pStyle w:val="Compact"/>
              <w:jc w:val="left"/>
            </w:pPr>
            <w:r>
              <w:t xml:space="preserve">Event metadata — actor, contact point, patient pseudonym, document category, legal basis, outcome</w:t>
            </w:r>
          </w:p>
        </w:tc>
      </w:tr>
      <w:tr>
        <w:tc>
          <w:tcPr/>
          <w:p>
            <w:pPr>
              <w:pStyle w:val="Compact"/>
              <w:jc w:val="left"/>
            </w:pPr>
            <w:r>
              <w:rPr>
                <w:iCs/>
                <w:i/>
              </w:rPr>
              <w:t xml:space="preserve">p</w:t>
            </w:r>
            <w:r>
              <w:t xml:space="preserve">(</w:t>
            </w:r>
            <w:r>
              <w:rPr>
                <w:iCs/>
                <w:i/>
              </w:rPr>
              <w:t xml:space="preserve">a</w:t>
            </w:r>
            <w:r>
              <w:t xml:space="preserve">)</w:t>
            </w:r>
          </w:p>
        </w:tc>
        <w:tc>
          <w:tcPr/>
          <w:p>
            <w:pPr>
              <w:pStyle w:val="Compact"/>
              <w:jc w:val="left"/>
            </w:pPr>
            <w:r>
              <w:t xml:space="preserve">Personal-data payload of the record</w:t>
            </w:r>
          </w:p>
        </w:tc>
      </w:tr>
      <w:tr>
        <w:tc>
          <w:tcPr/>
          <w:p>
            <w:pPr>
              <w:pStyle w:val="Compact"/>
              <w:jc w:val="left"/>
            </w:pPr>
            <w:r>
              <w:rPr>
                <w:iCs/>
                <w:i/>
              </w:rPr>
              <w:t xml:space="preserve">c</w:t>
            </w:r>
            <w:r>
              <w:t xml:space="preserve">(</w:t>
            </w:r>
            <w:r>
              <w:rPr>
                <w:iCs/>
                <w:i/>
              </w:rPr>
              <w:t xml:space="preserve">a</w:t>
            </w:r>
            <w:r>
              <w:t xml:space="preserve">)</w:t>
            </w:r>
          </w:p>
        </w:tc>
        <w:tc>
          <w:tcPr/>
          <w:p>
            <w:pPr>
              <w:pStyle w:val="Compact"/>
              <w:jc w:val="left"/>
            </w:pPr>
            <w:r>
              <w:t xml:space="preserve">Hiding commitment to the payload,</w:t>
            </w:r>
            <w:r>
              <w:t xml:space="preserve"> </w:t>
            </w:r>
            <w:r>
              <w:rPr>
                <w:iCs/>
                <w:i/>
              </w:rPr>
              <w:t xml:space="preserve">c</w:t>
            </w:r>
            <w:r>
              <w:t xml:space="preserve"> </w:t>
            </w:r>
            <w:r>
              <w:t xml:space="preserve">= Commit(</w:t>
            </w:r>
            <w:r>
              <w:rPr>
                <w:iCs/>
                <w:i/>
              </w:rPr>
              <w:t xml:space="preserve">p</w:t>
            </w:r>
            <w:r>
              <w:t xml:space="preserve">,</w:t>
            </w:r>
            <w:r>
              <w:t xml:space="preserve"> </w:t>
            </w:r>
            <w:r>
              <w:rPr>
                <w:iCs/>
                <w:i/>
              </w:rPr>
              <w:t xml:space="preserve">r</w:t>
            </w:r>
            <w:r>
              <w:t xml:space="preserve">)</w:t>
            </w:r>
          </w:p>
        </w:tc>
      </w:tr>
      <w:tr>
        <w:tc>
          <w:tcPr/>
          <w:p>
            <w:pPr>
              <w:pStyle w:val="Compact"/>
              <w:jc w:val="left"/>
            </w:pPr>
            <w:r>
              <w:rPr>
                <w:iCs/>
                <w:i/>
              </w:rPr>
              <w:t xml:space="preserve">r</w:t>
            </w:r>
            <w:r>
              <w:t xml:space="preserve">(</w:t>
            </w:r>
            <w:r>
              <w:rPr>
                <w:iCs/>
                <w:i/>
              </w:rPr>
              <w:t xml:space="preserve">a</w:t>
            </w:r>
            <w:r>
              <w:t xml:space="preserve">)</w:t>
            </w:r>
          </w:p>
        </w:tc>
        <w:tc>
          <w:tcPr/>
          <w:p>
            <w:pPr>
              <w:pStyle w:val="Compact"/>
              <w:jc w:val="left"/>
            </w:pPr>
            <w:r>
              <w:t xml:space="preserve">Per-record commitment salt</w:t>
            </w:r>
          </w:p>
        </w:tc>
      </w:tr>
      <w:tr>
        <w:tc>
          <w:tcPr/>
          <w:p>
            <w:pPr>
              <w:pStyle w:val="Compact"/>
              <w:jc w:val="left"/>
            </w:pPr>
            <w:r>
              <w:rPr>
                <w:iCs/>
                <w:i/>
              </w:rPr>
              <w:t xml:space="preserve">k</w:t>
            </w:r>
            <w:r>
              <w:t xml:space="preserve">(</w:t>
            </w:r>
            <w:r>
              <w:rPr>
                <w:iCs/>
                <w:i/>
              </w:rPr>
              <w:t xml:space="preserve">a</w:t>
            </w:r>
            <w:r>
              <w:t xml:space="preserve">)</w:t>
            </w:r>
          </w:p>
        </w:tc>
        <w:tc>
          <w:tcPr/>
          <w:p>
            <w:pPr>
              <w:pStyle w:val="Compact"/>
              <w:jc w:val="left"/>
            </w:pPr>
            <w:r>
              <w:t xml:space="preserve">Payload key</w:t>
            </w:r>
          </w:p>
        </w:tc>
      </w:tr>
      <w:tr>
        <w:tc>
          <w:tcPr/>
          <w:p>
            <w:pPr>
              <w:pStyle w:val="Compact"/>
              <w:jc w:val="left"/>
            </w:pPr>
            <w:r>
              <w:rPr>
                <w:iCs/>
                <w:i/>
              </w:rPr>
              <w:t xml:space="preserve">ι</w:t>
            </w:r>
            <w:r>
              <w:t xml:space="preserve">(</w:t>
            </w:r>
            <w:r>
              <w:rPr>
                <w:iCs/>
                <w:i/>
              </w:rPr>
              <w:t xml:space="preserve">a</w:t>
            </w:r>
            <w:r>
              <w:t xml:space="preserve">)</w:t>
            </w:r>
          </w:p>
        </w:tc>
        <w:tc>
          <w:tcPr/>
          <w:p>
            <w:pPr>
              <w:pStyle w:val="Compact"/>
              <w:jc w:val="left"/>
            </w:pPr>
            <w:r>
              <w:t xml:space="preserve">Invalidation entry — month, legal ground, authorising actor</w:t>
            </w:r>
          </w:p>
        </w:tc>
      </w:tr>
      <w:tr>
        <w:tc>
          <w:tcPr/>
          <w:p>
            <w:pPr>
              <w:pStyle w:val="Compact"/>
              <w:jc w:val="left"/>
            </w:pPr>
            <w:r>
              <w:rPr>
                <w:iCs/>
                <w:i/>
              </w:rPr>
              <w:t xml:space="preserve">t</w:t>
            </w:r>
            <w:r>
              <w:t xml:space="preserve">(</w:t>
            </w:r>
            <w:r>
              <w:rPr>
                <w:iCs/>
                <w:i/>
              </w:rPr>
              <w:t xml:space="preserve">a</w:t>
            </w:r>
            <w:r>
              <w:t xml:space="preserve">)</w:t>
            </w:r>
          </w:p>
        </w:tc>
        <w:tc>
          <w:tcPr/>
          <w:p>
            <w:pPr>
              <w:pStyle w:val="Compact"/>
              <w:jc w:val="left"/>
            </w:pPr>
            <w:r>
              <w:t xml:space="preserve">Month in which the access event occurred</w:t>
            </w:r>
          </w:p>
        </w:tc>
      </w:tr>
      <w:tr>
        <w:tc>
          <w:tcPr/>
          <w:p>
            <w:pPr>
              <w:pStyle w:val="Compact"/>
              <w:jc w:val="left"/>
            </w:pPr>
            <w:r>
              <w:rPr>
                <w:iCs/>
                <w:i/>
              </w:rPr>
              <w:t xml:space="preserve">F</w:t>
            </w:r>
            <w:r>
              <w:t xml:space="preserve">(</w:t>
            </w:r>
            <w:r>
              <w:rPr>
                <w:iCs/>
                <w:i/>
              </w:rPr>
              <w:t xml:space="preserve">a</w:t>
            </w:r>
            <w:r>
              <w:t xml:space="preserve">)</w:t>
            </w:r>
          </w:p>
        </w:tc>
        <w:tc>
          <w:tcPr/>
          <w:p>
            <w:pPr>
              <w:pStyle w:val="Compact"/>
              <w:jc w:val="left"/>
            </w:pPr>
            <w:r>
              <w:t xml:space="preserve">Retention floor, in months (120 cross-border; 12 for SPE access logs)</w:t>
            </w:r>
          </w:p>
        </w:tc>
      </w:tr>
      <w:tr>
        <w:tc>
          <w:tcPr/>
          <w:p>
            <w:pPr>
              <w:pStyle w:val="Compact"/>
              <w:jc w:val="left"/>
            </w:pPr>
            <w:r>
              <w:rPr>
                <w:iCs/>
                <w:i/>
              </w:rPr>
              <w:t xml:space="preserve">σ</w:t>
            </w:r>
            <w:r>
              <w:t xml:space="preserve">(</w:t>
            </w:r>
            <w:r>
              <w:rPr>
                <w:iCs/>
                <w:i/>
              </w:rPr>
              <w:t xml:space="preserve">a</w:t>
            </w:r>
            <w:r>
              <w:t xml:space="preserve">)</w:t>
            </w:r>
          </w:p>
        </w:tc>
        <w:tc>
          <w:tcPr/>
          <w:p>
            <w:pPr>
              <w:pStyle w:val="Compact"/>
              <w:jc w:val="left"/>
            </w:pPr>
            <w:r>
              <w:t xml:space="preserve">Pathway: primary or secondary</w:t>
            </w:r>
          </w:p>
        </w:tc>
      </w:tr>
      <w:tr>
        <w:tc>
          <w:tcPr/>
          <w:p>
            <w:pPr>
              <w:pStyle w:val="Compact"/>
              <w:jc w:val="left"/>
            </w:pPr>
            <w:r>
              <w:rPr>
                <w:iCs/>
                <w:i/>
              </w:rPr>
              <w:t xml:space="preserve">t</w:t>
            </w:r>
            <w:r>
              <w:t xml:space="preserve">ᵣ(</w:t>
            </w:r>
            <w:r>
              <w:rPr>
                <w:iCs/>
                <w:i/>
              </w:rPr>
              <w:t xml:space="preserve">a</w:t>
            </w:r>
            <w:r>
              <w:t xml:space="preserve">)</w:t>
            </w:r>
          </w:p>
        </w:tc>
        <w:tc>
          <w:tcPr/>
          <w:p>
            <w:pPr>
              <w:pStyle w:val="Compact"/>
              <w:jc w:val="left"/>
            </w:pPr>
            <w:r>
              <w:t xml:space="preserve">Month an erasure request arrives (∞ if none)</w:t>
            </w:r>
          </w:p>
        </w:tc>
      </w:tr>
      <w:tr>
        <w:tc>
          <w:tcPr/>
          <w:p>
            <w:pPr>
              <w:pStyle w:val="Compact"/>
              <w:jc w:val="left"/>
            </w:pPr>
            <w:r>
              <w:rPr>
                <w:iCs/>
                <w:i/>
              </w:rPr>
              <w:t xml:space="preserve">t</w:t>
            </w:r>
            <w:r>
              <w:t xml:space="preserve">π(</w:t>
            </w:r>
            <w:r>
              <w:rPr>
                <w:iCs/>
                <w:i/>
              </w:rPr>
              <w:t xml:space="preserve">a</w:t>
            </w:r>
            <w:r>
              <w:t xml:space="preserve">)</w:t>
            </w:r>
          </w:p>
        </w:tc>
        <w:tc>
          <w:tcPr/>
          <w:p>
            <w:pPr>
              <w:pStyle w:val="Compact"/>
              <w:jc w:val="left"/>
            </w:pPr>
            <w:r>
              <w:t xml:space="preserve">Month a data permit expires (∞ if not applicable)</w:t>
            </w:r>
          </w:p>
        </w:tc>
      </w:tr>
      <w:tr>
        <w:tc>
          <w:tcPr/>
          <w:p>
            <w:pPr>
              <w:pStyle w:val="Compact"/>
              <w:jc w:val="left"/>
            </w:pPr>
            <w:r>
              <w:rPr>
                <w:iCs/>
                <w:i/>
              </w:rPr>
              <w:t xml:space="preserve">t</w:t>
            </w:r>
            <w:r>
              <w:t xml:space="preserve">ᴵ(</w:t>
            </w:r>
            <w:r>
              <w:rPr>
                <w:iCs/>
                <w:i/>
              </w:rPr>
              <w:t xml:space="preserve">a</w:t>
            </w:r>
            <w:r>
              <w:t xml:space="preserve">)</w:t>
            </w:r>
          </w:p>
        </w:tc>
        <w:tc>
          <w:tcPr/>
          <w:p>
            <w:pPr>
              <w:pStyle w:val="Compact"/>
              <w:jc w:val="left"/>
            </w:pPr>
            <w:r>
              <w:t xml:space="preserve">Invalidation month, min(</w:t>
            </w:r>
            <w:r>
              <w:rPr>
                <w:iCs/>
                <w:i/>
              </w:rPr>
              <w:t xml:space="preserve">t</w:t>
            </w:r>
            <w:r>
              <w:t xml:space="preserve">ᵣ + δ,</w:t>
            </w:r>
            <w:r>
              <w:t xml:space="preserve"> </w:t>
            </w:r>
            <w:r>
              <w:rPr>
                <w:iCs/>
                <w:i/>
              </w:rPr>
              <w:t xml:space="preserve">t</w:t>
            </w:r>
            <w:r>
              <w:t xml:space="preserve">π + 6)</w:t>
            </w:r>
          </w:p>
        </w:tc>
      </w:tr>
      <w:tr>
        <w:tc>
          <w:tcPr/>
          <w:p>
            <w:pPr>
              <w:pStyle w:val="Compact"/>
              <w:jc w:val="left"/>
            </w:pPr>
            <w:r>
              <w:t xml:space="preserve">δ</w:t>
            </w:r>
          </w:p>
        </w:tc>
        <w:tc>
          <w:tcPr/>
          <w:p>
            <w:pPr>
              <w:pStyle w:val="Compact"/>
              <w:jc w:val="left"/>
            </w:pPr>
            <w:r>
              <w:t xml:space="preserve">Erasure response period, in months (GDPR Art. 12(3))</w:t>
            </w:r>
          </w:p>
        </w:tc>
      </w:tr>
      <w:tr>
        <w:tc>
          <w:tcPr/>
          <w:p>
            <w:pPr>
              <w:pStyle w:val="Compact"/>
              <w:jc w:val="left"/>
            </w:pPr>
            <w:r>
              <w:rPr>
                <w:iCs/>
                <w:i/>
              </w:rPr>
              <w:t xml:space="preserve">α</w:t>
            </w:r>
            <w:r>
              <w:t xml:space="preserve">(</w:t>
            </w:r>
            <w:r>
              <w:rPr>
                <w:iCs/>
                <w:i/>
              </w:rPr>
              <w:t xml:space="preserve">a</w:t>
            </w:r>
            <w:r>
              <w:t xml:space="preserve">,</w:t>
            </w:r>
            <w:r>
              <w:t xml:space="preserve"> </w:t>
            </w:r>
            <w:r>
              <w:rPr>
                <w:iCs/>
                <w:i/>
              </w:rPr>
              <w:t xml:space="preserve">t</w:t>
            </w:r>
            <w:r>
              <w:t xml:space="preserve">)</w:t>
            </w:r>
          </w:p>
        </w:tc>
        <w:tc>
          <w:tcPr/>
          <w:p>
            <w:pPr>
              <w:pStyle w:val="Compact"/>
              <w:jc w:val="left"/>
            </w:pPr>
            <w:r>
              <w:t xml:space="preserve">Payload accessibility at month</w:t>
            </w:r>
            <w:r>
              <w:t xml:space="preserve"> </w:t>
            </w:r>
            <w:r>
              <w:rPr>
                <w:iCs/>
                <w:i/>
              </w:rPr>
              <w:t xml:space="preserve">t</w:t>
            </w:r>
            <w:r>
              <w:t xml:space="preserve"> </w:t>
            </w:r>
            <w:r>
              <w:t xml:space="preserve">— 1 if recoverable, 0 otherwise</w:t>
            </w:r>
          </w:p>
        </w:tc>
      </w:tr>
      <w:tr>
        <w:tc>
          <w:tcPr/>
          <w:p>
            <w:pPr>
              <w:pStyle w:val="Compact"/>
              <w:jc w:val="left"/>
            </w:pPr>
            <w:r>
              <w:rPr>
                <w:iCs/>
                <w:i/>
              </w:rPr>
              <w:t xml:space="preserve">V</w:t>
            </w:r>
            <w:r>
              <w:t xml:space="preserve">(</w:t>
            </w:r>
            <w:r>
              <w:rPr>
                <w:iCs/>
                <w:i/>
              </w:rPr>
              <w:t xml:space="preserve">a</w:t>
            </w:r>
            <w:r>
              <w:t xml:space="preserve">,</w:t>
            </w:r>
            <w:r>
              <w:t xml:space="preserve"> </w:t>
            </w:r>
            <w:r>
              <w:rPr>
                <w:iCs/>
                <w:i/>
              </w:rPr>
              <w:t xml:space="preserve">t</w:t>
            </w:r>
            <w:r>
              <w:t xml:space="preserve">)</w:t>
            </w:r>
          </w:p>
        </w:tc>
        <w:tc>
          <w:tcPr/>
          <w:p>
            <w:pPr>
              <w:pStyle w:val="Compact"/>
              <w:jc w:val="left"/>
            </w:pPr>
            <w:r>
              <w:t xml:space="preserve">Whether the record counts as verifiable at month</w:t>
            </w:r>
            <w:r>
              <w:t xml:space="preserve"> </w:t>
            </w:r>
            <w:r>
              <w:rPr>
                <w:iCs/>
                <w:i/>
              </w:rPr>
              <w:t xml:space="preserve">t</w:t>
            </w:r>
          </w:p>
        </w:tc>
      </w:tr>
      <w:tr>
        <w:tc>
          <w:tcPr/>
          <w:p>
            <w:pPr>
              <w:pStyle w:val="Compact"/>
              <w:jc w:val="left"/>
            </w:pPr>
            <w:r>
              <w:rPr>
                <w:iCs/>
                <w:i/>
              </w:rPr>
              <w:t xml:space="preserve">V</w:t>
            </w:r>
            <w:r>
              <w:t xml:space="preserve">ᴵ,</w:t>
            </w:r>
            <w:r>
              <w:t xml:space="preserve"> </w:t>
            </w:r>
            <w:r>
              <w:rPr>
                <w:iCs/>
                <w:i/>
              </w:rPr>
              <w:t xml:space="preserve">V</w:t>
            </w:r>
            <w:r>
              <w:t xml:space="preserve">ᴵᴵ</w:t>
            </w:r>
          </w:p>
        </w:tc>
        <w:tc>
          <w:tcPr/>
          <w:p>
            <w:pPr>
              <w:pStyle w:val="Compact"/>
              <w:jc w:val="left"/>
            </w:pPr>
            <w:r>
              <w:t xml:space="preserve">Verifiability under Semantics I (plaintext) and Semantics II (accountability-preserving)</w:t>
            </w:r>
          </w:p>
        </w:tc>
      </w:tr>
      <w:tr>
        <w:tc>
          <w:tcPr/>
          <w:p>
            <w:pPr>
              <w:pStyle w:val="Compact"/>
              <w:jc w:val="left"/>
            </w:pPr>
            <w:r>
              <w:t xml:space="preserve">C1, C2, C3</w:t>
            </w:r>
          </w:p>
        </w:tc>
        <w:tc>
          <w:tcPr/>
          <w:p>
            <w:pPr>
              <w:pStyle w:val="Compact"/>
              <w:jc w:val="left"/>
            </w:pPr>
            <w:r>
              <w:t xml:space="preserve">Retention floor, erasure right, and deletion ceiling constraints</w:t>
            </w:r>
          </w:p>
        </w:tc>
      </w:tr>
    </w:tbl>
    <w:p>
      <w:pPr>
        <w:pStyle w:val="BodyText"/>
      </w:pPr>
      <w:r>
        <w:rPr>
          <w:iCs/>
          <w:i/>
        </w:rPr>
        <w:t xml:space="preserve">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w:t>
            </w:r>
          </w:p>
        </w:tc>
      </w:tr>
      <w:tr>
        <w:tc>
          <w:tcPr/>
          <w:p>
            <w:pPr>
              <w:pStyle w:val="Compact"/>
              <w:jc w:val="left"/>
            </w:pPr>
            <w:r>
              <w:t xml:space="preserve">ATNA</w:t>
            </w:r>
          </w:p>
        </w:tc>
        <w:tc>
          <w:tcPr/>
          <w:p>
            <w:pPr>
              <w:pStyle w:val="Compact"/>
              <w:jc w:val="left"/>
            </w:pPr>
            <w:r>
              <w:t xml:space="preserve">Audit Trail and Node Authentication (IHE integration profile)</w:t>
            </w:r>
          </w:p>
        </w:tc>
      </w:tr>
      <w:tr>
        <w:tc>
          <w:tcPr/>
          <w:p>
            <w:pPr>
              <w:pStyle w:val="Compact"/>
              <w:jc w:val="left"/>
            </w:pPr>
            <w:r>
              <w:t xml:space="preserve">CEF</w:t>
            </w:r>
          </w:p>
        </w:tc>
        <w:tc>
          <w:tcPr/>
          <w:p>
            <w:pPr>
              <w:pStyle w:val="Compact"/>
              <w:jc w:val="left"/>
            </w:pPr>
            <w:r>
              <w:t xml:space="preserve">Coordinated Enforcement Framework (EDPB)</w:t>
            </w:r>
          </w:p>
        </w:tc>
      </w:tr>
      <w:tr>
        <w:tc>
          <w:tcPr/>
          <w:p>
            <w:pPr>
              <w:pStyle w:val="Compact"/>
              <w:jc w:val="left"/>
            </w:pPr>
            <w:r>
              <w:t xml:space="preserve">DSR</w:t>
            </w:r>
          </w:p>
        </w:tc>
        <w:tc>
          <w:tcPr/>
          <w:p>
            <w:pPr>
              <w:pStyle w:val="Compact"/>
              <w:jc w:val="left"/>
            </w:pPr>
            <w:r>
              <w:t xml:space="preserve">Design Science Research</w:t>
            </w:r>
          </w:p>
        </w:tc>
      </w:tr>
      <w:tr>
        <w:tc>
          <w:tcPr/>
          <w:p>
            <w:pPr>
              <w:pStyle w:val="Compact"/>
              <w:jc w:val="left"/>
            </w:pPr>
            <w:r>
              <w:t xml:space="preserve">EDPB</w:t>
            </w:r>
          </w:p>
        </w:tc>
        <w:tc>
          <w:tcPr/>
          <w:p>
            <w:pPr>
              <w:pStyle w:val="Compact"/>
              <w:jc w:val="left"/>
            </w:pPr>
            <w:r>
              <w:t xml:space="preserve">European Data Protection Board</w:t>
            </w:r>
          </w:p>
        </w:tc>
      </w:tr>
      <w:tr>
        <w:tc>
          <w:tcPr/>
          <w:p>
            <w:pPr>
              <w:pStyle w:val="Compact"/>
              <w:jc w:val="left"/>
            </w:pPr>
            <w:r>
              <w:t xml:space="preserve">EEA</w:t>
            </w:r>
          </w:p>
        </w:tc>
        <w:tc>
          <w:tcPr/>
          <w:p>
            <w:pPr>
              <w:pStyle w:val="Compact"/>
              <w:jc w:val="left"/>
            </w:pPr>
            <w:r>
              <w:t xml:space="preserve">European Economic Area</w:t>
            </w:r>
          </w:p>
        </w:tc>
      </w:tr>
      <w:tr>
        <w:tc>
          <w:tcPr/>
          <w:p>
            <w:pPr>
              <w:pStyle w:val="Compact"/>
              <w:jc w:val="left"/>
            </w:pPr>
            <w:r>
              <w:t xml:space="preserve">EEHRxF</w:t>
            </w:r>
          </w:p>
        </w:tc>
        <w:tc>
          <w:tcPr/>
          <w:p>
            <w:pPr>
              <w:pStyle w:val="Compact"/>
              <w:jc w:val="left"/>
            </w:pPr>
            <w:r>
              <w:t xml:space="preserve">European Electronic Health Record Exchange Format</w:t>
            </w:r>
          </w:p>
        </w:tc>
      </w:tr>
      <w:tr>
        <w:tc>
          <w:tcPr/>
          <w:p>
            <w:pPr>
              <w:pStyle w:val="Compact"/>
              <w:jc w:val="left"/>
            </w:pPr>
            <w:r>
              <w:t xml:space="preserve">eHDSI</w:t>
            </w:r>
          </w:p>
        </w:tc>
        <w:tc>
          <w:tcPr/>
          <w:p>
            <w:pPr>
              <w:pStyle w:val="Compact"/>
              <w:jc w:val="left"/>
            </w:pPr>
            <w:r>
              <w:t xml:space="preserve">eHealth Digital Service Infrastructure</w:t>
            </w:r>
          </w:p>
        </w:tc>
      </w:tr>
      <w:tr>
        <w:tc>
          <w:tcPr/>
          <w:p>
            <w:pPr>
              <w:pStyle w:val="Compact"/>
              <w:jc w:val="left"/>
            </w:pPr>
            <w:r>
              <w:t xml:space="preserve">eHMSEG</w:t>
            </w:r>
          </w:p>
        </w:tc>
        <w:tc>
          <w:tcPr/>
          <w:p>
            <w:pPr>
              <w:pStyle w:val="Compact"/>
              <w:jc w:val="left"/>
            </w:pPr>
            <w:r>
              <w:t xml:space="preserve">eHealth Member States Expert Group</w:t>
            </w:r>
          </w:p>
        </w:tc>
      </w:tr>
      <w:tr>
        <w:tc>
          <w:tcPr/>
          <w:p>
            <w:pPr>
              <w:pStyle w:val="Compact"/>
              <w:jc w:val="left"/>
            </w:pPr>
            <w:r>
              <w:t xml:space="preserve">eHOMB</w:t>
            </w:r>
          </w:p>
        </w:tc>
        <w:tc>
          <w:tcPr/>
          <w:p>
            <w:pPr>
              <w:pStyle w:val="Compact"/>
              <w:jc w:val="left"/>
            </w:pPr>
            <w:r>
              <w:t xml:space="preserve">eHealth Operational Management Board</w:t>
            </w:r>
          </w:p>
        </w:tc>
      </w:tr>
      <w:tr>
        <w:tc>
          <w:tcPr/>
          <w:p>
            <w:pPr>
              <w:pStyle w:val="Compact"/>
              <w:jc w:val="left"/>
            </w:pPr>
            <w:r>
              <w:t xml:space="preserve">EHDS</w:t>
            </w:r>
          </w:p>
        </w:tc>
        <w:tc>
          <w:tcPr/>
          <w:p>
            <w:pPr>
              <w:pStyle w:val="Compact"/>
              <w:jc w:val="left"/>
            </w:pPr>
            <w:r>
              <w:t xml:space="preserve">European Health Data Space</w:t>
            </w:r>
          </w:p>
        </w:tc>
      </w:tr>
      <w:tr>
        <w:tc>
          <w:tcPr/>
          <w:p>
            <w:pPr>
              <w:pStyle w:val="Compact"/>
              <w:jc w:val="left"/>
            </w:pPr>
            <w:r>
              <w:t xml:space="preserve">FHIR</w:t>
            </w:r>
          </w:p>
        </w:tc>
        <w:tc>
          <w:tcPr/>
          <w:p>
            <w:pPr>
              <w:pStyle w:val="Compact"/>
              <w:jc w:val="left"/>
            </w:pPr>
            <w:r>
              <w:t xml:space="preserve">Fast Healthcare Interoperability Resources (HL7)</w:t>
            </w:r>
          </w:p>
        </w:tc>
      </w:tr>
      <w:tr>
        <w:tc>
          <w:tcPr/>
          <w:p>
            <w:pPr>
              <w:pStyle w:val="Compact"/>
              <w:jc w:val="left"/>
            </w:pPr>
            <w:r>
              <w:t xml:space="preserve">GDPR</w:t>
            </w:r>
          </w:p>
        </w:tc>
        <w:tc>
          <w:tcPr/>
          <w:p>
            <w:pPr>
              <w:pStyle w:val="Compact"/>
              <w:jc w:val="left"/>
            </w:pPr>
            <w:r>
              <w:t xml:space="preserve">General Data Protection Regulation (EU) 2016/679</w:t>
            </w:r>
          </w:p>
        </w:tc>
      </w:tr>
      <w:tr>
        <w:tc>
          <w:tcPr/>
          <w:p>
            <w:pPr>
              <w:pStyle w:val="Compact"/>
              <w:jc w:val="left"/>
            </w:pPr>
            <w:r>
              <w:t xml:space="preserve">HDAB</w:t>
            </w:r>
          </w:p>
        </w:tc>
        <w:tc>
          <w:tcPr/>
          <w:p>
            <w:pPr>
              <w:pStyle w:val="Compact"/>
              <w:jc w:val="left"/>
            </w:pPr>
            <w:r>
              <w:t xml:space="preserve">Health Data Access Body</w:t>
            </w:r>
          </w:p>
        </w:tc>
      </w:tr>
      <w:tr>
        <w:tc>
          <w:tcPr/>
          <w:p>
            <w:pPr>
              <w:pStyle w:val="Compact"/>
              <w:jc w:val="left"/>
            </w:pPr>
            <w:r>
              <w:t xml:space="preserve">HSM</w:t>
            </w:r>
          </w:p>
        </w:tc>
        <w:tc>
          <w:tcPr/>
          <w:p>
            <w:pPr>
              <w:pStyle w:val="Compact"/>
              <w:jc w:val="left"/>
            </w:pPr>
            <w:r>
              <w:t xml:space="preserve">Hardware Security Module</w:t>
            </w:r>
          </w:p>
        </w:tc>
      </w:tr>
      <w:tr>
        <w:tc>
          <w:tcPr/>
          <w:p>
            <w:pPr>
              <w:pStyle w:val="Compact"/>
              <w:jc w:val="left"/>
            </w:pPr>
            <w:r>
              <w:t xml:space="preserve">IHE</w:t>
            </w:r>
          </w:p>
        </w:tc>
        <w:tc>
          <w:tcPr/>
          <w:p>
            <w:pPr>
              <w:pStyle w:val="Compact"/>
              <w:jc w:val="left"/>
            </w:pPr>
            <w:r>
              <w:t xml:space="preserve">Integrating the Healthcare Enterprise</w:t>
            </w:r>
          </w:p>
        </w:tc>
      </w:tr>
      <w:tr>
        <w:tc>
          <w:tcPr/>
          <w:p>
            <w:pPr>
              <w:pStyle w:val="Compact"/>
              <w:jc w:val="left"/>
            </w:pPr>
            <w:r>
              <w:t xml:space="preserve">NCPeH</w:t>
            </w:r>
          </w:p>
        </w:tc>
        <w:tc>
          <w:tcPr/>
          <w:p>
            <w:pPr>
              <w:pStyle w:val="Compact"/>
              <w:jc w:val="left"/>
            </w:pPr>
            <w:r>
              <w:t xml:space="preserve">National Contact Point for eHealth</w:t>
            </w:r>
          </w:p>
        </w:tc>
      </w:tr>
      <w:tr>
        <w:tc>
          <w:tcPr/>
          <w:p>
            <w:pPr>
              <w:pStyle w:val="Compact"/>
              <w:jc w:val="left"/>
            </w:pPr>
            <w:r>
              <w:t xml:space="preserve">NHN</w:t>
            </w:r>
          </w:p>
        </w:tc>
        <w:tc>
          <w:tcPr/>
          <w:p>
            <w:pPr>
              <w:pStyle w:val="Compact"/>
              <w:jc w:val="left"/>
            </w:pPr>
            <w:r>
              <w:t xml:space="preserve">Norsk Helsenett SF</w:t>
            </w:r>
          </w:p>
        </w:tc>
      </w:tr>
      <w:tr>
        <w:tc>
          <w:tcPr/>
          <w:p>
            <w:pPr>
              <w:pStyle w:val="Compact"/>
              <w:jc w:val="left"/>
            </w:pPr>
            <w:r>
              <w:t xml:space="preserve">NIST</w:t>
            </w:r>
          </w:p>
        </w:tc>
        <w:tc>
          <w:tcPr/>
          <w:p>
            <w:pPr>
              <w:pStyle w:val="Compact"/>
              <w:jc w:val="left"/>
            </w:pPr>
            <w:r>
              <w:t xml:space="preserve">National Institute of Standards and Technology (US)</w:t>
            </w:r>
          </w:p>
        </w:tc>
      </w:tr>
      <w:tr>
        <w:tc>
          <w:tcPr/>
          <w:p>
            <w:pPr>
              <w:pStyle w:val="Compact"/>
              <w:jc w:val="left"/>
            </w:pPr>
            <w:r>
              <w:t xml:space="preserve">NORTRE</w:t>
            </w:r>
          </w:p>
        </w:tc>
        <w:tc>
          <w:tcPr/>
          <w:p>
            <w:pPr>
              <w:pStyle w:val="Compact"/>
              <w:jc w:val="left"/>
            </w:pPr>
            <w:r>
              <w:t xml:space="preserve">Norwegian Trusted Research Environments</w:t>
            </w:r>
          </w:p>
        </w:tc>
      </w:tr>
      <w:tr>
        <w:tc>
          <w:tcPr/>
          <w:p>
            <w:pPr>
              <w:pStyle w:val="Compact"/>
              <w:jc w:val="left"/>
            </w:pPr>
            <w:r>
              <w:t xml:space="preserve">OpenNCP</w:t>
            </w:r>
          </w:p>
        </w:tc>
        <w:tc>
          <w:tcPr/>
          <w:p>
            <w:pPr>
              <w:pStyle w:val="Compact"/>
              <w:jc w:val="left"/>
            </w:pPr>
            <w:r>
              <w:t xml:space="preserve">Open National Contact Point software stack</w:t>
            </w:r>
          </w:p>
        </w:tc>
      </w:tr>
      <w:tr>
        <w:tc>
          <w:tcPr/>
          <w:p>
            <w:pPr>
              <w:pStyle w:val="Compact"/>
              <w:jc w:val="left"/>
            </w:pPr>
            <w:r>
              <w:t xml:space="preserve">PoSE</w:t>
            </w:r>
          </w:p>
        </w:tc>
        <w:tc>
          <w:tcPr/>
          <w:p>
            <w:pPr>
              <w:pStyle w:val="Compact"/>
              <w:jc w:val="left"/>
            </w:pPr>
            <w:r>
              <w:t xml:space="preserve">Proof of Secure Erasure</w:t>
            </w:r>
          </w:p>
        </w:tc>
      </w:tr>
      <w:tr>
        <w:tc>
          <w:tcPr/>
          <w:p>
            <w:pPr>
              <w:pStyle w:val="Compact"/>
              <w:jc w:val="left"/>
            </w:pPr>
            <w:r>
              <w:t xml:space="preserve">SoK</w:t>
            </w:r>
          </w:p>
        </w:tc>
        <w:tc>
          <w:tcPr/>
          <w:p>
            <w:pPr>
              <w:pStyle w:val="Compact"/>
              <w:jc w:val="left"/>
            </w:pPr>
            <w:r>
              <w:t xml:space="preserve">Systematization of Knowledge</w:t>
            </w:r>
          </w:p>
        </w:tc>
      </w:tr>
      <w:tr>
        <w:tc>
          <w:tcPr/>
          <w:p>
            <w:pPr>
              <w:pStyle w:val="Compact"/>
              <w:jc w:val="left"/>
            </w:pPr>
            <w:r>
              <w:t xml:space="preserve">SPE</w:t>
            </w:r>
          </w:p>
        </w:tc>
        <w:tc>
          <w:tcPr/>
          <w:p>
            <w:pPr>
              <w:pStyle w:val="Compact"/>
              <w:jc w:val="left"/>
            </w:pPr>
            <w:r>
              <w:t xml:space="preserve">Secure Processing Environment</w:t>
            </w:r>
          </w:p>
        </w:tc>
      </w:tr>
      <w:tr>
        <w:tc>
          <w:tcPr/>
          <w:p>
            <w:pPr>
              <w:pStyle w:val="Compact"/>
              <w:jc w:val="left"/>
            </w:pPr>
            <w:r>
              <w:t xml:space="preserve">SPUHiN</w:t>
            </w:r>
          </w:p>
        </w:tc>
        <w:tc>
          <w:tcPr/>
          <w:p>
            <w:pPr>
              <w:pStyle w:val="Compact"/>
              <w:jc w:val="left"/>
            </w:pPr>
            <w:r>
              <w:t xml:space="preserve">Secure Provision and Use of Health Data in Norway (project)</w:t>
            </w:r>
          </w:p>
        </w:tc>
      </w:tr>
      <w:tr>
        <w:tc>
          <w:tcPr/>
          <w:p>
            <w:pPr>
              <w:pStyle w:val="Compact"/>
              <w:jc w:val="left"/>
            </w:pPr>
            <w:r>
              <w:t xml:space="preserve">TEHDAS2</w:t>
            </w:r>
          </w:p>
        </w:tc>
        <w:tc>
          <w:tcPr/>
          <w:p>
            <w:pPr>
              <w:pStyle w:val="Compact"/>
              <w:jc w:val="left"/>
            </w:pPr>
            <w:r>
              <w:t xml:space="preserve">Towards European Health Data Space, Joint Action 2</w:t>
            </w:r>
          </w:p>
        </w:tc>
      </w:tr>
      <w:tr>
        <w:tc>
          <w:tcPr/>
          <w:p>
            <w:pPr>
              <w:pStyle w:val="Compact"/>
              <w:jc w:val="left"/>
            </w:pPr>
            <w:r>
              <w:t xml:space="preserve">TRF</w:t>
            </w:r>
          </w:p>
        </w:tc>
        <w:tc>
          <w:tcPr/>
          <w:p>
            <w:pPr>
              <w:pStyle w:val="Compact"/>
              <w:jc w:val="left"/>
            </w:pPr>
            <w:r>
              <w:t xml:space="preserve">Tri-Lateral Retention Feasibility (Model)</w:t>
            </w:r>
          </w:p>
        </w:tc>
      </w:tr>
      <w:tr>
        <w:tc>
          <w:tcPr/>
          <w:p>
            <w:pPr>
              <w:pStyle w:val="Compact"/>
              <w:jc w:val="left"/>
            </w:pPr>
            <w:r>
              <w:t xml:space="preserve">zk-SNARK</w:t>
            </w:r>
          </w:p>
        </w:tc>
        <w:tc>
          <w:tcPr/>
          <w:p>
            <w:pPr>
              <w:pStyle w:val="Compact"/>
              <w:jc w:val="left"/>
            </w:pPr>
            <w:r>
              <w:t xml:space="preserve">Zero-Knowledge Succinct Non-Interactive Argument of Knowledge</w:t>
            </w:r>
          </w:p>
        </w:tc>
      </w:tr>
    </w:tbl>
    <w:p>
      <w:pPr>
        <w:pStyle w:val="BodyText"/>
      </w:pPr>
      <w:r>
        <w:rPr>
          <w:iCs/>
          <w:i/>
        </w:rPr>
        <w:t xml:space="preserve">A note on the project name.</w:t>
      </w:r>
      <w:r>
        <w:t xml:space="preserve"> </w:t>
      </w:r>
      <w:r>
        <w:t xml:space="preserve">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Chapter 1, Section 1.6. Chapter 7, Section 7.5 identifies the distinct problem for which zero-knowledge arguments do become necessary.</w:t>
      </w:r>
    </w:p>
    <w:p>
      <w:r>
        <w:pict>
          <v:rect style="width:0;height:1.5pt" o:hralign="center" o:hrstd="t" o:hr="t"/>
        </w:pict>
      </w:r>
    </w:p>
    <w:bookmarkEnd w:id="26"/>
    <w:bookmarkStart w:id="27" w:name="version-and-change-record"/>
    <w:p>
      <w:pPr>
        <w:pStyle w:val="Heading2"/>
      </w:pPr>
      <w:r>
        <w:t xml:space="preserve">Version and Change Record</w:t>
      </w:r>
    </w:p>
    <w:p>
      <w:pPr>
        <w:pStyle w:val="FirstParagraph"/>
      </w:pPr>
      <w:r>
        <w:t xml:space="preserve">This thesis and its artefact are versioned together. The table records what changed, when, and what verified it, so that a reader comparing the document against the published repository can tell which of the two moved if a figure disagrees. The full trail, with an identifier for every individual change, is maintained alongside the artefact.</w:t>
      </w:r>
    </w:p>
    <w:p>
      <w:pPr>
        <w:pStyle w:val="BodyText"/>
      </w:pPr>
      <w:r>
        <w:rPr>
          <w:iCs/>
          <w:i/>
        </w:rPr>
        <w:t xml:space="preserve">Table F.1. Document and artefact versions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Document</w:t>
            </w:r>
          </w:p>
        </w:tc>
        <w:tc>
          <w:tcPr/>
          <w:p>
            <w:pPr>
              <w:pStyle w:val="Compact"/>
              <w:jc w:val="left"/>
            </w:pPr>
            <w:r>
              <w:t xml:space="preserve">Artefact</w:t>
            </w:r>
          </w:p>
        </w:tc>
        <w:tc>
          <w:tcPr/>
          <w:p>
            <w:pPr>
              <w:pStyle w:val="Compact"/>
              <w:jc w:val="left"/>
            </w:pPr>
            <w:r>
              <w:t xml:space="preserve">What changed</w:t>
            </w:r>
          </w:p>
        </w:tc>
        <w:tc>
          <w:tcPr/>
          <w:p>
            <w:pPr>
              <w:pStyle w:val="Compact"/>
              <w:jc w:val="left"/>
            </w:pPr>
            <w:r>
              <w:t xml:space="preserve">Verification</w:t>
            </w:r>
          </w:p>
        </w:tc>
      </w:tr>
      <w:tr>
        <w:tc>
          <w:tcPr/>
          <w:p>
            <w:pPr>
              <w:pStyle w:val="Compact"/>
              <w:jc w:val="left"/>
            </w:pPr>
            <w:r>
              <w:t xml:space="preserve">16 Sept 2026</w:t>
            </w:r>
          </w:p>
        </w:tc>
        <w:tc>
          <w:tcPr/>
          <w:p>
            <w:pPr>
              <w:pStyle w:val="Compact"/>
              <w:jc w:val="left"/>
            </w:pPr>
            <w:r>
              <w:t xml:space="preserve">Chapters 1–7 assembled</w:t>
            </w:r>
          </w:p>
        </w:tc>
        <w:tc>
          <w:tcPr/>
          <w:p>
            <w:pPr>
              <w:pStyle w:val="Compact"/>
              <w:jc w:val="left"/>
            </w:pPr>
            <w:r>
              <w:rPr>
                <w:rStyle w:val="VerbatimChar"/>
              </w:rPr>
              <w:t xml:space="preserve">trf_checker.py</w:t>
            </w:r>
            <w:r>
              <w:t xml:space="preserve">,</w:t>
            </w:r>
            <w:r>
              <w:t xml:space="preserve"> </w:t>
            </w:r>
            <w:r>
              <w:rPr>
                <w:rStyle w:val="VerbatimChar"/>
              </w:rPr>
              <w:t xml:space="preserve">synthea_layer.py</w:t>
            </w:r>
          </w:p>
        </w:tc>
        <w:tc>
          <w:tcPr/>
          <w:p>
            <w:pPr>
              <w:pStyle w:val="Compact"/>
              <w:jc w:val="left"/>
            </w:pPr>
            <w:r>
              <w:t xml:space="preserve">First complete draft; the checker and the realism layer written and run</w:t>
            </w:r>
          </w:p>
        </w:tc>
        <w:tc>
          <w:tcPr/>
          <w:p>
            <w:pPr>
              <w:pStyle w:val="Compact"/>
              <w:jc w:val="left"/>
            </w:pPr>
            <w:r>
              <w:t xml:space="preserve">Checker output recorded</w:t>
            </w:r>
          </w:p>
        </w:tc>
      </w:tr>
      <w:tr>
        <w:tc>
          <w:tcPr/>
          <w:p>
            <w:pPr>
              <w:pStyle w:val="Compact"/>
              <w:jc w:val="left"/>
            </w:pPr>
            <w:r>
              <w:t xml:space="preserve">18 Sept 2026</w:t>
            </w:r>
          </w:p>
        </w:tc>
        <w:tc>
          <w:tcPr/>
          <w:p>
            <w:pPr>
              <w:pStyle w:val="Compact"/>
              <w:jc w:val="left"/>
            </w:pPr>
            <w:r>
              <w:t xml:space="preserve">Appendix A written</w:t>
            </w:r>
          </w:p>
        </w:tc>
        <w:tc>
          <w:tcPr/>
          <w:p>
            <w:pPr>
              <w:pStyle w:val="Compact"/>
              <w:jc w:val="left"/>
            </w:pPr>
            <w:r>
              <w:t xml:space="preserve">—</w:t>
            </w:r>
          </w:p>
        </w:tc>
        <w:tc>
          <w:tcPr/>
          <w:p>
            <w:pPr>
              <w:pStyle w:val="Compact"/>
              <w:jc w:val="left"/>
            </w:pPr>
            <w:r>
              <w:t xml:space="preserve">Provenance of the synthetic cohort established by inspecting the bundles rather than by recollection</w:t>
            </w:r>
          </w:p>
        </w:tc>
        <w:tc>
          <w:tcPr/>
          <w:p>
            <w:pPr>
              <w:pStyle w:val="Compact"/>
              <w:jc w:val="left"/>
            </w:pPr>
            <w:r>
              <w:t xml:space="preserve">Six Synthea markers confirmed in every bundle</w:t>
            </w:r>
          </w:p>
        </w:tc>
      </w:tr>
      <w:tr>
        <w:tc>
          <w:tcPr/>
          <w:p>
            <w:pPr>
              <w:pStyle w:val="Compact"/>
              <w:jc w:val="left"/>
            </w:pPr>
            <w:r>
              <w:t xml:space="preserve">19 Sept 2026</w:t>
            </w:r>
          </w:p>
        </w:tc>
        <w:tc>
          <w:tcPr/>
          <w:p>
            <w:pPr>
              <w:pStyle w:val="Compact"/>
              <w:jc w:val="left"/>
            </w:pPr>
            <w:r>
              <w:t xml:space="preserve">§5.5a added</w:t>
            </w:r>
          </w:p>
        </w:tc>
        <w:tc>
          <w:tcPr/>
          <w:p>
            <w:pPr>
              <w:pStyle w:val="Compact"/>
              <w:jc w:val="left"/>
            </w:pPr>
            <w:r>
              <w:rPr>
                <w:rStyle w:val="VerbatimChar"/>
              </w:rPr>
              <w:t xml:space="preserve">--delta-witness</w:t>
            </w:r>
            <w:r>
              <w:t xml:space="preserve"> </w:t>
            </w:r>
            <w:r>
              <w:t xml:space="preserve">added</w:t>
            </w:r>
          </w:p>
        </w:tc>
        <w:tc>
          <w:tcPr/>
          <w:p>
            <w:pPr>
              <w:pStyle w:val="Compact"/>
              <w:jc w:val="left"/>
            </w:pPr>
            <w:r>
              <w:t xml:space="preserve">The erasure response period tested at δ = 3 rather than asserted</w:t>
            </w:r>
          </w:p>
        </w:tc>
        <w:tc>
          <w:tcPr/>
          <w:p>
            <w:pPr>
              <w:pStyle w:val="Compact"/>
              <w:jc w:val="left"/>
            </w:pPr>
            <w:r>
              <w:t xml:space="preserve">Table 5.2a produced by execution</w:t>
            </w:r>
          </w:p>
        </w:tc>
      </w:tr>
      <w:tr>
        <w:tc>
          <w:tcPr/>
          <w:p>
            <w:pPr>
              <w:pStyle w:val="Compact"/>
              <w:jc w:val="left"/>
            </w:pPr>
            <w:r>
              <w:t xml:space="preserve">21 Sept 2026</w:t>
            </w:r>
          </w:p>
        </w:tc>
        <w:tc>
          <w:tcPr/>
          <w:p>
            <w:pPr>
              <w:pStyle w:val="Compact"/>
              <w:jc w:val="left"/>
            </w:pPr>
            <w:r>
              <w:t xml:space="preserve">§4.8 terminal transition; mathematics to LaTeX</w:t>
            </w:r>
          </w:p>
        </w:tc>
        <w:tc>
          <w:tcPr/>
          <w:p>
            <w:pPr>
              <w:pStyle w:val="Compact"/>
              <w:jc w:val="left"/>
            </w:pPr>
            <w:r>
              <w:t xml:space="preserve">Salt destroyed with the key</w:t>
            </w:r>
          </w:p>
        </w:tc>
        <w:tc>
          <w:tcPr/>
          <w:p>
            <w:pPr>
              <w:pStyle w:val="Compact"/>
              <w:jc w:val="left"/>
            </w:pPr>
            <w:r>
              <w:t xml:space="preserve">A reviewer-found gap at the end of the record’s life closed; 159 equations converted</w:t>
            </w:r>
          </w:p>
        </w:tc>
        <w:tc>
          <w:tcPr/>
          <w:p>
            <w:pPr>
              <w:pStyle w:val="Compact"/>
              <w:jc w:val="left"/>
            </w:pPr>
            <w:r>
              <w:t xml:space="preserve">Checker output unchanged, byte for byte</w:t>
            </w:r>
          </w:p>
        </w:tc>
      </w:tr>
      <w:tr>
        <w:tc>
          <w:tcPr/>
          <w:p>
            <w:pPr>
              <w:pStyle w:val="Compact"/>
              <w:jc w:val="left"/>
            </w:pPr>
            <w:r>
              <w:t xml:space="preserve">23 Sept 2026</w:t>
            </w:r>
          </w:p>
        </w:tc>
        <w:tc>
          <w:tcPr/>
          <w:p>
            <w:pPr>
              <w:pStyle w:val="Compact"/>
              <w:jc w:val="left"/>
            </w:pPr>
            <w:r>
              <w:t xml:space="preserve">—</w:t>
            </w:r>
          </w:p>
        </w:tc>
        <w:tc>
          <w:tcPr/>
          <w:p>
            <w:pPr>
              <w:pStyle w:val="Compact"/>
              <w:jc w:val="left"/>
            </w:pPr>
            <w:r>
              <w:t xml:space="preserve">Repository published</w:t>
            </w:r>
          </w:p>
        </w:tc>
        <w:tc>
          <w:tcPr/>
          <w:p>
            <w:pPr>
              <w:pStyle w:val="Compact"/>
              <w:jc w:val="left"/>
            </w:pPr>
            <w:r>
              <w:t xml:space="preserve">Code and documents pushed to GitHub; demonstration deployed</w:t>
            </w:r>
          </w:p>
        </w:tc>
        <w:tc>
          <w:tcPr/>
          <w:p>
            <w:pPr>
              <w:pStyle w:val="Compact"/>
              <w:jc w:val="left"/>
            </w:pPr>
            <w:r>
              <w:t xml:space="preserve">—</w:t>
            </w:r>
          </w:p>
        </w:tc>
      </w:tr>
      <w:tr>
        <w:tc>
          <w:tcPr/>
          <w:p>
            <w:pPr>
              <w:pStyle w:val="Compact"/>
              <w:jc w:val="left"/>
            </w:pPr>
            <w:r>
              <w:t xml:space="preserve">28 Sept 2026</w:t>
            </w:r>
          </w:p>
        </w:tc>
        <w:tc>
          <w:tcPr/>
          <w:p>
            <w:pPr>
              <w:pStyle w:val="Compact"/>
              <w:jc w:val="left"/>
            </w:pPr>
            <w:r>
              <w:t xml:space="preserve">§5.2 line counts corrected; §6.9a added; Appendix A extended</w:t>
            </w:r>
          </w:p>
        </w:tc>
        <w:tc>
          <w:tcPr/>
          <w:p>
            <w:pPr>
              <w:pStyle w:val="Compact"/>
              <w:jc w:val="left"/>
            </w:pPr>
            <w:r>
              <w:t xml:space="preserve">Eight-bundle subset committed; Tab 5 added; five recorded runs committed</w:t>
            </w:r>
          </w:p>
        </w:tc>
        <w:tc>
          <w:tcPr/>
          <w:p>
            <w:pPr>
              <w:pStyle w:val="Compact"/>
              <w:jc w:val="left"/>
            </w:pPr>
            <w:r>
              <w:t xml:space="preserve">The dataset the thesis reports on made obtainable; the two robustness results given a viewer; the cross-sector instance carried into the discussion</w:t>
            </w:r>
          </w:p>
        </w:tc>
        <w:tc>
          <w:tcPr/>
          <w:p>
            <w:pPr>
              <w:pStyle w:val="Compact"/>
              <w:jc w:val="left"/>
            </w:pPr>
            <w:r>
              <w:t xml:space="preserve">Verified from a fresh clone: checker byte-identical to its recorded run, realism layer 891 bytes and six identical measures</w:t>
            </w:r>
          </w:p>
        </w:tc>
      </w:tr>
      <w:tr>
        <w:tc>
          <w:tcPr/>
          <w:p>
            <w:pPr>
              <w:pStyle w:val="Compact"/>
              <w:jc w:val="left"/>
            </w:pPr>
            <w:r>
              <w:t xml:space="preserve">28 Sept 2026</w:t>
            </w:r>
          </w:p>
        </w:tc>
        <w:tc>
          <w:tcPr/>
          <w:p>
            <w:pPr>
              <w:pStyle w:val="Compact"/>
              <w:jc w:val="left"/>
            </w:pPr>
            <w:r>
              <w:t xml:space="preserve">Bibliography linked</w:t>
            </w:r>
          </w:p>
        </w:tc>
        <w:tc>
          <w:tcPr/>
          <w:p>
            <w:pPr>
              <w:pStyle w:val="Compact"/>
              <w:jc w:val="left"/>
            </w:pPr>
            <w:r>
              <w:t xml:space="preserve">—</w:t>
            </w:r>
          </w:p>
        </w:tc>
        <w:tc>
          <w:tcPr/>
          <w:p>
            <w:pPr>
              <w:pStyle w:val="Compact"/>
              <w:jc w:val="left"/>
            </w:pPr>
            <w:r>
              <w:t xml:space="preserve">Every entry given a DOI or URL that was fetched; two entries removed as documents that do not exist as cited; six citations corrected on year, title or author</w:t>
            </w:r>
          </w:p>
        </w:tc>
        <w:tc>
          <w:tcPr/>
          <w:p>
            <w:pPr>
              <w:pStyle w:val="Compact"/>
              <w:jc w:val="left"/>
            </w:pPr>
            <w:r>
              <w:t xml:space="preserve">67 of 67 entries carry a locator</w:t>
            </w:r>
          </w:p>
        </w:tc>
      </w:tr>
    </w:tbl>
    <w:p>
      <w:pPr>
        <w:pStyle w:val="BodyText"/>
      </w:pPr>
      <w:r>
        <w:rPr>
          <w:iCs/>
          <w:i/>
        </w:rPr>
        <w:t xml:space="preserve">Table F.2. The artefact at the date of submission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Lines</w:t>
            </w:r>
          </w:p>
        </w:tc>
        <w:tc>
          <w:tcPr/>
          <w:p>
            <w:pPr>
              <w:pStyle w:val="Compact"/>
              <w:jc w:val="left"/>
            </w:pPr>
            <w:r>
              <w:t xml:space="preserve">Reports a thesis figure?</w:t>
            </w:r>
          </w:p>
        </w:tc>
      </w:tr>
      <w:tr>
        <w:tc>
          <w:tcPr/>
          <w:p>
            <w:pPr>
              <w:pStyle w:val="Compact"/>
              <w:jc w:val="left"/>
            </w:pPr>
            <w:r>
              <w:rPr>
                <w:rStyle w:val="VerbatimChar"/>
              </w:rPr>
              <w:t xml:space="preserve">trf_checker.py</w:t>
            </w:r>
          </w:p>
        </w:tc>
        <w:tc>
          <w:tcPr/>
          <w:p>
            <w:pPr>
              <w:pStyle w:val="Compact"/>
              <w:jc w:val="left"/>
            </w:pPr>
            <w:r>
              <w:t xml:space="preserve">363</w:t>
            </w:r>
          </w:p>
        </w:tc>
        <w:tc>
          <w:tcPr/>
          <w:p>
            <w:pPr>
              <w:pStyle w:val="Compact"/>
              <w:jc w:val="left"/>
            </w:pPr>
            <w:r>
              <w:t xml:space="preserve">Yes — Tables 5.1, 5.2a, 5.3</w:t>
            </w:r>
          </w:p>
        </w:tc>
      </w:tr>
      <w:tr>
        <w:tc>
          <w:tcPr/>
          <w:p>
            <w:pPr>
              <w:pStyle w:val="Compact"/>
              <w:jc w:val="left"/>
            </w:pPr>
            <w:r>
              <w:rPr>
                <w:rStyle w:val="VerbatimChar"/>
              </w:rPr>
              <w:t xml:space="preserve">synthea_layer.py</w:t>
            </w:r>
          </w:p>
        </w:tc>
        <w:tc>
          <w:tcPr/>
          <w:p>
            <w:pPr>
              <w:pStyle w:val="Compact"/>
              <w:jc w:val="left"/>
            </w:pPr>
            <w:r>
              <w:t xml:space="preserve">152</w:t>
            </w:r>
          </w:p>
        </w:tc>
        <w:tc>
          <w:tcPr/>
          <w:p>
            <w:pPr>
              <w:pStyle w:val="Compact"/>
              <w:jc w:val="left"/>
            </w:pPr>
            <w:r>
              <w:t xml:space="preserve">Yes — Table 5.4</w:t>
            </w:r>
          </w:p>
        </w:tc>
      </w:tr>
      <w:tr>
        <w:tc>
          <w:tcPr/>
          <w:p>
            <w:pPr>
              <w:pStyle w:val="Compact"/>
              <w:jc w:val="left"/>
            </w:pPr>
            <w:r>
              <w:rPr>
                <w:rStyle w:val="VerbatimChar"/>
              </w:rPr>
              <w:t xml:space="preserve">norwegian_layer.py</w:t>
            </w:r>
          </w:p>
        </w:tc>
        <w:tc>
          <w:tcPr/>
          <w:p>
            <w:pPr>
              <w:pStyle w:val="Compact"/>
              <w:jc w:val="left"/>
            </w:pPr>
            <w:r>
              <w:t xml:space="preserve">135</w:t>
            </w:r>
          </w:p>
        </w:tc>
        <w:tc>
          <w:tcPr/>
          <w:p>
            <w:pPr>
              <w:pStyle w:val="Compact"/>
              <w:jc w:val="left"/>
            </w:pPr>
            <w:r>
              <w:t xml:space="preserve">No — illustrative</w:t>
            </w:r>
          </w:p>
        </w:tc>
      </w:tr>
      <w:tr>
        <w:tc>
          <w:tcPr/>
          <w:p>
            <w:pPr>
              <w:pStyle w:val="Compact"/>
              <w:jc w:val="left"/>
            </w:pPr>
            <w:r>
              <w:rPr>
                <w:rStyle w:val="VerbatimChar"/>
              </w:rPr>
              <w:t xml:space="preserve">cross_sector_check.py</w:t>
            </w:r>
          </w:p>
        </w:tc>
        <w:tc>
          <w:tcPr/>
          <w:p>
            <w:pPr>
              <w:pStyle w:val="Compact"/>
              <w:jc w:val="left"/>
            </w:pPr>
            <w:r>
              <w:t xml:space="preserve">110</w:t>
            </w:r>
          </w:p>
        </w:tc>
        <w:tc>
          <w:tcPr/>
          <w:p>
            <w:pPr>
              <w:pStyle w:val="Compact"/>
              <w:jc w:val="left"/>
            </w:pPr>
            <w:r>
              <w:t xml:space="preserve">No — illustrative, discussed at §6.9a</w:t>
            </w:r>
          </w:p>
        </w:tc>
      </w:tr>
      <w:tr>
        <w:tc>
          <w:tcPr/>
          <w:p>
            <w:pPr>
              <w:pStyle w:val="Compact"/>
              <w:jc w:val="left"/>
            </w:pPr>
            <w:r>
              <w:rPr>
                <w:rStyle w:val="VerbatimChar"/>
              </w:rPr>
              <w:t xml:space="preserve">app.py</w:t>
            </w:r>
          </w:p>
        </w:tc>
        <w:tc>
          <w:tcPr/>
          <w:p>
            <w:pPr>
              <w:pStyle w:val="Compact"/>
              <w:jc w:val="left"/>
            </w:pPr>
            <w:r>
              <w:t xml:space="preserve">526</w:t>
            </w:r>
          </w:p>
        </w:tc>
        <w:tc>
          <w:tcPr/>
          <w:p>
            <w:pPr>
              <w:pStyle w:val="Compact"/>
              <w:jc w:val="left"/>
            </w:pPr>
            <w:r>
              <w:t xml:space="preserve">No — a viewer, never a source</w:t>
            </w:r>
          </w:p>
        </w:tc>
      </w:tr>
    </w:tbl>
    <w:p>
      <w:pPr>
        <w:pStyle w:val="BodyText"/>
      </w:pPr>
      <w:r>
        <w:t xml:space="preserve">Repository: https://github.com/Astheno-sphere/TRF · Demonstration: https://trfhimolde.streamlit.app/</w:t>
      </w:r>
    </w:p>
    <w:p>
      <w:pPr>
        <w:pStyle w:val="BodyText"/>
      </w:pPr>
      <w:r>
        <w:t xml:space="preserve">Published commits, most recent first:</w:t>
      </w:r>
    </w:p>
    <w:p>
      <w:pPr>
        <w:pStyle w:val="SourceCode"/>
      </w:pPr>
      <w:r>
        <w:rPr>
          <w:rStyle w:val="VerbatimChar"/>
        </w:rPr>
        <w:t xml:space="preserve">  0d855a7  28 Sep 2026  Add Tab 5 robustness checks and a recorded run per command</w:t>
      </w:r>
      <w:r>
        <w:br/>
      </w:r>
      <w:r>
        <w:rPr>
          <w:rStyle w:val="VerbatimChar"/>
        </w:rPr>
        <w:t xml:space="preserve">  88840a6  28 Sep 2026  Record R-09 to R-11 and refresh checksums</w:t>
      </w:r>
      <w:r>
        <w:br/>
      </w:r>
      <w:r>
        <w:rPr>
          <w:rStyle w:val="VerbatimChar"/>
        </w:rPr>
        <w:t xml:space="preserve">  cc0d7f3  28 Sep 2026  Appendix A: drop the norwegian/ path prefix</w:t>
      </w:r>
      <w:r>
        <w:br/>
      </w:r>
      <w:r>
        <w:rPr>
          <w:rStyle w:val="VerbatimChar"/>
        </w:rPr>
        <w:t xml:space="preserve">  d79b96f  28 Sep 2026  Ship the Synthea subset and repair the flattened upload</w:t>
      </w:r>
      <w:r>
        <w:br/>
      </w:r>
      <w:r>
        <w:rPr>
          <w:rStyle w:val="VerbatimChar"/>
        </w:rPr>
        <w:t xml:space="preserve">  03048f2  23 Sep 2026  Add files via upload</w:t>
      </w:r>
    </w:p>
    <w:p>
      <w:pPr>
        <w:pStyle w:val="FirstParagraph"/>
      </w:pPr>
      <w:r>
        <w:t xml:space="preserve">Two corrections are recorded here because they were made against the thesis’s own earlier claims rather than in response to a reviewer. An inference dating a source from the age of its web page was withdrawn, the page being updated in place and its age therefore saying nothing about its contents. And a statement that the artefact’s code carried a comment recommending a cryptographically secure random source was removed, no such comment existing; the salt’s reproducibility-only status is now stated directly instead.</w:t>
      </w:r>
    </w:p>
    <w:bookmarkEnd w:id="27"/>
    <w:bookmarkStart w:id="28" w:name="table-of-contents"/>
    <w:p>
      <w:pPr>
        <w:pStyle w:val="Heading2"/>
      </w:pPr>
      <w:r>
        <w:t xml:space="preserve">Table of Contents</w:t>
      </w:r>
    </w:p>
    <w:p>
      <w:pPr>
        <w:numPr>
          <w:ilvl w:val="0"/>
          <w:numId w:val="1001"/>
        </w:numPr>
        <w:pStyle w:val="Compact"/>
      </w:pPr>
      <w:r>
        <w:rPr>
          <w:iCs/>
          <w:i/>
        </w:rPr>
        <w:t xml:space="preserve">Introduction</w:t>
      </w:r>
      <w:r>
        <w:t xml:space="preserve">: background, problem statement, research questions, significance, scope, methodological approach, structure</w:t>
      </w:r>
    </w:p>
    <w:p>
      <w:pPr>
        <w:numPr>
          <w:ilvl w:val="0"/>
          <w:numId w:val="1001"/>
        </w:numPr>
        <w:pStyle w:val="Compact"/>
      </w:pPr>
      <w:r>
        <w:rPr>
          <w:iCs/>
          <w:i/>
        </w:rPr>
        <w:t xml:space="preserve">Literature Review and Theoretical Foundation</w:t>
      </w:r>
      <w:r>
        <w:t xml:space="preserve">: review strategy; cross-border landscape; the audit-retention versus erasure tension; cryptographic approaches; formal approaches to compliance verification; Norwegian secondary-use infrastructure; information-logistics framing; comparative analysis; research gaps; conceptual positioning</w:t>
      </w:r>
    </w:p>
    <w:p>
      <w:pPr>
        <w:numPr>
          <w:ilvl w:val="0"/>
          <w:numId w:val="1001"/>
        </w:numPr>
        <w:pStyle w:val="Compact"/>
      </w:pPr>
      <w:r>
        <w:rPr>
          <w:iCs/>
          <w:i/>
        </w:rPr>
        <w:t xml:space="preserve">Methodology and Research Design</w:t>
      </w:r>
      <w:r>
        <w:t xml:space="preserve">: design science paradigm; the adopted cycle; specification-and-demonstration with formal modelling; formal-modelling methodology; synthetic data; sandbox approach; validity, reliability and limitations; ethics</w:t>
      </w:r>
    </w:p>
    <w:p>
      <w:pPr>
        <w:numPr>
          <w:ilvl w:val="0"/>
          <w:numId w:val="1001"/>
        </w:numPr>
        <w:pStyle w:val="Compact"/>
      </w:pPr>
      <w:r>
        <w:rPr>
          <w:iCs/>
          <w:i/>
        </w:rPr>
        <w:t xml:space="preserve">The Tri-Lateral Retention Feasibility Model and the Crypto-Erasure by Invalidation Mechanism</w:t>
      </w:r>
      <w:r>
        <w:t xml:space="preserve">: necessity analysis; model and notation; constraints; two semantics; Theorem 1 and corollaries; Theorem 2; mechanism specification; residue analysis; rival designs; Norwegian integration</w:t>
      </w:r>
    </w:p>
    <w:p>
      <w:pPr>
        <w:numPr>
          <w:ilvl w:val="0"/>
          <w:numId w:val="1001"/>
        </w:numPr>
        <w:pStyle w:val="Compact"/>
      </w:pPr>
      <w:r>
        <w:rPr>
          <w:iCs/>
          <w:i/>
        </w:rPr>
        <w:t xml:space="preserve">Demonstration</w:t>
      </w:r>
      <w:r>
        <w:t xml:space="preserve">: implementation; results under each semantics; Corollary 1.2 witnesses; independent cross-check; payload-provenance comparison; what is and is not established</w:t>
      </w:r>
    </w:p>
    <w:p>
      <w:pPr>
        <w:numPr>
          <w:ilvl w:val="0"/>
          <w:numId w:val="1001"/>
        </w:numPr>
        <w:pStyle w:val="Compact"/>
      </w:pPr>
      <w:r>
        <w:rPr>
          <w:iCs/>
          <w:i/>
        </w:rPr>
        <w:t xml:space="preserve">Discussion</w:t>
      </w:r>
      <w:r>
        <w:t xml:space="preserve">: what the thesis establishes; the authority problems; key destruction and assurance; the cost objection; synthetic data; practice and policy; theoretical implications; boundaries as contribution</w:t>
      </w:r>
    </w:p>
    <w:p>
      <w:pPr>
        <w:numPr>
          <w:ilvl w:val="0"/>
          <w:numId w:val="1001"/>
        </w:numPr>
        <w:pStyle w:val="Compact"/>
      </w:pPr>
      <w:r>
        <w:rPr>
          <w:iCs/>
          <w:i/>
        </w:rPr>
        <w:t xml:space="preserve">Conclusion</w:t>
      </w:r>
      <w:r>
        <w:t xml:space="preserve">: problem and answer; contributions; limitations; open questions of authority; future work</w:t>
      </w:r>
    </w:p>
    <w:p>
      <w:pPr>
        <w:pStyle w:val="FirstParagraph"/>
      </w:pPr>
      <w:r>
        <w:rPr>
          <w:iCs/>
          <w:i/>
        </w:rPr>
        <w:t xml:space="preserve">Appendix A</w:t>
      </w:r>
      <w:r>
        <w:t xml:space="preserve">: Code artefacts, reproduction commands, data provenance, integrity record, full source of all five modules and the recorded console run of every command</w:t>
      </w:r>
    </w:p>
    <w:p>
      <w:pPr>
        <w:pStyle w:val="BodyText"/>
      </w:pPr>
      <w:r>
        <w:rPr>
          <w:iCs/>
          <w:i/>
        </w:rPr>
        <w:t xml:space="preserve">Appendix B</w:t>
      </w:r>
      <w:r>
        <w:t xml:space="preserve">: Search query log: 59 queries across four dated search rounds, a fifth round of 18 locator verifications, round purposes and coverage notes</w:t>
      </w:r>
    </w:p>
    <w:p>
      <w:pPr>
        <w:pStyle w:val="BodyText"/>
      </w:pPr>
      <w:r>
        <w:rPr>
          <w:iCs/>
          <w:i/>
        </w:rPr>
        <w:t xml:space="preserve">Appendix C</w:t>
      </w:r>
      <w:r>
        <w:t xml:space="preserve">: Expert evaluation instrument: panel composition, session structure, demonstration script, semi-structured interview guide, closed-response questionnaire, analysis plan</w:t>
      </w:r>
    </w:p>
    <w:p>
      <w:r>
        <w:pict>
          <v:rect style="width:0;height:1.5pt" o:hralign="center" o:hrstd="t" o:hr="t"/>
        </w:pict>
      </w:r>
    </w:p>
    <w:bookmarkEnd w:id="28"/>
    <w:bookmarkEnd w:id="29"/>
    <w:bookmarkStart w:id="37" w:name="chapter-1.-introduction"/>
    <w:p>
      <w:pPr>
        <w:pStyle w:val="Heading1"/>
      </w:pPr>
      <w:r>
        <w:t xml:space="preserve">Chapter 1. Introduction</w:t>
      </w:r>
    </w:p>
    <w:p>
      <w:r>
        <w:pict>
          <v:rect style="width:0;height:1.5pt" o:hralign="center" o:hrstd="t" o:hr="t"/>
        </w:pict>
      </w:r>
    </w:p>
    <w:bookmarkStart w:id="30" w:name="background-and-context"/>
    <w:p>
      <w:pPr>
        <w:pStyle w:val="Heading2"/>
      </w:pPr>
      <w:r>
        <w:t xml:space="preserve">1.1 Background and Context</w:t>
      </w:r>
    </w:p>
    <w:p>
      <w:pPr>
        <w:pStyle w:val="FirstParagraph"/>
      </w:pPr>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and EEA by March 2029, and the remaining priority categories by March 2031 (European Commission, 2025a).</w:t>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pPr>
      <w:r>
        <w:t xml:space="preserve">Norway’s integration with MyHealth@EU is no longer prospective but operational, though its scope remains deliberately narrow. The Norwegian connection project has been coordinated jointly by the Norwegian Directorate of Health (Helsedirektoratet) and the Norwegian Health Network (Norsk Helsenett SF) since January 2023, with a planned duration of 41 months. It has taken its pilot live at the emergency clinics (legevakter) in Bodø and Stjørdal, connected to Portugal, Czechia, and Finland for the receipt of patient summaries concerning citizens of those states who require care in Norway. The Bodø and Stjørdal clinics are in production with Czechia and Portugal, and emergency clinics in Trondheim and Ålesund operating on Helseplattformen have requested the service for the next stage of expansion (Helsedirektoratet, 2026). In 2026 the project began its next stage, establishing NCP-A, the contact point through which Norwegian health data will be shared with other participating states (Helsedirektoratet, 2026). Two qualifications are material and are recorded rather than elided. The pilot is live in the sense that the infrastructure is in production, and the legal basis, privacy notices, and data protection impact assessment were completed by 31 March 2025. But the Directorate’s own portfolio reporting notes that no relevant patients had yet presented for the solution to be used in practice, so the volume of genuine cross-border audit records generated in Norway to date is minimal. Infrastructure for receiving ePrescriptions from other EU and EEA states has been planned and developed but is not yet in use. Norway’s scenario of implementing ePrescription without the corresponding eDispensation service required the approval of the other participating states and was carried as a change proposal to the requirement catalogue, approved and decided in the eHealth Operational Management Board on 12 March (Helsedirektoratet, 2026). As Norway is not a Member State of the European Union but an EEA member, EHDS implementation is being processed through the EEA Joint Committee, with Helsedirektoratet having delivered its formal EHDS gap analysis on 11 April 2025 (Helsedirektoratet, n.d.). The cross-border audit records with which this thesis is concerned are therefore beginning to be generated in Norwegian production, on infrastructure that is live rather than hypothetical, even though the present volume is small.</w:t>
      </w:r>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must retain their logs for a minimum of ten years (Simjanoska Misheva et al., 2025; IHE International, 2023). 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personal data must be deleted from a Secure Processing Environment within six months of the expiry of the data permit, operationalising Article 68(12) of the EHDS Regulation (TEHDAS2, 2025).</w:t>
      </w:r>
    </w:p>
    <w:p>
      <w:pPr>
        <w:pStyle w:val="BodyText"/>
      </w:pPr>
      <w:r>
        <w:t xml:space="preserve">Critically, the same regulation imposes a retention obligation on the same environment. Article 73(1)(e) EHDS requires that Secure Processing Environments keep identifiable logs of access to and activities within the environment for the period necessary to verify and audit all processing operations, and that logs of access be kept for at least one year (European Parliament and Council of the European Union, 2025). Article 68(12) provides that</w:t>
      </w:r>
      <w:r>
        <w:t xml:space="preserve"> </w:t>
      </w:r>
      <w:r>
        <w:t xml:space="preserve">“</w:t>
      </w:r>
      <w:r>
        <w:t xml:space="preserve">the electronic health data within the secure processing environment shall be deleted within six months of the expiry of the data permit</w:t>
      </w:r>
      <w:r>
        <w:t xml:space="preserve">”</w:t>
      </w:r>
      <w:r>
        <w:t xml:space="preserve">. Where an environment logs access at patient-record granularity, an entry linking a patient’s record to an access is itself electronic health data within the environment. On the broad reading set out in Chapter 4, Section 4.6,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imposed on cross-border audit repositories by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bookmarkEnd w:id="30"/>
    <w:bookmarkStart w:id="31" w:name="problem-statement"/>
    <w:p>
      <w:pPr>
        <w:pStyle w:val="Heading2"/>
      </w:pPr>
      <w:r>
        <w:t xml:space="preserve">1.2 Problem Statement</w:t>
      </w:r>
    </w:p>
    <w:p>
      <w:pPr>
        <w:pStyle w:val="FirstParagraph"/>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at least ten years under the eHDSI baseline, and accessible to the patient through the home country’s audit-log interface (Simjanoska Misheva et al., 2025). If, during that ten-year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Sections 2.3 and 4.2, that the conflict survives the exemption in a precise form. The exemption extends only as far as retention is</w:t>
      </w:r>
      <w:r>
        <w:t xml:space="preserve"> </w:t>
      </w:r>
      <w:r>
        <w:rPr>
          <w:iCs/>
          <w:i/>
        </w:rPr>
        <w:t xml:space="preserve">necessary</w:t>
      </w:r>
      <w:r>
        <w:t xml:space="preserve"> </w:t>
      </w:r>
      <w:r>
        <w:t xml:space="preserve">for the legal obligation, and the data-minimisation principle of Article 5(1)(c) GDPR requires that no more personal data be retained than the obligation demands. Retaining the full plaintext personal-data payload of an audit record for ten years exceeds what accountability requires, since the accountability function of the record can be preserved without continued access to that payload.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pathway, and there it is at its sharpest.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personal data from the environment within six months of permit expiry. Article 73(1)(e) of the same regulation requires that identifiable access logs for that environment be kept for at least one year. On the broad reading, the environment must therefore be emptied of personal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recommendations have since been consolidated into final form, including separate compliance checklists for SPE providers and SPE user organisations, positioned as a national reference basis pending the EU implementing act (SPUHiN, 2025). The finalised criteria contain governance and functional requirements but no mechanism reconciling the retention and erasure regimes: the gap addressed here therefore survives against the final national document, not merely a draft.</w:t>
      </w:r>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bookmarkEnd w:id="31"/>
    <w:bookmarkStart w:id="32" w:name="research-objectives-and-questions"/>
    <w:p>
      <w:pPr>
        <w:pStyle w:val="Heading2"/>
      </w:pPr>
      <w:r>
        <w:t xml:space="preserve">1.3 Research Objectives and Questions</w:t>
      </w:r>
    </w:p>
    <w:p>
      <w:pPr>
        <w:pStyle w:val="FirstParagraph"/>
      </w:pPr>
      <w:r>
        <w:t xml:space="preserve">The objective of this thesis is to formally characterise, and then resolve by design, the conflict between the three retention regimes identified in Section 1.2.</w:t>
      </w:r>
    </w:p>
    <w:p>
      <w:pPr>
        <w:pStyle w:val="BodyText"/>
      </w:pPr>
      <w:r>
        <w:t xml:space="preserve">The analytical core of the thesis is the Tri-Lateral Retention Feasibility Model (TRF Model), a constraint-satisfaction formulation developed in Chapter 4 within the established tradition of formal legal-compliance verification (Feng, Marsso, Sabetzadeh, &amp; Chechik, 2022). The model decomposes each cross-border audit record into an event-metadata component and a personal-data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the prevailing implicit semantics, in which a verifiable audit record is one whose payload remains accessible in plaintext, the system is shown to be infeasible whenever an erasure request or permit expiry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the audit trail. The mechanism is thus the constructive witness of the model’s feasibility result, not an independently posited design.</w:t>
      </w:r>
    </w:p>
    <w:p>
      <w:pPr>
        <w:pStyle w:val="BodyText"/>
      </w:pPr>
      <w:r>
        <w:t xml:space="preserve">The thesis is guided by one primary research question.</w:t>
      </w:r>
    </w:p>
    <w:p>
      <w:pPr>
        <w:pStyle w:val="BodyText"/>
      </w:pPr>
      <w:r>
        <w:rPr>
          <w:iCs/>
          <w:i/>
        </w:rPr>
        <w:t xml:space="preserve">Primary research question.</w:t>
      </w:r>
      <w:r>
        <w:t xml:space="preserve"> </w:t>
      </w:r>
      <w:r>
        <w:t xml:space="preserve">How can a verifiable crypto-erasure mechanism be designed to reconcile the conflicting data-retention requirements of cross-border health data exchange under the European Health Data Space — specifically the tension between the audit-retention floors applying to the exchange, namely the ten-year minimum imposed on IHE ATNA audit repositories by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while preserving audit integrity in a Norwegian implementation context?</w:t>
      </w:r>
    </w:p>
    <w:p>
      <w:pPr>
        <w:pStyle w:val="BodyText"/>
      </w:pPr>
      <w:r>
        <w:t xml:space="preserve">The primary question is decomposed into three sub-questions.</w:t>
      </w:r>
    </w:p>
    <w:p>
      <w:pPr>
        <w:pStyle w:val="BodyText"/>
      </w:pPr>
      <w:r>
        <w:rPr>
          <w:iCs/>
          <w:i/>
        </w:rPr>
        <w:t xml:space="preserve">SQ1.</w:t>
      </w:r>
      <w:r>
        <w:t xml:space="preserve"> </w:t>
      </w:r>
      <w:r>
        <w:t xml:space="preserve">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rPr>
          <w:iCs/>
          <w:i/>
        </w:rPr>
        <w:t xml:space="preserve">SQ2.</w:t>
      </w:r>
      <w:r>
        <w:t xml:space="preserve"> </w:t>
      </w:r>
      <w:r>
        <w:t xml:space="preserve">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rPr>
          <w:iCs/>
          <w:i/>
        </w:rPr>
        <w:t xml:space="preserve">SQ3.</w:t>
      </w:r>
      <w:r>
        <w:t xml:space="preserve"> </w:t>
      </w:r>
      <w:r>
        <w:t xml:space="preserve">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Chapter 2’s literature analysis and the formal characterisation in Chapter 4. SQ2 is addressed through the TRF Model’s feasibility theorems, the mechanism specification in Chapter 4, and the executable demonstration in Chapter 5. SQ3 is addressed through Chapter 4’s integration analysis and Chapter 6’s discussion of implications for Norwegian implementing actors.</w:t>
      </w:r>
    </w:p>
    <w:bookmarkEnd w:id="32"/>
    <w:bookmarkStart w:id="33" w:name="significance-and-relevance"/>
    <w:p>
      <w:pPr>
        <w:pStyle w:val="Heading2"/>
      </w:pPr>
      <w:r>
        <w:t xml:space="preserve">1.4 Significance and Relevance</w:t>
      </w:r>
    </w:p>
    <w:p>
      <w:pPr>
        <w:pStyle w:val="FirstParagraph"/>
      </w:pPr>
      <w:r>
        <w:t xml:space="preserve">The significance of this thesis rests on four convergent factors.</w:t>
      </w:r>
    </w:p>
    <w:p>
      <w:pPr>
        <w:pStyle w:val="BodyText"/>
      </w:pPr>
      <w:r>
        <w:t xml:space="preserve">First, the timing is concrete rather than abstract. The Group One priority categories of EHDS become mandatory across the EU and EEA in March 2029, with Group Two following in March 2031, and the implementing acts specifying technical detail are due by March 2027 (European Commission, 2025a). Norway’s NCPeH is in live pilot operation, exchanging records with Portugal, Czechia, and Finland, with its outbound capability under construction during 2026 (Helsedirektoratet, 2026).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finalised national SPE criteria from the SPUHiN process, whose published checklists 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2022),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even for the conflict’s sharpest instance. The collision between the six-month deletion ceiling of Article 68(12) and the one-year log-retention floor of Article 73(1)(e) is stated within a single regulation, yet the review conducted for this thesis found no treatment of it, including in the guidance published by the Joint Action drafting the specifications for both provisions.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deliberately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r>
        <w:t xml:space="preserve">Fourth, the thesis frames the problem as one of information logistics, and the framing is structural rather than decorative. The reconciliation of conflicting retention regimes across jurisdictional boundaries is the same problem class that physical cross-border logistics manages through customs documentation retention, mandated destruction of restricted goods, and certified-destruction entries in the ledger. The audit log is the customs ledger of the digital consignment; invalidation is its certified destruction certificate. This situates the contribution within the disciplinary identity of Sustainable Energy Logistics at HiMolde and imports a solution structure that logistics has operated for decades into a domain that has not yet recognised the equivalence.</w:t>
      </w:r>
    </w:p>
    <w:bookmarkEnd w:id="33"/>
    <w:bookmarkStart w:id="34" w:name="scope-and-out-of-scope"/>
    <w:p>
      <w:pPr>
        <w:pStyle w:val="Heading2"/>
      </w:pPr>
      <w:r>
        <w:t xml:space="preserve">1.5 Scope and Out-of-Scope</w:t>
      </w:r>
    </w:p>
    <w:p>
      <w:pPr>
        <w:pStyle w:val="FirstParagraph"/>
      </w:pPr>
      <w:r>
        <w:t xml:space="preserve">This thesis is bounded by a deliberate and explicit scope. The bounding is not a limitation to be apologised for but a methodological commitment to defensibility within the time and resources available for an MSc thesis.</w:t>
      </w:r>
    </w:p>
    <w:p>
      <w:pPr>
        <w:pStyle w:val="BodyText"/>
      </w:pPr>
      <w:r>
        <w:rPr>
          <w:iCs/>
          <w:i/>
        </w:rPr>
        <w:t xml:space="preserve">The thesis contributes a formal model, a design-science specification derived from it, and an executable demonstration.</w:t>
      </w:r>
      <w:r>
        <w:t xml:space="preserve"> </w:t>
      </w:r>
      <w:r>
        <w:t xml:space="preserve">The TRF Model formalises the conflict, and the Crypto-Erasure by Invalidation mechanism is specified as the model’s constructive feasibility witness. A Python-based sandbox using synthetic Synthea-generated FHIR data then demonstrates both the infeasibility result under the status-quo semantics and the feasibility result under invalidation semantics. The model, the specification, and the demonstration together constitute the artefact.</w:t>
      </w:r>
    </w:p>
    <w:p>
      <w:pPr>
        <w:pStyle w:val="BodyText"/>
      </w:pPr>
      <w:r>
        <w:t xml:space="preserve">The thesis explicitly does</w:t>
      </w:r>
      <w:r>
        <w:t xml:space="preserve"> </w:t>
      </w:r>
      <w:r>
        <w:rPr>
          <w:iCs/>
          <w:i/>
        </w:rPr>
        <w:t xml:space="preserve">not</w:t>
      </w:r>
      <w:r>
        <w:t xml:space="preserve"> </w:t>
      </w:r>
      <w:r>
        <w:t xml:space="preserve">include the following. First, it does not build a working zero-knowledge SNARK circuit; no component of the mechanism requires one, and the cryptographic machinery that an earlier design iteration envisaged is treated as future work.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two feasibility theorems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bookmarkEnd w:id="34"/>
    <w:bookmarkStart w:id="35" w:name="methodological-approach"/>
    <w:p>
      <w:pPr>
        <w:pStyle w:val="Heading2"/>
      </w:pPr>
      <w:r>
        <w:t xml:space="preserve">1.6 Methodological Approach</w:t>
      </w:r>
    </w:p>
    <w:p>
      <w:pPr>
        <w:pStyle w:val="FirstParagraph"/>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(2022). It deliberately employs lighter machinery, a feasibility formulation over one binary state variable per record, suited to defence at Master’s level and to the logistics-modelling training of the author’s programme.</w:t>
      </w:r>
    </w:p>
    <w:p>
      <w:pPr>
        <w:pStyle w:val="BodyText"/>
      </w:pPr>
      <w:r>
        <w:t xml:space="preserve">A note on nomenclature records the design’s evolution honestly. 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Chapter 4 as optional and is not implemented. 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theorems; external validity through compatibility with verified existing infrastructure; reliability through deterministic execution with fixed random seeds. No empirical performance benchmarks are reported. The full methodological treatment is provided in Chapter 3.</w:t>
      </w:r>
    </w:p>
    <w:bookmarkEnd w:id="35"/>
    <w:bookmarkStart w:id="36" w:name="thesis-structure"/>
    <w:p>
      <w:pPr>
        <w:pStyle w:val="Heading2"/>
      </w:pPr>
      <w:r>
        <w:t xml:space="preserve">1.7 Thesis Structure</w:t>
      </w:r>
    </w:p>
    <w:p>
      <w:pPr>
        <w:pStyle w:val="FirstParagraph"/>
      </w:pPr>
      <w:r>
        <w:t xml:space="preserve">The thesis is organised in seven chapters and appendices.</w:t>
      </w:r>
    </w:p>
    <w:p>
      <w:pPr>
        <w:pStyle w:val="BodyText"/>
      </w:pPr>
      <w:r>
        <w:rPr>
          <w:iCs/>
          <w:i/>
        </w:rPr>
        <w:t xml:space="preserve">Chapter 1</w:t>
      </w:r>
      <w:r>
        <w:t xml:space="preserve"> </w:t>
      </w:r>
      <w:r>
        <w:t xml:space="preserve">introduces the regulatory background, the problem, the research objectives, the significance of the study, the scope and explicit out-of-scope boundaries, and the methodological approach.</w:t>
      </w:r>
    </w:p>
    <w:p>
      <w:pPr>
        <w:pStyle w:val="BodyText"/>
      </w:pPr>
      <w:r>
        <w:rPr>
          <w:iCs/>
          <w:i/>
        </w:rPr>
        <w:t xml:space="preserve">Chapter 2</w:t>
      </w:r>
      <w:r>
        <w:t xml:space="preserve"> </w:t>
      </w:r>
      <w:r>
        <w:t xml:space="preserve">reviews the literature in five domains: the cross-border health data exchange landscape under EHDS; the audit-retention versus right-to-erasure tension, including the Article 17(3)(b) exemption argument; cryptographic approaches to audit compliance; formal approaches to regulatory-compliance verification; and the Norwegian secondary-use infrastructure. It identifies the research gaps and positions the contribution.</w:t>
      </w:r>
    </w:p>
    <w:p>
      <w:pPr>
        <w:pStyle w:val="BodyText"/>
      </w:pPr>
      <w:r>
        <w:rPr>
          <w:iCs/>
          <w:i/>
        </w:rPr>
        <w:t xml:space="preserve">Chapter 3</w:t>
      </w:r>
      <w:r>
        <w:t xml:space="preserve"> </w:t>
      </w:r>
      <w:r>
        <w:t xml:space="preserve">establishes the design science research paradigm, the specification-and-demonstration variant extended with formal modelling, the synthetic data methodology, the sandbox approach, and validity, reliability, and ethical considerations.</w:t>
      </w:r>
    </w:p>
    <w:p>
      <w:pPr>
        <w:pStyle w:val="BodyText"/>
      </w:pPr>
      <w:r>
        <w:rPr>
          <w:iCs/>
          <w:i/>
        </w:rPr>
        <w:t xml:space="preserve">Chapter 4</w:t>
      </w:r>
      <w:r>
        <w:t xml:space="preserve"> </w:t>
      </w:r>
      <w:r>
        <w:t xml:space="preserve">develops the TRF Model, covering its sets, decomposition, constraints, the two verifiability semantics, and the infeasibility and feasibility theorems. It then specifies the Crypto-Erasure by Invalidation mechanism derived from it, including the invalidation registry, audit-trail behaviour, a comparison against rival designs, and integration analysis with Norwegian NCPeH and NORTRE infrastructure.</w:t>
      </w:r>
    </w:p>
    <w:p>
      <w:pPr>
        <w:pStyle w:val="BodyText"/>
      </w:pPr>
      <w:r>
        <w:rPr>
          <w:iCs/>
          <w:i/>
        </w:rPr>
        <w:t xml:space="preserve">Chapter 5</w:t>
      </w:r>
      <w:r>
        <w:t xml:space="preserve"> </w:t>
      </w:r>
      <w:r>
        <w:t xml:space="preserve">presents the sandbox demonstration, including the executable feasibility check.</w:t>
      </w:r>
      <w:r>
        <w:t xml:space="preserve"> </w:t>
      </w:r>
      <w:r>
        <w:rPr>
          <w:iCs/>
          <w:i/>
        </w:rPr>
        <w:t xml:space="preserve">Chapter 6</w:t>
      </w:r>
      <w:r>
        <w:t xml:space="preserve"> </w:t>
      </w:r>
      <w:r>
        <w:t xml:space="preserve">discusses findings and their implications for practice, theory, and policy, and engages the principal counter-positions.</w:t>
      </w:r>
      <w:r>
        <w:t xml:space="preserve"> </w:t>
      </w:r>
      <w:r>
        <w:rPr>
          <w:iCs/>
          <w:i/>
        </w:rPr>
        <w:t xml:space="preserve">Chapter 7</w:t>
      </w:r>
      <w:r>
        <w:t xml:space="preserve"> </w:t>
      </w:r>
      <w:r>
        <w:t xml:space="preserve">concludes, summarises contributions, revisits limitations, and outlines future work.</w:t>
      </w:r>
    </w:p>
    <w:p>
      <w:r>
        <w:pict>
          <v:rect style="width:0;height:1.5pt" o:hralign="center" o:hrstd="t" o:hr="t"/>
        </w:pict>
      </w:r>
    </w:p>
    <w:bookmarkEnd w:id="36"/>
    <w:bookmarkEnd w:id="37"/>
    <w:bookmarkStart w:id="55" w:name="X61356a8dd943f7272c3310c94cfa9c8ca767dda"/>
    <w:p>
      <w:pPr>
        <w:pStyle w:val="Heading1"/>
      </w:pPr>
      <w:r>
        <w:t xml:space="preserve">Chapter 2. Literature Review and Theoretical Foundation</w:t>
      </w:r>
    </w:p>
    <w:p>
      <w:r>
        <w:pict>
          <v:rect style="width:0;height:1.5pt" o:hralign="center" o:hrstd="t" o:hr="t"/>
        </w:pict>
      </w:r>
    </w:p>
    <w:bookmarkStart w:id="45" w:name="review-protocol"/>
    <w:p>
      <w:pPr>
        <w:pStyle w:val="Heading2"/>
      </w:pPr>
      <w:r>
        <w:t xml:space="preserve">2.1 Review Protocol</w:t>
      </w:r>
    </w:p>
    <w:bookmarkStart w:id="38" w:name="X0ac7d370eb4dfe99c8849cfacb0ef0c43b1a466"/>
    <w:p>
      <w:pPr>
        <w:pStyle w:val="Heading3"/>
      </w:pPr>
      <w:r>
        <w:t xml:space="preserve">2.1.1 Type of review and why it is named as such</w:t>
      </w:r>
    </w:p>
    <w:p>
      <w:pPr>
        <w:pStyle w:val="FirstParagraph"/>
      </w:pPr>
      <w:r>
        <w:t xml:space="preserve">This review is a structured narrative review conducted under a documented and dated protocol. It is not a systematic review, and the distinction is stated at the outset rather than left to inference.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Section 2.1.6 provides that protocol and states plainly that it was not the instrument used here.</w:t>
      </w:r>
    </w:p>
    <w:bookmarkEnd w:id="38"/>
    <w:bookmarkStart w:id="39" w:name="what-the-review-had-to-establish"/>
    <w:p>
      <w:pPr>
        <w:pStyle w:val="Heading3"/>
      </w:pPr>
      <w:r>
        <w:t xml:space="preserve">2.1.2 What the review had to establish</w:t>
      </w:r>
    </w:p>
    <w:p>
      <w:pPr>
        <w:pStyle w:val="FirstParagraph"/>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bookmarkEnd w:id="39"/>
    <w:bookmarkStart w:id="40" w:name="sources-searched"/>
    <w:p>
      <w:pPr>
        <w:pStyle w:val="Heading3"/>
      </w:pPr>
      <w:r>
        <w:t xml:space="preserve">2.1.3 Sources searched</w:t>
      </w:r>
    </w:p>
    <w:p>
      <w:pPr>
        <w:pStyle w:val="FirstParagraph"/>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bookmarkEnd w:id="40"/>
    <w:bookmarkStart w:id="41" w:name="search-rounds"/>
    <w:p>
      <w:pPr>
        <w:pStyle w:val="Heading3"/>
      </w:pPr>
      <w:r>
        <w:t xml:space="preserve">2.1.4 Search rounds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Round</w:t>
            </w:r>
          </w:p>
        </w:tc>
        <w:tc>
          <w:tcPr/>
          <w:p>
            <w:pPr>
              <w:pStyle w:val="Compact"/>
              <w:jc w:val="left"/>
            </w:pPr>
            <w:r>
              <w:t xml:space="preserve">Date</w:t>
            </w:r>
          </w:p>
        </w:tc>
        <w:tc>
          <w:tcPr/>
          <w:p>
            <w:pPr>
              <w:pStyle w:val="Compact"/>
              <w:jc w:val="left"/>
            </w:pPr>
            <w:r>
              <w:t xml:space="preserve">Purpose</w:t>
            </w:r>
          </w:p>
        </w:tc>
        <w:tc>
          <w:tcPr/>
          <w:p>
            <w:pPr>
              <w:pStyle w:val="Compact"/>
              <w:jc w:val="left"/>
            </w:pPr>
            <w:r>
              <w:t xml:space="preserve">Distinct queries</w:t>
            </w:r>
          </w:p>
        </w:tc>
      </w:tr>
      <w:tr>
        <w:tc>
          <w:tcPr/>
          <w:p>
            <w:pPr>
              <w:pStyle w:val="Compact"/>
              <w:jc w:val="left"/>
            </w:pPr>
            <w:r>
              <w:t xml:space="preserve">0</w:t>
            </w:r>
          </w:p>
        </w:tc>
        <w:tc>
          <w:tcPr/>
          <w:p>
            <w:pPr>
              <w:pStyle w:val="Compact"/>
              <w:jc w:val="left"/>
            </w:pPr>
            <w:r>
              <w:t xml:space="preserve">before 24 May 2026</w:t>
            </w:r>
          </w:p>
        </w:tc>
        <w:tc>
          <w:tcPr/>
          <w:p>
            <w:pPr>
              <w:pStyle w:val="Compact"/>
              <w:jc w:val="left"/>
            </w:pPr>
            <w:r>
              <w:t xml:space="preserve">Exploratory reading and drafting, documented at artifact level only</w:t>
            </w:r>
          </w:p>
        </w:tc>
        <w:tc>
          <w:tcPr/>
          <w:p>
            <w:pPr>
              <w:pStyle w:val="Compact"/>
              <w:jc w:val="left"/>
            </w:pPr>
            <w:r>
              <w:t xml:space="preserve">not recoverable</w:t>
            </w:r>
          </w:p>
        </w:tc>
      </w:tr>
      <w:tr>
        <w:tc>
          <w:tcPr/>
          <w:p>
            <w:pPr>
              <w:pStyle w:val="Compact"/>
              <w:jc w:val="left"/>
            </w:pPr>
            <w:r>
              <w:t xml:space="preserve">1</w:t>
            </w:r>
          </w:p>
        </w:tc>
        <w:tc>
          <w:tcPr/>
          <w:p>
            <w:pPr>
              <w:pStyle w:val="Compact"/>
              <w:jc w:val="left"/>
            </w:pPr>
            <w:r>
              <w:t xml:space="preserve">25 May 2026</w:t>
            </w:r>
          </w:p>
        </w:tc>
        <w:tc>
          <w:tcPr/>
          <w:p>
            <w:pPr>
              <w:pStyle w:val="Compact"/>
              <w:jc w:val="left"/>
            </w:pPr>
            <w:r>
              <w:t xml:space="preserve">Landscape, infrastructure, regulatory baseline</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29 May 2026</w:t>
            </w:r>
          </w:p>
        </w:tc>
        <w:tc>
          <w:tcPr/>
          <w:p>
            <w:pPr>
              <w:pStyle w:val="Compact"/>
              <w:jc w:val="left"/>
            </w:pPr>
            <w:r>
              <w:t xml:space="preserve">Verification and correction of the initial draft’s claims</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15 September 2026</w:t>
            </w:r>
          </w:p>
        </w:tc>
        <w:tc>
          <w:tcPr/>
          <w:p>
            <w:pPr>
              <w:pStyle w:val="Compact"/>
              <w:jc w:val="left"/>
            </w:pPr>
            <w:r>
              <w:t xml:space="preserve">Resumption; novelty audit and currency check</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16 September 2026</w:t>
            </w:r>
          </w:p>
        </w:tc>
        <w:tc>
          <w:tcPr/>
          <w:p>
            <w:pPr>
              <w:pStyle w:val="Compact"/>
              <w:jc w:val="left"/>
            </w:pPr>
            <w:r>
              <w:t xml:space="preserve">Adversarial novelty testing, prior art, final currency</w:t>
            </w:r>
          </w:p>
        </w:tc>
        <w:tc>
          <w:tcPr/>
          <w:p>
            <w:pPr>
              <w:pStyle w:val="Compact"/>
              <w:jc w:val="left"/>
            </w:pPr>
            <w:r>
              <w:t xml:space="preserve">23</w:t>
            </w:r>
          </w:p>
        </w:tc>
      </w:tr>
      <w:tr>
        <w:tc>
          <w:tcPr/>
          <w:p>
            <w:pPr>
              <w:pStyle w:val="Compact"/>
              <w:jc w:val="left"/>
            </w:pPr>
            <w:r>
              <w:t xml:space="preserve">5</w:t>
            </w:r>
          </w:p>
        </w:tc>
        <w:tc>
          <w:tcPr/>
          <w:p>
            <w:pPr>
              <w:pStyle w:val="Compact"/>
              <w:jc w:val="left"/>
            </w:pPr>
            <w:r>
              <w:t xml:space="preserve">28 September 2026</w:t>
            </w:r>
          </w:p>
        </w:tc>
        <w:tc>
          <w:tcPr/>
          <w:p>
            <w:pPr>
              <w:pStyle w:val="Compact"/>
              <w:jc w:val="left"/>
            </w:pPr>
            <w:r>
              <w:t xml:space="preserve">Locator verification and source-standing audit; no discovery queries</w:t>
            </w:r>
          </w:p>
        </w:tc>
        <w:tc>
          <w:tcPr/>
          <w:p>
            <w:pPr>
              <w:pStyle w:val="Compact"/>
              <w:jc w:val="left"/>
            </w:pPr>
            <w:r>
              <w:t xml:space="preserve">18 locator checks</w:t>
            </w:r>
          </w:p>
        </w:tc>
      </w:tr>
      <w:tr>
        <w:tc>
          <w:tcPr/>
          <w:p>
            <w:pPr>
              <w:pStyle w:val="Compact"/>
            </w:pPr>
          </w:p>
        </w:tc>
        <w:tc>
          <w:tcPr/>
          <w:p>
            <w:pPr>
              <w:pStyle w:val="Compact"/>
            </w:pPr>
          </w:p>
        </w:tc>
        <w:tc>
          <w:tcPr/>
          <w:p>
            <w:pPr>
              <w:pStyle w:val="Compact"/>
              <w:jc w:val="left"/>
            </w:pPr>
            <w:r>
              <w:rPr>
                <w:bCs/>
                <w:b/>
              </w:rPr>
              <w:t xml:space="preserve">Total discovery and verification queries, rounds 1–4</w:t>
            </w:r>
          </w:p>
        </w:tc>
        <w:tc>
          <w:tcPr/>
          <w:p>
            <w:pPr>
              <w:pStyle w:val="Compact"/>
              <w:jc w:val="left"/>
            </w:pPr>
            <w:r>
              <w:rPr>
                <w:bCs/>
                <w:b/>
              </w:rPr>
              <w:t xml:space="preserve">59</w:t>
            </w:r>
          </w:p>
        </w:tc>
      </w:tr>
    </w:tbl>
    <w:p>
      <w:pPr>
        <w:pStyle w:val="BodyText"/>
      </w:pPr>
      <w:r>
        <w:t xml:space="preserve">Round 0 requires explanation. An exploratory phase preceded the documented rounds and produced a full draft dated 24 May 2026, which survives as an artifact and is the reason the rebuild occurred. That draft contains no search strings, no inclusion criteria, no screening account, and no reference to any review protocol: a fact established by inspection of the file rather than by recollection. Its queries are not recoverable and are not reconstructed here. Round 0 is therefore reported at artifact level rather than query level, and contributes nothing to the absence claim of Section 2.9, which rests entirely on the four documented rounds.</w:t>
      </w:r>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of an earlier draft and led to its abandonment. Round 4 sought work that would defeat the thesis’s novelty claim rather than support it, which is how the closest prior art, a database retention-and-purging research programme and its associated patent, was located and disclosed. Round 4 also produced a correction to the thesis’s own headline claim, recorded in Chapter 4, Section 4.6.</w:t>
      </w:r>
    </w:p>
    <w:bookmarkEnd w:id="41"/>
    <w:bookmarkStart w:id="42" w:name="selection-criteria-and-screening"/>
    <w:p>
      <w:pPr>
        <w:pStyle w:val="Heading3"/>
      </w:pPr>
      <w:r>
        <w:t xml:space="preserve">2.1.5 Selection criteria and screening</w:t>
      </w:r>
    </w:p>
    <w:p>
      <w:pPr>
        <w:pStyle w:val="FirstParagraph"/>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pPr>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 The last of these was applied to the thesis’s own earlier draft. That draft carried twenty-eight distinct citations, of which approximately fourteen could not be verified against any primary or publisher record; the draft was discarded rather than repaired, and the verification audit that established this is recorded in the project’s working log of 25 May 2026.</w:t>
      </w:r>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honestly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bookmarkEnd w:id="42"/>
    <w:bookmarkStart w:id="43" w:name="Xd81803ead0d7e805c1e12e7ed5fba1e7c327f44"/>
    <w:p>
      <w:pPr>
        <w:pStyle w:val="Heading3"/>
      </w:pPr>
      <w:r>
        <w:t xml:space="preserve">2.1.6 Prospective Boolean protocol for replication</w:t>
      </w:r>
    </w:p>
    <w:p>
      <w:pPr>
        <w:pStyle w:val="FirstParagraph"/>
      </w:pPr>
      <w:r>
        <w:t xml:space="preserve">The following strings are offered so that a researcher may test this review’s conclusions against a systematic sweep of indexed databases. They were not the instrument used here, and are stated prospectively.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Target</w:t>
            </w:r>
          </w:p>
        </w:tc>
        <w:tc>
          <w:tcPr/>
          <w:p>
            <w:pPr>
              <w:pStyle w:val="Compact"/>
              <w:jc w:val="left"/>
            </w:pPr>
            <w:r>
              <w:t xml:space="preserve">String</w:t>
            </w:r>
          </w:p>
        </w:tc>
      </w:tr>
      <w:tr>
        <w:tc>
          <w:tcPr/>
          <w:p>
            <w:pPr>
              <w:pStyle w:val="Compact"/>
              <w:jc w:val="left"/>
            </w:pPr>
            <w:r>
              <w:t xml:space="preserve">B1</w:t>
            </w:r>
          </w:p>
        </w:tc>
        <w:tc>
          <w:tcPr/>
          <w:p>
            <w:pPr>
              <w:pStyle w:val="Compact"/>
              <w:jc w:val="left"/>
            </w:pPr>
            <w:r>
              <w:t xml:space="preserve">Scopus, Web of Science</w:t>
            </w:r>
          </w:p>
        </w:tc>
        <w:tc>
          <w:tcPr/>
          <w:p>
            <w:pPr>
              <w:pStyle w:val="Compact"/>
              <w:jc w:val="left"/>
            </w:pPr>
            <w:r>
              <w:rPr>
                <w:rStyle w:val="VerbatimChar"/>
              </w:rPr>
              <w:t xml:space="preserve">TITLE-ABS-KEY(("crypto-shredding" OR "cryptographic erasure" OR "crypto erasure" OR "secure deletion" OR "data sanitization") AND ("GDPR" OR "right to erasure" OR "right to be forgotten"))</w:t>
            </w:r>
          </w:p>
        </w:tc>
      </w:tr>
      <w:tr>
        <w:tc>
          <w:tcPr/>
          <w:p>
            <w:pPr>
              <w:pStyle w:val="Compact"/>
              <w:jc w:val="left"/>
            </w:pPr>
            <w:r>
              <w:t xml:space="preserve">B2</w:t>
            </w:r>
          </w:p>
        </w:tc>
        <w:tc>
          <w:tcPr/>
          <w:p>
            <w:pPr>
              <w:pStyle w:val="Compact"/>
              <w:jc w:val="left"/>
            </w:pPr>
            <w:r>
              <w:t xml:space="preserve">Scopus, IEEE Xplore</w:t>
            </w:r>
          </w:p>
        </w:tc>
        <w:tc>
          <w:tcPr/>
          <w:p>
            <w:pPr>
              <w:pStyle w:val="Compact"/>
              <w:jc w:val="left"/>
            </w:pPr>
            <w:r>
              <w:rPr>
                <w:rStyle w:val="VerbatimChar"/>
              </w:rPr>
              <w:t xml:space="preserve">TITLE-ABS-KEY(("audit log" OR "audit trail" OR "access log") AND ("retention" OR "retention period") AND ("erasure" OR "deletion") AND ("conflict" OR "tension" OR "reconcil*"))</w:t>
            </w:r>
          </w:p>
        </w:tc>
      </w:tr>
      <w:tr>
        <w:tc>
          <w:tcPr/>
          <w:p>
            <w:pPr>
              <w:pStyle w:val="Compact"/>
              <w:jc w:val="left"/>
            </w:pPr>
            <w:r>
              <w:t xml:space="preserve">B3</w:t>
            </w:r>
          </w:p>
        </w:tc>
        <w:tc>
          <w:tcPr/>
          <w:p>
            <w:pPr>
              <w:pStyle w:val="Compact"/>
              <w:jc w:val="left"/>
            </w:pPr>
            <w:r>
              <w:t xml:space="preserve">Scopus, PubMed</w:t>
            </w:r>
          </w:p>
        </w:tc>
        <w:tc>
          <w:tcPr/>
          <w:p>
            <w:pPr>
              <w:pStyle w:val="Compact"/>
              <w:jc w:val="left"/>
            </w:pPr>
            <w:r>
              <w:rPr>
                <w:rStyle w:val="VerbatimChar"/>
              </w:rPr>
              <w:t xml:space="preserve">TITLE-ABS-KEY(("European Health Data Space" OR "EHDS" OR "MyHealth@EU" OR "eHDSI") AND ("secure processing environment" OR "audit" OR "retention" OR "erasure"))</w:t>
            </w:r>
          </w:p>
        </w:tc>
      </w:tr>
      <w:tr>
        <w:tc>
          <w:tcPr/>
          <w:p>
            <w:pPr>
              <w:pStyle w:val="Compact"/>
              <w:jc w:val="left"/>
            </w:pPr>
            <w:r>
              <w:t xml:space="preserve">B4</w:t>
            </w:r>
          </w:p>
        </w:tc>
        <w:tc>
          <w:tcPr/>
          <w:p>
            <w:pPr>
              <w:pStyle w:val="Compact"/>
              <w:jc w:val="left"/>
            </w:pPr>
            <w:r>
              <w:t xml:space="preserve">Scopus, IEEE Xplore, ACM</w:t>
            </w:r>
          </w:p>
        </w:tc>
        <w:tc>
          <w:tcPr/>
          <w:p>
            <w:pPr>
              <w:pStyle w:val="Compact"/>
              <w:jc w:val="left"/>
            </w:pPr>
            <w:r>
              <w:rPr>
                <w:rStyle w:val="VerbatimChar"/>
              </w:rPr>
              <w:t xml:space="preserve">TITLE-ABS-KEY(("formal verification" OR "satisfiability" OR "temporal logic" OR "constraint satisfaction") AND ("regulatory compliance" OR "legal compliance" OR "GDPR"))</w:t>
            </w:r>
          </w:p>
        </w:tc>
      </w:tr>
      <w:tr>
        <w:tc>
          <w:tcPr/>
          <w:p>
            <w:pPr>
              <w:pStyle w:val="Compact"/>
              <w:jc w:val="left"/>
            </w:pPr>
            <w:r>
              <w:t xml:space="preserve">B5</w:t>
            </w:r>
          </w:p>
        </w:tc>
        <w:tc>
          <w:tcPr/>
          <w:p>
            <w:pPr>
              <w:pStyle w:val="Compact"/>
              <w:jc w:val="left"/>
            </w:pPr>
            <w:r>
              <w:t xml:space="preserve">Scopus, Web of Science</w:t>
            </w:r>
          </w:p>
        </w:tc>
        <w:tc>
          <w:tcPr/>
          <w:p>
            <w:pPr>
              <w:pStyle w:val="Compact"/>
              <w:jc w:val="left"/>
            </w:pPr>
            <w:r>
              <w:rPr>
                <w:rStyle w:val="VerbatimChar"/>
              </w:rPr>
              <w:t xml:space="preserve">TITLE-ABS-KEY(("health data" OR "electronic health record") AND ("cross-border" OR "cross border") AND ("privacy" OR "data protection") AND ("Norway" OR "Nordic" OR "EEA"))</w:t>
            </w:r>
          </w:p>
        </w:tc>
      </w:tr>
      <w:tr>
        <w:tc>
          <w:tcPr/>
          <w:p>
            <w:pPr>
              <w:pStyle w:val="Compact"/>
              <w:jc w:val="left"/>
            </w:pPr>
            <w:r>
              <w:t xml:space="preserve">B6</w:t>
            </w:r>
          </w:p>
        </w:tc>
        <w:tc>
          <w:tcPr/>
          <w:p>
            <w:pPr>
              <w:pStyle w:val="Compact"/>
              <w:jc w:val="left"/>
            </w:pPr>
            <w:r>
              <w:t xml:space="preserve">IACR ePrint, arXiv</w:t>
            </w:r>
          </w:p>
        </w:tc>
        <w:tc>
          <w:tcPr/>
          <w:p>
            <w:pPr>
              <w:pStyle w:val="Compact"/>
              <w:jc w:val="left"/>
            </w:pPr>
            <w:r>
              <w:rPr>
                <w:rStyle w:val="VerbatimChar"/>
              </w:rPr>
              <w:t xml:space="preserve">("certified deletion" OR "proof of secure erasure" OR "provable deletion") AND ("verifiab*" OR "attestation")</w:t>
            </w:r>
          </w:p>
        </w:tc>
      </w:tr>
    </w:tbl>
    <w:p>
      <w:pPr>
        <w:pStyle w:val="BodyText"/>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bookmarkEnd w:id="43"/>
    <w:bookmarkStart w:id="44" w:name="limitations-of-the-protocol"/>
    <w:p>
      <w:pPr>
        <w:pStyle w:val="Heading3"/>
      </w:pPr>
      <w:r>
        <w:t xml:space="preserve">2.1.7 Limitations of the protocol</w:t>
      </w:r>
    </w:p>
    <w:p>
      <w:pPr>
        <w:pStyle w:val="FirstParagraph"/>
      </w:pPr>
      <w:r>
        <w:t xml:space="preserve">Four limitations follow from how the review was conducted and are stated so that they are not inferred from silence.</w:t>
      </w:r>
    </w:p>
    <w:p>
      <w:pPr>
        <w:pStyle w:val="BodyText"/>
      </w:pPr>
      <w:r>
        <w:t xml:space="preserve">The exploratory phase preceding the documented rounds is acknowledged but not claimed as evidence, because its queries were never recorded; only the resulting draft survives, and it is used in this chapter solely as an artifact demonstrating the absence of a protocol.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Section 2.9, rests on four dated search rounds, two of them adversarial, together with an independent corroborating statement in the cryptographic literature. But an absence established by searching remains weaker evidence than a positive finding. Section 2.9 therefore states the additional reasons the gap is likely genuine, rather than resting on the searches alone.</w:t>
      </w:r>
    </w:p>
    <w:bookmarkEnd w:id="44"/>
    <w:bookmarkEnd w:id="45"/>
    <w:bookmarkStart w:id="46" w:name="X777571ee1b46e521d75cc362ca0aec8a0b0f1d5"/>
    <w:p>
      <w:pPr>
        <w:pStyle w:val="Heading2"/>
      </w:pPr>
      <w:r>
        <w:t xml:space="preserve">2.2 The Cross-Border Health Data Exchange Landscape</w:t>
      </w:r>
    </w:p>
    <w:p>
      <w:pPr>
        <w:pStyle w:val="FirstParagraph"/>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the source country NCPeH proceeds through six steps. It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with a minimum ten-year retention period.</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itself dissolved in May 2023, with its core functions absorbed into Helsedirektoratet from 2024 onwards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Section 2.3 will demonstrate.</w:t>
      </w:r>
    </w:p>
    <w:bookmarkEnd w:id="46"/>
    <w:bookmarkStart w:id="47" w:name="X4be697201be8c63802c0d6f66dbba8224584210"/>
    <w:p>
      <w:pPr>
        <w:pStyle w:val="Heading2"/>
      </w:pPr>
      <w:r>
        <w:t xml:space="preserve">2.3 The Audit-Retention versus Right-to-Erasure Tension</w:t>
      </w:r>
    </w:p>
    <w:p>
      <w:pPr>
        <w:pStyle w:val="FirstParagraph"/>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does specify retention in concrete terms. The framework adopted by the eHMSEG governance body for cross-border NCPeH operations requires audit repositories to retain records for a minimum of ten years, characterised by Simjanoska Misheva et al. (2025) as the binding deployment baseline.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two are directly relevant to the cross-border audit context. Article 17(3)(b) permits the controller to refuse erasure where processing is necessary for compliance with a legal obligation imposed by Union or Member State law.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pPr>
      <w:r>
        <w:t xml:space="preserve">The third regime is operational and emerging. The TEHDAS2 Joint Action’s guideline for Health Data Access Bodies on procedures and formats for data access specifies a deletion deadline. Personal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personal data are not permitted to remain. The same TEHDAS2 deliverable specifies a five-phase user journey for data access that ends in a deletion event marking the closure of the permitted processing.</w:t>
      </w:r>
    </w:p>
    <w:p>
      <w:pPr>
        <w:pStyle w:val="BodyText"/>
      </w:pPr>
      <w:r>
        <w:t xml:space="preserve">The regulation places a retention floor on that same environment. Article 73(1)(e) EHDS requires Secure Processing Environments to keep identifiable logs of access to and activities within the environment for the period necessary to verify and audit all processing operations, and specifies that logs of access be kept for at least one year (European Parliament and Council of the European Union, 2025). Article 68(12) requires that</w:t>
      </w:r>
      <w:r>
        <w:t xml:space="preserve"> </w:t>
      </w:r>
      <w:r>
        <w:t xml:space="preserve">“</w:t>
      </w:r>
      <w:r>
        <w:t xml:space="preserve">the electronic health data within the secure processing environment shall be deleted within six months of the expiry of the data permit</w:t>
      </w:r>
      <w:r>
        <w:t xml:space="preserve">”</w:t>
      </w:r>
      <w:r>
        <w:t xml:space="preserve">. Its scope is set by location rather than by the permit’s dataset, but its object is electronic health data, so it reaches an access log only where the log itself carries data concerning health, as an entry linking a patient’s record in a disease cohort to an access does. For such logs the Regulation requires of one environment both that the data be deleted within six months of permit expiry and that identifiable logs persist for at least twelve months. The reading is contestable (the provision sits within the data-permit article, and a narrower construction confines it to the permitted dataset) and Chapter 4, Section 4.6 states the grounds on both sides and shows which results depend on which.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standard practitioner heuristic for conflicting retention obligations cannot resolve this. Guidance for multi-framework environments routinely advises applying 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pPr>
      <w:r>
        <w:t xml:space="preserve">A further explanation is procedural and worth recording, because the apparent obviousness of the conflict otherwise invites the question of why it has not been addressed. In the Commission’s 2022 proposal, the six-month deletion obligation appeared in Article 46 and the Secure Processing Environment provisions in Article 50; both were renumbered on adoption in 2025 to Articles 68 and 73 respectively. A substantial part of the published commentary on EHDS secondary use was written against the proposal numbering, with the deletion obligation and the environment’s security requirements analysed in separate literatures that were never subsequently brought onto the same page.</w:t>
      </w:r>
    </w:p>
    <w:p>
      <w:pPr>
        <w:pStyle w:val="BodyText"/>
      </w:pPr>
      <w:r>
        <w:t xml:space="preserve">The conflict is structural and operational. When a Norwegian patient is treated under MyHealth@EU in another Member State, the cross-border access event is logged in the foreign NCPeH’s ATNA-compliant audit repository for at least ten years. During that window, the patient retains the right to request erasure of personal data under Article 17. If the erasure request is granted, the audit record loses its referential integrity: it points to data that no longer exist. If the erasure request is refused on Article 17(3)(b) grounds, the controller must demonstrate that the retention is genuinely necessary for compliance with a specific legal obligation, which is the recommendation the European Data Protection Board made in February 2026 (Matheson, 2026). When the same patient’s data move through the secondary-use pathway and reach a Norwegian Secure Processing Environment under a Helsedataservice permit, the Article 68(12) deletion ceiling applies. Yet the same environment must retain identifiable access logs for at least one year under Article 73(1)(e), and the audit records of the cross-border exchange that initiated the secondary-use request remain subject to the eHDSI ten-year baseline. Practitioner and supervisory commentary consistently reads the erasure obligation as extending to all storage locations of the personal data, including backups and logs (see, e.g., the Norwegian legal commentary summarised in Berngaard, 2024), which is precisely why the audit trail cannot be quietly carved out of the conflict.</w:t>
      </w:r>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ten years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Chapter 4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The technique is not without criticism. SecuPi (2025) argues that cryptographic erasure introduces operational complexity in row-level encryption scenarios and that auditable key management adds rather than removes overhead, making it inappropriate as a general solution for the right to erasure in heavily distributed systems. Engaging with this critique is essential for the thesis to remain defensible; Chapter 6 returns to it explicitly.</w:t>
      </w:r>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w:t>
      </w:r>
      <w:r>
        <w:t xml:space="preserve">“</w:t>
      </w:r>
      <w:r>
        <w:t xml:space="preserve">anonymisering likestilles med sletting av personopplysninger</w:t>
      </w:r>
      <w:r>
        <w:t xml:space="preserve">”</w:t>
      </w:r>
      <w:r>
        <w:t xml:space="preserve">),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Chapter 4 designs to this corridor explicitly, and Section 2.4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eHDSI ten-year retention baseline, GDPR Article 17(3)(b), and the TEHDAS2 six-month rule. The mechanism must be both technically demonstrable and compatible with the operational reality of Norwegian NCPeH and Helsedataservice. The next section reviews the cryptographic literature that informs the design of such a mechanism.</w:t>
      </w:r>
    </w:p>
    <w:bookmarkEnd w:id="47"/>
    <w:bookmarkStart w:id="48" w:name="X503ef9221cec91dd90cf14136ea9b482a7dd448"/>
    <w:p>
      <w:pPr>
        <w:pStyle w:val="Heading2"/>
      </w:pPr>
      <w:r>
        <w:t xml:space="preserve">2.4 Cryptographic Approaches to Audit Compliance</w:t>
      </w:r>
    </w:p>
    <w:p>
      <w:pPr>
        <w:pStyle w:val="FirstParagraph"/>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w:t>
      </w:r>
      <w:r>
        <w:t xml:space="preserve"> </w:t>
      </w:r>
      <w:r>
        <w:t xml:space="preserve">“</w:t>
      </w:r>
      <w:r>
        <w:t xml:space="preserve">disruptive logging</w:t>
      </w:r>
      <w:r>
        <w:t xml:space="preserve">”</w:t>
      </w:r>
      <w:r>
        <w:t xml:space="preserve"> </w:t>
      </w:r>
      <w:r>
        <w:t xml:space="preserve">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pPr>
      <w:r>
        <w:t xml:space="preserve">A second strand of work has explored zero-knowledge proofs applied to electronic health record access control, with the most direct comparator for the present thesis being Albalwy (2026). The ZK-EHR framework uses a Groth16 zk-SNARK circuit to enforce policy compliance for cross-institutional health data sharing, with three actor roles defined as the Patient as data owner, the Doctor as care provider, and the Researcher as authorised analyst. Encrypted records are stored on the InterPlanetary File System, with on-chain smart contracts handling policy enforcement and cryptographic verification. The architecture decouples authorisation from identity disclosure, allowing a requesting actor to prove they hold valid policy-compliant credentials without revealing their identity, role, or affiliations. The framework reports an on-chain verification latency of approximately 390 milliseconds and a gas consumption of 216,631 units per verification. Albalwy’s contribution occupies the cross-institutional space within a single jurisdiction; the cross-border space addressed by MyHealth@EU, with its eIDAS-based authentication chains and its operational coupling to ATNA-compliant audit repositories spanning multiple national legal regimes, is genuinely distinct.</w:t>
      </w:r>
    </w:p>
    <w:p>
      <w:pPr>
        <w:pStyle w:val="BodyText"/>
      </w:pPr>
      <w:r>
        <w:t xml:space="preserve">The Health-zkIDM system developed by Bai et al. (2022) provides a complementary perspective. Built on Hyperledger Fabric with zero-knowledge proof components implemented at the chaincode level, Health-zkIDM achieves throughput exceeding 400 transactions per second in Caliper benchmarking, demonstrating that decentralised identity management with cryptographic privacy guarantees is operationally viable in healthcare settings. The architecture targets identity verification rather than audit-trail erasure, but its performance evidence is informative for the design constraints of any cross-border verifiable compliance mechanism.</w:t>
      </w:r>
    </w:p>
    <w:p>
      <w:pPr>
        <w:pStyle w:val="BodyText"/>
      </w:pPr>
      <w:r>
        <w:t xml:space="preserve">A more recent contribution is zkFL-Health (Sharma et al., 2025), which combines federated learning with zero-knowledge proofs and trusted execution environments for medical artificial intelligence training. Clients train locally and commit cryptographic representations of their updates. An aggregator operating within a trusted execution environment then computes the global update and produces a succinct zero-knowledge proof, generated using Halo2 or Nova. The proof shows that the aggregation used exactly the committed inputs and applied the prescribed rule, without revealing any individual client update. Verifier nodes record cryptographic commitments on-chain, creating what the authors explicitly characterise as an</w:t>
      </w:r>
      <w:r>
        <w:t xml:space="preserve"> </w:t>
      </w:r>
      <w:r>
        <w:t xml:space="preserve">“</w:t>
      </w:r>
      <w:r>
        <w:t xml:space="preserve">immutable audit trail</w:t>
      </w:r>
      <w:r>
        <w:t xml:space="preserve">”</w:t>
      </w:r>
      <w:r>
        <w:t xml:space="preserve"> </w:t>
      </w:r>
      <w:r>
        <w:t xml:space="preserve">removing the need to trust any single party. zkFL-Health is significant for the present thesis in two respects. It demonstrates that the combination of trusted execution environments and zero-knowledge proofs can produce verifiable audit trails compatible with healthcare data. And it provides a recent illustration of the design pattern in which commitments on-chain reference data held off-chain, a pattern central to the cryptographic-erasure-by-invalidation mechanism this thesis proposes.</w:t>
      </w:r>
    </w:p>
    <w:p>
      <w:pPr>
        <w:pStyle w:val="BodyText"/>
      </w:pPr>
      <w:r>
        <w: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honest 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w:t>
      </w:r>
      <w:r>
        <w:t xml:space="preserve"> </w:t>
      </w:r>
      <w:r>
        <w:rPr>
          <w:iCs/>
          <w:i/>
        </w:rPr>
        <w:t xml:space="preserve">erasure under multi-regime retention conflict</w:t>
      </w:r>
      <w:r>
        <w:t xml:space="preserve">: the problem this thesis formalises and resolves. The gap claimed in Section 2.9 is therefore not established solely by this author’s failure to find prior work; it is named as open by the most recent systematisation of the relevant cryptographic literature.</w:t>
      </w:r>
    </w:p>
    <w:p>
      <w:pPr>
        <w:pStyle w:val="BodyText"/>
      </w:pPr>
      <w:r>
        <w:t xml:space="preserve">Two adjacent bodies of work must finally be distinguished from the problem addressed here, one academic and one practitioner. The academic body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w:t>
      </w:r>
      <w:r>
        <w:t xml:space="preserve"> </w:t>
      </w:r>
      <w:r>
        <w:t xml:space="preserve">“</w:t>
      </w:r>
      <w:r>
        <w:t xml:space="preserve">erasure</w:t>
      </w:r>
      <w:r>
        <w:t xml:space="preserve">”</w:t>
      </w:r>
      <w:r>
        <w:t xml:space="preserve"> </w:t>
      </w:r>
      <w:r>
        <w:t xml:space="preserve">and</w:t>
      </w:r>
      <w:r>
        <w:t xml:space="preserve"> </w:t>
      </w:r>
      <w:r>
        <w:t xml:space="preserve">“</w:t>
      </w:r>
      <w:r>
        <w:t xml:space="preserve">anonymisation</w:t>
      </w:r>
      <w:r>
        <w:t xml:space="preserve">”</w:t>
      </w:r>
      <w:r>
        <w:t xml:space="preserve"> </w:t>
      </w:r>
      <w:r>
        <w:t xml:space="preserve">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Chapter 4 therefore specifies hiding (salted) commitments and treats the residue question as a first-class design constraint rather than a footnote.</w:t>
      </w:r>
    </w:p>
    <w:p>
      <w:pPr>
        <w:pStyle w:val="BodyText"/>
      </w:pPr>
      <w:r>
        <w:t xml:space="preserve">A third adjacent body is the closest prior art to the mechanism proposed in this thesis, and honest scholarship requires it be surfaced rather than left for a reviewer to find.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w:t>
      </w:r>
      <w:r>
        <w:t xml:space="preserve"> </w:t>
      </w:r>
      <w:r>
        <w:rPr>
          <w:iCs/>
          <w:i/>
        </w:rPr>
        <w:t xml:space="preserve">recoverable</w:t>
      </w:r>
      <w:r>
        <w:t xml:space="preserve"> </w:t>
      </w:r>
      <w:r>
        <w:t xml:space="preserve">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Section 2.3,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r>
        <w:t xml:space="preserve">A fourth body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Chapter 4 logs an</w:t>
      </w:r>
      <w:r>
        <w:t xml:space="preserve"> </w:t>
      </w:r>
      <w:r>
        <w:rPr>
          <w:iCs/>
          <w:i/>
        </w:rPr>
        <w:t xml:space="preserve">attested</w:t>
      </w:r>
      <w:r>
        <w:t xml:space="preserve"> </w:t>
      </w:r>
      <w:r>
        <w:t xml:space="preserve">invalidation, not a</w:t>
      </w:r>
      <w:r>
        <w:t xml:space="preserve"> </w:t>
      </w:r>
      <w:r>
        <w:rPr>
          <w:iCs/>
          <w:i/>
        </w:rPr>
        <w:t xml:space="preserve">proven</w:t>
      </w:r>
      <w:r>
        <w:t xml:space="preserve"> </w:t>
      </w:r>
      <w:r>
        <w:t xml:space="preserve">one, and the difference between those is the subject of an active research programme rather than something this thesis resolves.</w:t>
      </w:r>
    </w:p>
    <w:p>
      <w:pPr>
        <w:pStyle w:val="BodyText"/>
      </w:pPr>
      <w:r>
        <w:t xml:space="preserve">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accumulator witnesses,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Section 2.9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broader policy literature on privacy-enhancing technologies under the European Health Data Space explicitly identifies this kind of governance-and-technology integration as an open research category. The contribution of this thesis is positioned at that named gap.</w:t>
      </w:r>
    </w:p>
    <w:bookmarkEnd w:id="48"/>
    <w:bookmarkStart w:id="49" w:name="X6b186caf35254075744a51c53c2cb13b427ff25"/>
    <w:p>
      <w:pPr>
        <w:pStyle w:val="Heading2"/>
      </w:pPr>
      <w:r>
        <w:t xml:space="preserve">2.5 Formal Approaches to Regulatory-Compliance Verification</w:t>
      </w:r>
    </w:p>
    <w:p>
      <w:pPr>
        <w:pStyle w:val="FirstParagraph"/>
      </w:pPr>
      <w:r>
        <w:t xml:space="preserve">The thesis’s analytical method belongs to a research tradition that treats legal compliance as a formal-verification problem, and this tradition must be reviewed both to anchor the method and to bound the novelty claim honestly.</w:t>
      </w:r>
    </w:p>
    <w:p>
      <w:pPr>
        <w:pStyle w:val="BodyText"/>
      </w:pPr>
      <w:r>
        <w:t xml:space="preserve">The most direct methodological ancestor is the work of Feng, Marsso, Sabetzadeh, and Chechik (2022)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and is stated plainly.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Chapter 4 also deliberately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w:t>
      </w:r>
      <w:r>
        <w:t xml:space="preserve"> </w:t>
      </w:r>
      <w:r>
        <w:t xml:space="preserve">“</w:t>
      </w:r>
      <w:r>
        <w:t xml:space="preserve">verifiable</w:t>
      </w:r>
      <w:r>
        <w:t xml:space="preserve">”</w:t>
      </w:r>
      <w:r>
        <w:t xml:space="preserve"> </w:t>
      </w:r>
      <w:r>
        <w:t xml:space="preserve">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have produced the machine-unlearning literature;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Section 2.4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Mixed-integer and simulation models have been developed for supply-chain compliance under regulatory constraint sets, and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2022);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Chapter 4 is constructed to occupy exactly this space, borrowing its method from the first strand, its erasure semantics from the second, and its modelling style from the third.</w:t>
      </w:r>
    </w:p>
    <w:bookmarkEnd w:id="49"/>
    <w:bookmarkStart w:id="50" w:name="norwegian-secondary-use-infrastructure"/>
    <w:p>
      <w:pPr>
        <w:pStyle w:val="Heading2"/>
      </w:pPr>
      <w:r>
        <w:t xml:space="preserve">2.6 Norwegian Secondary-Use Infrastructure</w:t>
      </w:r>
    </w:p>
    <w:p>
      <w:pPr>
        <w:pStyle w:val="FirstParagraph"/>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Section 2.3.</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Helsedataservice registers each application and forwards it to the relevant data custodian, such as the Norwegian Institute of Public Health, the Norwegian Directorate of Health, or the Cancer Registry, and the custodian decides on access. A two-stage cost structure mirrors this two-stage decision structure (Helsedataservice, n.d.).</w:t>
      </w:r>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w:t>
      </w:r>
      <w:r>
        <w:t xml:space="preserve"> </w:t>
      </w:r>
      <w:r>
        <w:t xml:space="preserve">“</w:t>
      </w:r>
      <w:r>
        <w:t xml:space="preserve">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w:t>
      </w:r>
      <w:r>
        <w:t xml:space="preserve">”</w:t>
      </w:r>
      <w:r>
        <w:t xml:space="preserve"> </w:t>
      </w:r>
      <w:r>
        <w:t xml:space="preserve">(SPUHiN,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recommendations were consolidated into final form as SPUHiN deliverable D5.2,</w:t>
      </w:r>
      <w:r>
        <w:t xml:space="preserve"> </w:t>
      </w:r>
      <w:r>
        <w:rPr>
          <w:iCs/>
          <w:i/>
        </w:rPr>
        <w:t xml:space="preserve">Recommendations for minimum requirements for Secure Processing Environments in Norway</w:t>
      </w:r>
      <w:r>
        <w:t xml:space="preserve">.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finalised checklists shows their scope to be information-security management, identity assurance, and access governance.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the finalised criteria do not contain, at any grade, is a requirement or mechanism addressing the reconciliation of audit-retention obligations with erasure and deletion obligations on the records the SPE generates. The gap identified by this thesis therefore survives contact with the final national document, not merely its draft: Norway now possesses finalised 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The Norwegian NCPeH pilot is live at the Bodø and Stjørdal emergency clinics, receiving patient summaries from Portugal, Czechia, and Finland (Helsedirektoratet, 2026). The cross-border audit records this thesis concerns are therefore beginning to be generated in Norwegian production, at presently small volume.</w:t>
      </w:r>
    </w:p>
    <w:p>
      <w:pPr>
        <w:pStyle w:val="BodyText"/>
      </w:pPr>
      <w:r>
        <w:t xml:space="preserve">The design consequence carried into Chapter 4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finalised criteria do not already demand) fits the Norwegian context as it actually is.</w:t>
      </w:r>
    </w:p>
    <w:bookmarkEnd w:id="50"/>
    <w:bookmarkStart w:id="51" w:name="information-logistics-framing"/>
    <w:p>
      <w:pPr>
        <w:pStyle w:val="Heading2"/>
      </w:pPr>
      <w:r>
        <w:t xml:space="preserve">2.7 Information Logistics Framing</w:t>
      </w:r>
    </w:p>
    <w:p>
      <w:pPr>
        <w:pStyle w:val="FirstParagraph"/>
      </w:pPr>
      <w:r>
        <w:t xml:space="preserve">The thesis frames the audit-retention versus erasure problem as one of information logistics. This framing is not a metaphor but an analytical commitment that grounds the contribution within the disciplinary identity of Sustainable Energy Logistics at HiMolde and within an active academic literature on cross-border data movement under regulatory constraint.</w:t>
      </w:r>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The Organisation for Economic Co-operation and Development has estimated that full data autarky, defined as complete restriction of cross-border data flows, would reduce global gross domestic product by 4.5 percent and cut exports by 8.5 percent (International Chamber of Commerce, 2025).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The structural analogy is precise rather than loose. 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ten-year retention floor for that audit log under the eHDSI security framework is the digital equivalent of mandatory customs record-keeping obligations under physical trade law. The right to erasure under General Data Protection Regulation Article 17 is the digital equivalent of the destruction-of-records requirements that apply to perishable or sensitive physical goods. The conflict between these regimes is the same kind of conflict that physical logistics has long managed through ledger-based reconciliation systems, certified destruction protocols, and chain-of-custody documentation.</w:t>
      </w:r>
    </w:p>
    <w:p>
      <w:pPr>
        <w:pStyle w:val="BodyText"/>
      </w:pPr>
      <w:r>
        <w:t xml:space="preserve">The maritime sector provides a concrete Norwegian-context illustration of the information-logistics framing in operation. Norwegian regulations on the medical examination of seafarers are governed by the Norwegian Maritime Authority under the implementation of the International Convention on Standards of Training, Certification and Watchkeeping for Seafarers and the Maritime Labour Convention 2006. They were amended specifically to implement the General Data Protection Regulation, restricting electronic registration of medical certificates by seafarer’s doctors operating outside Norway and the European Economic Area (Norwegian Maritime Authority, 2023). The amendments demonstrate that cross-border health data flow is not a theoretical question for Norwegian maritime and offshore logistics; it is an operationally binding regulatory constraint that already shapes which doctors can submit which medical certifications electronically and which cannot.</w:t>
      </w:r>
    </w:p>
    <w:p>
      <w:pPr>
        <w:pStyle w:val="BodyText"/>
      </w:pPr>
      <w:r>
        <w:t xml:space="preserve">The analogy is load-bearing at one specific point in the design, and the point is worth isolating because an analogy that motivates a topic without constraining a decision is decoration rather than framing.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Chapter 4, Section 4.3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bookmarkEnd w:id="51"/>
    <w:bookmarkStart w:id="52" w:name="comparative-analysis"/>
    <w:p>
      <w:pPr>
        <w:pStyle w:val="Heading2"/>
      </w:pPr>
      <w:r>
        <w:t xml:space="preserve">2.8 Comparative Analysis</w:t>
      </w:r>
    </w:p>
    <w:p>
      <w:pPr>
        <w:pStyle w:val="FirstParagraph"/>
      </w:pPr>
      <w:r>
        <w:t xml:space="preserve">The position of the proposed contribution within the existing literature is summarised in Table 2.1,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BodyText"/>
      </w:pPr>
      <w:r>
        <w:rPr>
          <w:iCs/>
          <w:i/>
        </w:rPr>
        <w:t xml:space="preserve">Table 2.1. Comparative Analysis of Cryptographic Compliance Approaches to Health Data Audit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System</w:t>
            </w:r>
          </w:p>
        </w:tc>
        <w:tc>
          <w:tcPr/>
          <w:p>
            <w:pPr>
              <w:pStyle w:val="Compact"/>
              <w:jc w:val="left"/>
            </w:pPr>
            <w:r>
              <w:t xml:space="preserve">Cross-Border or Cross-Institutional</w:t>
            </w:r>
          </w:p>
        </w:tc>
        <w:tc>
          <w:tcPr/>
          <w:p>
            <w:pPr>
              <w:pStyle w:val="Compact"/>
              <w:jc w:val="left"/>
            </w:pPr>
            <w:r>
              <w:t xml:space="preserve">Hardware Dependency</w:t>
            </w:r>
          </w:p>
        </w:tc>
        <w:tc>
          <w:tcPr/>
          <w:p>
            <w:pPr>
              <w:pStyle w:val="Compact"/>
              <w:jc w:val="left"/>
            </w:pPr>
            <w:r>
              <w:t xml:space="preserve">Addresses GDPR Article 17 Erasure</w:t>
            </w:r>
          </w:p>
        </w:tc>
        <w:tc>
          <w:tcPr/>
          <w:p>
            <w:pPr>
              <w:pStyle w:val="Compact"/>
              <w:jc w:val="left"/>
            </w:pPr>
            <w:r>
              <w:t xml:space="preserve">Primary or Secondary Use</w:t>
            </w:r>
          </w:p>
        </w:tc>
        <w:tc>
          <w:tcPr/>
          <w:p>
            <w:pPr>
              <w:pStyle w:val="Compact"/>
              <w:jc w:val="left"/>
            </w:pPr>
            <w:r>
              <w:t xml:space="preserve">Norwegian Context</w:t>
            </w:r>
          </w:p>
        </w:tc>
        <w:tc>
          <w:tcPr/>
          <w:p>
            <w:pPr>
              <w:pStyle w:val="Compact"/>
              <w:jc w:val="left"/>
            </w:pPr>
            <w:r>
              <w:t xml:space="preserve">Formal Model of the Retention–Erasure Conflict</w:t>
            </w:r>
          </w:p>
        </w:tc>
      </w:tr>
      <w:tr>
        <w:tc>
          <w:tcPr/>
          <w:p>
            <w:pPr>
              <w:pStyle w:val="Compact"/>
              <w:jc w:val="left"/>
            </w:pPr>
            <w:r>
              <w:t xml:space="preserve">KONFIDO (Natsiavas et al., 2021; Diamantopoulos et al., 2019)</w:t>
            </w:r>
          </w:p>
        </w:tc>
        <w:tc>
          <w:tcPr/>
          <w:p>
            <w:pPr>
              <w:pStyle w:val="Compact"/>
              <w:jc w:val="left"/>
            </w:pPr>
            <w:r>
              <w:t xml:space="preserve">Cross-border (OpenNCP)</w:t>
            </w:r>
          </w:p>
        </w:tc>
        <w:tc>
          <w:tcPr/>
          <w:p>
            <w:pPr>
              <w:pStyle w:val="Compact"/>
              <w:jc w:val="left"/>
            </w:pPr>
            <w:r>
              <w:t xml:space="preserve">Yes — Intel SGX</w:t>
            </w:r>
          </w:p>
        </w:tc>
        <w:tc>
          <w:tcPr/>
          <w:p>
            <w:pPr>
              <w:pStyle w:val="Compact"/>
              <w:jc w:val="left"/>
            </w:pPr>
            <w:r>
              <w:t xml:space="preserve">No — treats immutability as feature</w:t>
            </w:r>
          </w:p>
        </w:tc>
        <w:tc>
          <w:tcPr/>
          <w:p>
            <w:pPr>
              <w:pStyle w:val="Compact"/>
              <w:jc w:val="left"/>
            </w:pPr>
            <w:r>
              <w:t xml:space="preserve">Primary use</w:t>
            </w:r>
          </w:p>
        </w:tc>
        <w:tc>
          <w:tcPr/>
          <w:p>
            <w:pPr>
              <w:pStyle w:val="Compact"/>
              <w:jc w:val="left"/>
            </w:pPr>
            <w:r>
              <w:t xml:space="preserve">EU pilot; not Norway-specific</w:t>
            </w:r>
          </w:p>
        </w:tc>
        <w:tc>
          <w:tcPr/>
          <w:p>
            <w:pPr>
              <w:pStyle w:val="Compact"/>
              <w:jc w:val="left"/>
            </w:pPr>
            <w:r>
              <w:t xml:space="preserve">No</w:t>
            </w:r>
          </w:p>
        </w:tc>
      </w:tr>
      <w:tr>
        <w:tc>
          <w:tcPr/>
          <w:p>
            <w:pPr>
              <w:pStyle w:val="Compact"/>
              <w:jc w:val="left"/>
            </w:pPr>
            <w:r>
              <w:t xml:space="preserve">ZK-EHR (Albalwy, 2026)</w:t>
            </w:r>
          </w:p>
        </w:tc>
        <w:tc>
          <w:tcPr/>
          <w:p>
            <w:pPr>
              <w:pStyle w:val="Compact"/>
              <w:jc w:val="left"/>
            </w:pPr>
            <w:r>
              <w:t xml:space="preserve">Cross-institutional</w:t>
            </w:r>
          </w:p>
        </w:tc>
        <w:tc>
          <w:tcPr/>
          <w:p>
            <w:pPr>
              <w:pStyle w:val="Compact"/>
              <w:jc w:val="left"/>
            </w:pPr>
            <w:r>
              <w:t xml:space="preserve">No — software only</w:t>
            </w:r>
          </w:p>
        </w:tc>
        <w:tc>
          <w:tcPr/>
          <w:p>
            <w:pPr>
              <w:pStyle w:val="Compact"/>
              <w:jc w:val="left"/>
            </w:pPr>
            <w:r>
              <w:t xml:space="preserve">Partial — revocation, not the retention conflict</w:t>
            </w:r>
          </w:p>
        </w:tc>
        <w:tc>
          <w:tcPr/>
          <w:p>
            <w:pPr>
              <w:pStyle w:val="Compact"/>
              <w:jc w:val="left"/>
            </w:pPr>
            <w:r>
              <w:t xml:space="preserve">Primary use (clinical)</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Health-zkIDM (Bai et al., 2022)</w:t>
            </w:r>
          </w:p>
        </w:tc>
        <w:tc>
          <w:tcPr/>
          <w:p>
            <w:pPr>
              <w:pStyle w:val="Compact"/>
              <w:jc w:val="left"/>
            </w:pPr>
            <w:r>
              <w:t xml:space="preserve">Identity (institutional)</w:t>
            </w:r>
          </w:p>
        </w:tc>
        <w:tc>
          <w:tcPr/>
          <w:p>
            <w:pPr>
              <w:pStyle w:val="Compact"/>
              <w:jc w:val="left"/>
            </w:pPr>
            <w:r>
              <w:t xml:space="preserve">No</w:t>
            </w:r>
          </w:p>
        </w:tc>
        <w:tc>
          <w:tcPr/>
          <w:p>
            <w:pPr>
              <w:pStyle w:val="Compact"/>
              <w:jc w:val="left"/>
            </w:pPr>
            <w:r>
              <w:t xml:space="preserve">No</w:t>
            </w:r>
          </w:p>
        </w:tc>
        <w:tc>
          <w:tcPr/>
          <w:p>
            <w:pPr>
              <w:pStyle w:val="Compact"/>
              <w:jc w:val="left"/>
            </w:pPr>
            <w:r>
              <w:t xml:space="preserve">Primary use (identity)</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zkFL-Health (Sharma et al., 2025)</w:t>
            </w:r>
          </w:p>
        </w:tc>
        <w:tc>
          <w:tcPr/>
          <w:p>
            <w:pPr>
              <w:pStyle w:val="Compact"/>
              <w:jc w:val="left"/>
            </w:pPr>
            <w:r>
              <w:t xml:space="preserve">Cross-institutional federated</w:t>
            </w:r>
          </w:p>
        </w:tc>
        <w:tc>
          <w:tcPr/>
          <w:p>
            <w:pPr>
              <w:pStyle w:val="Compact"/>
              <w:jc w:val="left"/>
            </w:pPr>
            <w:r>
              <w:t xml:space="preserve">Yes — TEE aggregator</w:t>
            </w:r>
          </w:p>
        </w:tc>
        <w:tc>
          <w:tcPr/>
          <w:p>
            <w:pPr>
              <w:pStyle w:val="Compact"/>
              <w:jc w:val="left"/>
            </w:pPr>
            <w:r>
              <w:t xml:space="preserve">No</w:t>
            </w:r>
          </w:p>
        </w:tc>
        <w:tc>
          <w:tcPr/>
          <w:p>
            <w:pPr>
              <w:pStyle w:val="Compact"/>
              <w:jc w:val="left"/>
            </w:pPr>
            <w:r>
              <w:t xml:space="preserve">Secondary use (AI training)</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NewbornTime (Brunner et al., 2025)</w:t>
            </w:r>
          </w:p>
        </w:tc>
        <w:tc>
          <w:tcPr/>
          <w:p>
            <w:pPr>
              <w:pStyle w:val="Compact"/>
              <w:jc w:val="left"/>
            </w:pPr>
            <w:r>
              <w:t xml:space="preserve">Single-institution (Stavanger)</w:t>
            </w:r>
          </w:p>
        </w:tc>
        <w:tc>
          <w:tcPr/>
          <w:p>
            <w:pPr>
              <w:pStyle w:val="Compact"/>
              <w:jc w:val="left"/>
            </w:pPr>
            <w:r>
              <w:t xml:space="preserve">No</w:t>
            </w:r>
          </w:p>
        </w:tc>
        <w:tc>
          <w:tcPr/>
          <w:p>
            <w:pPr>
              <w:pStyle w:val="Compact"/>
              <w:jc w:val="left"/>
            </w:pPr>
            <w:r>
              <w:t xml:space="preserve">Yes — consent withdrawal</w:t>
            </w:r>
          </w:p>
        </w:tc>
        <w:tc>
          <w:tcPr/>
          <w:p>
            <w:pPr>
              <w:pStyle w:val="Compact"/>
              <w:jc w:val="left"/>
            </w:pPr>
            <w:r>
              <w:t xml:space="preserve">Primary use (clinical research)</w:t>
            </w:r>
          </w:p>
        </w:tc>
        <w:tc>
          <w:tcPr/>
          <w:p>
            <w:pPr>
              <w:pStyle w:val="Compact"/>
              <w:jc w:val="left"/>
            </w:pPr>
            <w:r>
              <w:t xml:space="preserve">Yes — Norwegian deployment</w:t>
            </w:r>
          </w:p>
        </w:tc>
        <w:tc>
          <w:tcPr/>
          <w:p>
            <w:pPr>
              <w:pStyle w:val="Compact"/>
              <w:jc w:val="left"/>
            </w:pPr>
            <w:r>
              <w:t xml:space="preserve">No</w:t>
            </w:r>
          </w:p>
        </w:tc>
      </w:tr>
      <w:tr>
        <w:tc>
          <w:tcPr/>
          <w:p>
            <w:pPr>
              <w:pStyle w:val="Compact"/>
              <w:jc w:val="left"/>
            </w:pPr>
            <w:r>
              <w:t xml:space="preserve">SPUHiN D5.2 criteria (SPUHiN, 2025)</w:t>
            </w:r>
          </w:p>
        </w:tc>
        <w:tc>
          <w:tcPr/>
          <w:p>
            <w:pPr>
              <w:pStyle w:val="Compact"/>
              <w:jc w:val="left"/>
            </w:pPr>
            <w:r>
              <w:t xml:space="preserve">National policy framework</w:t>
            </w:r>
          </w:p>
        </w:tc>
        <w:tc>
          <w:tcPr/>
          <w:p>
            <w:pPr>
              <w:pStyle w:val="Compact"/>
              <w:jc w:val="left"/>
            </w:pPr>
            <w:r>
              <w:t xml:space="preserve">n/a — specification</w:t>
            </w:r>
          </w:p>
        </w:tc>
        <w:tc>
          <w:tcPr/>
          <w:p>
            <w:pPr>
              <w:pStyle w:val="Compact"/>
              <w:jc w:val="left"/>
            </w:pPr>
            <w:r>
              <w:t xml:space="preserve">No — not addressed at any grade</w:t>
            </w:r>
          </w:p>
        </w:tc>
        <w:tc>
          <w:tcPr/>
          <w:p>
            <w:pPr>
              <w:pStyle w:val="Compact"/>
              <w:jc w:val="left"/>
            </w:pPr>
            <w:r>
              <w:t xml:space="preserve">Secondary use (SPE)</w:t>
            </w:r>
          </w:p>
        </w:tc>
        <w:tc>
          <w:tcPr/>
          <w:p>
            <w:pPr>
              <w:pStyle w:val="Compact"/>
              <w:jc w:val="left"/>
            </w:pPr>
            <w:r>
              <w:t xml:space="preserve">Yes — Norwegian policy, final</w:t>
            </w:r>
          </w:p>
        </w:tc>
        <w:tc>
          <w:tcPr/>
          <w:p>
            <w:pPr>
              <w:pStyle w:val="Compact"/>
              <w:jc w:val="left"/>
            </w:pPr>
            <w:r>
              <w:t xml:space="preserve">No</w:t>
            </w:r>
          </w:p>
        </w:tc>
      </w:tr>
      <w:tr>
        <w:tc>
          <w:tcPr/>
          <w:p>
            <w:pPr>
              <w:pStyle w:val="Compact"/>
              <w:jc w:val="left"/>
            </w:pPr>
            <w:r>
              <w:t xml:space="preserve">Ledger crypto-erasure SoK (Aikebaier, 2026)</w:t>
            </w:r>
          </w:p>
        </w:tc>
        <w:tc>
          <w:tcPr/>
          <w:p>
            <w:pPr>
              <w:pStyle w:val="Compact"/>
              <w:jc w:val="left"/>
            </w:pPr>
            <w:r>
              <w:t xml:space="preserve">Storage-technology scope (public ledgers)</w:t>
            </w:r>
          </w:p>
        </w:tc>
        <w:tc>
          <w:tcPr/>
          <w:p>
            <w:pPr>
              <w:pStyle w:val="Compact"/>
              <w:jc w:val="left"/>
            </w:pPr>
            <w:r>
              <w:t xml:space="preserve">No</w:t>
            </w:r>
          </w:p>
        </w:tc>
        <w:tc>
          <w:tcPr/>
          <w:p>
            <w:pPr>
              <w:pStyle w:val="Compact"/>
              <w:jc w:val="left"/>
            </w:pPr>
            <w:r>
              <w:t xml:space="preserve">Yes — formalises erasure side only</w:t>
            </w:r>
          </w:p>
        </w:tc>
        <w:tc>
          <w:tcPr/>
          <w:p>
            <w:pPr>
              <w:pStyle w:val="Compact"/>
              <w:jc w:val="left"/>
            </w:pPr>
            <w:r>
              <w:t xml:space="preserve">n/a</w:t>
            </w:r>
          </w:p>
        </w:tc>
        <w:tc>
          <w:tcPr/>
          <w:p>
            <w:pPr>
              <w:pStyle w:val="Compact"/>
              <w:jc w:val="left"/>
            </w:pPr>
            <w:r>
              <w:t xml:space="preserve">None</w:t>
            </w:r>
          </w:p>
        </w:tc>
        <w:tc>
          <w:tcPr/>
          <w:p>
            <w:pPr>
              <w:pStyle w:val="Compact"/>
              <w:jc w:val="left"/>
            </w:pPr>
            <w:r>
              <w:t xml:space="preserve">Partial — formalises erasure, excludes retention law by stated scope</w:t>
            </w:r>
          </w:p>
        </w:tc>
      </w:tr>
      <w:tr>
        <w:tc>
          <w:tcPr/>
          <w:p>
            <w:pPr>
              <w:pStyle w:val="Compact"/>
              <w:jc w:val="left"/>
            </w:pPr>
            <w:r>
              <w:t xml:space="preserve">Practitioner crypto-shredding pattern (VeritasChain, 2026)</w:t>
            </w:r>
          </w:p>
        </w:tc>
        <w:tc>
          <w:tcPr/>
          <w:p>
            <w:pPr>
              <w:pStyle w:val="Compact"/>
              <w:jc w:val="left"/>
            </w:pPr>
            <w:r>
              <w:t xml:space="preserve">Sector pattern (finance)</w:t>
            </w:r>
          </w:p>
        </w:tc>
        <w:tc>
          <w:tcPr/>
          <w:p>
            <w:pPr>
              <w:pStyle w:val="Compact"/>
              <w:jc w:val="left"/>
            </w:pPr>
            <w:r>
              <w:t xml:space="preserve">No</w:t>
            </w:r>
          </w:p>
        </w:tc>
        <w:tc>
          <w:tcPr/>
          <w:p>
            <w:pPr>
              <w:pStyle w:val="Compact"/>
              <w:jc w:val="left"/>
            </w:pPr>
            <w:r>
              <w:t xml:space="preserve">Yes — asserted, bi-lateral</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No — asserted reconciliation, no model, no verifiability semantics</w:t>
            </w:r>
          </w:p>
        </w:tc>
      </w:tr>
      <w:tr>
        <w:tc>
          <w:tcPr/>
          <w:p>
            <w:pPr>
              <w:pStyle w:val="Compact"/>
              <w:jc w:val="left"/>
            </w:pPr>
            <w:r>
              <w:rPr>
                <w:bCs/>
                <w:b/>
              </w:rPr>
              <w:t xml:space="preserve">This thesis (TRF Model + Crypto-Erasure by Invalidation)</w:t>
            </w:r>
          </w:p>
        </w:tc>
        <w:tc>
          <w:tcPr/>
          <w:p>
            <w:pPr>
              <w:pStyle w:val="Compact"/>
              <w:jc w:val="left"/>
            </w:pPr>
            <w:r>
              <w:rPr>
                <w:bCs/>
                <w:b/>
              </w:rPr>
              <w:t xml:space="preserve">Cross-border</w:t>
            </w:r>
          </w:p>
        </w:tc>
        <w:tc>
          <w:tcPr/>
          <w:p>
            <w:pPr>
              <w:pStyle w:val="Compact"/>
              <w:jc w:val="left"/>
            </w:pPr>
            <w:r>
              <w:rPr>
                <w:bCs/>
                <w:b/>
              </w:rPr>
              <w:t xml:space="preserve">No — software only</w:t>
            </w:r>
          </w:p>
        </w:tc>
        <w:tc>
          <w:tcPr/>
          <w:p>
            <w:pPr>
              <w:pStyle w:val="Compact"/>
              <w:jc w:val="left"/>
            </w:pPr>
            <w:r>
              <w:rPr>
                <w:bCs/>
                <w:b/>
              </w:rPr>
              <w:t xml:space="preserve">Yes — derived from the model, within the EDPB 02/2025 corridor</w:t>
            </w:r>
          </w:p>
        </w:tc>
        <w:tc>
          <w:tcPr/>
          <w:p>
            <w:pPr>
              <w:pStyle w:val="Compact"/>
              <w:jc w:val="left"/>
            </w:pPr>
            <w:r>
              <w:rPr>
                <w:bCs/>
                <w:b/>
              </w:rPr>
              <w:t xml:space="preserve">Both, at the audit-trail boundary</w:t>
            </w:r>
          </w:p>
        </w:tc>
        <w:tc>
          <w:tcPr/>
          <w:p>
            <w:pPr>
              <w:pStyle w:val="Compact"/>
              <w:jc w:val="left"/>
            </w:pPr>
            <w:r>
              <w:rPr>
                <w:bCs/>
                <w:b/>
              </w:rPr>
              <w:t xml:space="preserve">Yes — designed against the finalised Norwegian substrate</w:t>
            </w:r>
          </w:p>
        </w:tc>
        <w:tc>
          <w:tcPr/>
          <w:p>
            <w:pPr>
              <w:pStyle w:val="Compact"/>
              <w:jc w:val="left"/>
            </w:pPr>
            <w:r>
              <w:rPr>
                <w:bCs/>
                <w:b/>
              </w:rPr>
              <w:t xml:space="preserve">Yes — tri-lateral feasibility model with infeasibility and feasibility results</w:t>
            </w:r>
          </w:p>
        </w:tc>
      </w:tr>
    </w:tbl>
    <w:p>
      <w:pPr>
        <w:pStyle w:val="BodyText"/>
      </w:pPr>
      <w:r>
        <w:t xml:space="preserve">The table makes the position of the contribution explicit against both its architectural and its analytical neighbours.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(Section 2.4), nor the general formal method, which is established (Section 2.5),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bookmarkEnd w:id="52"/>
    <w:bookmarkStart w:id="53" w:name="identified-research-gaps"/>
    <w:p>
      <w:pPr>
        <w:pStyle w:val="Heading2"/>
      </w:pPr>
      <w:r>
        <w:t xml:space="preserve">2.9 Identified Research Gaps</w:t>
      </w:r>
    </w:p>
    <w:p>
      <w:pPr>
        <w:pStyle w:val="FirstParagraph"/>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2022),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strength of this gap is best demonstrated by its sharpest instance. The collision between the six-month deletion ceiling of Article 68(12) and the one-year identifiable-log retention floor of Article 73(1)(e) requires no synthesis across instruments of differing legal weight and no interpretive work by this author: it is stated by one regulation, in adjacent articles of one chapter, about one environment. The review conducted for this thesis located no treatment of it: not in the academic literature, not in the professional commentary on EHDS secondary use, and not in the guidance published by the Joint Action drafting the specifications for both provisions.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weight this can bear must be stated with the claim rather than left at its first mention: the work is a single-author preprint with industry affiliation and no peer review, and a reader is entitled to discount it accordingly. What it establishes is that an author surveying this literature in 2026 regarded the problem as open, which is corroborating rather than dispositive. The gap claim rests primarily on the four documented search rounds of Section 2.1.4 and on the absence of any treatment in the regulatory and Joint Action guidance reviewed in Sections 2.3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and has sharpened since the first version of this review. The finalised Norwegian SPE criteria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finalised 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Chapter 4 discharges.</w:t>
      </w:r>
    </w:p>
    <w:p>
      <w:pPr>
        <w:pStyle w:val="BodyText"/>
      </w:pPr>
      <w:r>
        <w:t xml:space="preserve">These four gaps converge on the research question stated in Chapter 1 and are addressed, respectively, by the formal model, the mechanism specification, the boundary-placement design decision, and the residue analysis of Chapter 4, with the demonstration of Chapter 5 witnessing the first two executably.</w:t>
      </w:r>
    </w:p>
    <w:bookmarkEnd w:id="53"/>
    <w:bookmarkStart w:id="54" w:name="conceptual-positioning-of-the-thesis"/>
    <w:p>
      <w:pPr>
        <w:pStyle w:val="Heading2"/>
      </w:pPr>
      <w:r>
        <w:t xml:space="preserve">2.10 Conceptual Positioning of the Thesis</w:t>
      </w:r>
    </w:p>
    <w:p>
      <w:pPr>
        <w:pStyle w:val="FirstParagraph"/>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finalised Norwegian substrate. The comparative analysis of Section 2.8 supports that claim entry by entry. The remaining chapters elaborate this claim through the methodology of Chapter 3, the model and specification of Chapter 4, and the executable demonstration of Chapter 5. The counter-positions identified in this review are engaged substantively in Chapter 6: the unprovability of key destruction, the personal-data status of surviving residues, and the operational-complexity critique of crypto-shredding.</w:t>
      </w:r>
    </w:p>
    <w:p>
      <w:r>
        <w:pict>
          <v:rect style="width:0;height:1.5pt" o:hralign="center" o:hrstd="t" o:hr="t"/>
        </w:pict>
      </w:r>
    </w:p>
    <w:bookmarkEnd w:id="54"/>
    <w:bookmarkEnd w:id="55"/>
    <w:bookmarkStart w:id="65" w:name="Xc642577019a76bd27fe42ea49bac447856470a9"/>
    <w:p>
      <w:pPr>
        <w:pStyle w:val="Heading1"/>
      </w:pPr>
      <w:r>
        <w:t xml:space="preserve">Chapter 3. Methodology and Research Design</w:t>
      </w:r>
    </w:p>
    <w:p>
      <w:r>
        <w:pict>
          <v:rect style="width:0;height:1.5pt" o:hralign="center" o:hrstd="t" o:hr="t"/>
        </w:pict>
      </w:r>
    </w:p>
    <w:bookmarkStart w:id="56" w:name="research-paradigm"/>
    <w:p>
      <w:pPr>
        <w:pStyle w:val="Heading2"/>
      </w:pPr>
      <w:r>
        <w:t xml:space="preserve">3.1 Research Paradigm</w:t>
      </w:r>
    </w:p>
    <w:p>
      <w:pPr>
        <w:pStyle w:val="FirstParagraph"/>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Chapter 2: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Chapter 2, but the review itself established that the gap is the absence of a design, not the absence of a synthesis. A purely formal-methods study in the tradition of Feng, Marsso, Sabetzadeh, and Chechik (2022) would have produced the model without the artefact, and would have required proof-assistant machinery and expertise outside the scope of this programme. DSR, in the variant developed in Section 3.3, permits the model and the artefact to be produced together, with the model supplying the rigour and the artefact supplying the relevance.</w:t>
      </w:r>
    </w:p>
    <w:bookmarkEnd w:id="56"/>
    <w:bookmarkStart w:id="57" w:name="the-design-science-cycle-adopted"/>
    <w:p>
      <w:pPr>
        <w:pStyle w:val="Heading2"/>
      </w:pPr>
      <w:r>
        <w:t xml:space="preserve">3.2 The Design Science Cycle Adopted</w:t>
      </w:r>
    </w:p>
    <w:p>
      <w:pPr>
        <w:pStyle w:val="FirstParagraph"/>
      </w:pPr>
      <w:r>
        <w:t xml:space="preserve">The Peffers et al. (2007) six-activity model structures the thesis and maps onto its chapters as follows.</w:t>
      </w:r>
    </w:p>
    <w:p>
      <w:pPr>
        <w:pStyle w:val="BodyText"/>
      </w:pPr>
      <w:r>
        <w:rPr>
          <w:iCs/>
          <w:i/>
        </w:rPr>
        <w:t xml:space="preserve">Activity 1: Problem identification and motivation.</w:t>
      </w:r>
      <w:r>
        <w:t xml:space="preserve"> </w:t>
      </w:r>
      <w:r>
        <w:t xml:space="preserve">The tri-lateral retention conflict is identified from primary regulatory and technical sources and shown to be unresolved in both the literature and Norwegian national policy. Chapters 1 and 2.</w:t>
      </w:r>
    </w:p>
    <w:p>
      <w:pPr>
        <w:pStyle w:val="BodyText"/>
      </w:pPr>
      <w:r>
        <w:rPr>
          <w:iCs/>
          <w:i/>
        </w:rPr>
        <w:t xml:space="preserve">Activity 2: Definition of objectives for a solution.</w:t>
      </w:r>
      <w:r>
        <w:t xml:space="preserve"> </w:t>
      </w:r>
      <w:r>
        <w:t xml:space="preserve">The research question and three sub-questions state what a solution must achieve: joint satisfaction of the three regimes, preservation of audit accountability, verifiability by an external auditor, and compatibility with the Norwegian infrastructure as it actually operates. Chapter 1, Section 1.3.</w:t>
      </w:r>
    </w:p>
    <w:p>
      <w:pPr>
        <w:pStyle w:val="BodyText"/>
      </w:pPr>
      <w:r>
        <w:rPr>
          <w:iCs/>
          <w:i/>
        </w:rPr>
        <w:t xml:space="preserve">Activity 3: Design and development.</w:t>
      </w:r>
      <w:r>
        <w:t xml:space="preserve"> </w:t>
      </w:r>
      <w:r>
        <w:t xml:space="preserve">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rPr>
          <w:iCs/>
          <w:i/>
        </w:rPr>
        <w:t xml:space="preserve">Activity 4: Demonstration.</w:t>
      </w:r>
      <w:r>
        <w:t xml:space="preserve"> </w:t>
      </w:r>
      <w:r>
        <w:t xml:space="preserve">The model and mechanism are instantiated in a software sandbox operating over synthetic patient records, which exhibits the infeasibility result under status-quo semantics and the feasibility result under invalidation semantics. Chapter 5.</w:t>
      </w:r>
    </w:p>
    <w:p>
      <w:pPr>
        <w:pStyle w:val="BodyText"/>
      </w:pPr>
      <w:r>
        <w:rPr>
          <w:iCs/>
          <w:i/>
        </w:rPr>
        <w:t xml:space="preserve">Activity 5, Evaluation.</w:t>
      </w:r>
      <w:r>
        <w:t xml:space="preserve"> </w:t>
      </w:r>
      <w:r>
        <w:t xml:space="preserve">The artefact is evaluated against the objectives of Activity 2 on three axes, internal consistency, external compatibility with verified infrastructure, and engagement with the principal counter-positions surfaced in Chapter 2. Chapters 5 and 6.</w:t>
      </w:r>
    </w:p>
    <w:p>
      <w:pPr>
        <w:pStyle w:val="BodyText"/>
      </w:pPr>
      <w:r>
        <w:rPr>
          <w:iCs/>
          <w:i/>
        </w:rPr>
        <w:t xml:space="preserve">Activity 6: Communication.</w:t>
      </w:r>
      <w:r>
        <w:t xml:space="preserve"> </w:t>
      </w:r>
      <w:r>
        <w:t xml:space="preserve">The thesis itself. Chapters 6 and 7.</w:t>
      </w:r>
    </w:p>
    <w:p>
      <w:pPr>
        <w:pStyle w:val="BodyText"/>
      </w:pPr>
      <w: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Chapter 4 showed that machinery to be unnecessary for the audit-trail problem. That correction is itself an instance of the design cycle operating as intended, and is recorded rather than concealed.</w:t>
      </w:r>
    </w:p>
    <w:bookmarkEnd w:id="57"/>
    <w:bookmarkStart w:id="58" w:name="X19f4312b49998825ef2288fd27080c33ccc84e7"/>
    <w:p>
      <w:pPr>
        <w:pStyle w:val="Heading2"/>
      </w:pPr>
      <w:r>
        <w:t xml:space="preserve">3.3 The Specification-and-Demonstration Variant, Extended with Formal Modelling</w:t>
      </w:r>
    </w:p>
    <w:p>
      <w:pPr>
        <w:pStyle w:val="FirstParagraph"/>
      </w:pPr>
      <w:r>
        <w:t xml:space="preserve">DSR admits artefacts at several levels of abstraction. Hevner et al. (2004) distinguish constructs, models, methods, and instantiations; March and Smith’s earlier typology, on which that classification draws, makes the same separation. This thesis produces an artefact at two of these levels: a</w:t>
      </w:r>
      <w:r>
        <w:t xml:space="preserve"> </w:t>
      </w:r>
      <w:r>
        <w:rPr>
          <w:iCs/>
          <w:i/>
        </w:rPr>
        <w:t xml:space="preserve">model</w:t>
      </w:r>
      <w:r>
        <w:t xml:space="preserve"> </w:t>
      </w:r>
      <w:r>
        <w:t xml:space="preserve">(the TRF Model, a formal representation of the problem domain and its constraints) and a partial</w:t>
      </w:r>
      <w:r>
        <w:t xml:space="preserve"> </w:t>
      </w:r>
      <w:r>
        <w:rPr>
          <w:iCs/>
          <w:i/>
        </w:rPr>
        <w:t xml:space="preserve">instantiation</w:t>
      </w:r>
      <w:r>
        <w:t xml:space="preserve"> </w:t>
      </w:r>
      <w:r>
        <w:t xml:space="preserve">(the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Chapter 2, Section 2.5, in which regulatory obligations are expressed as formal properties and compliance is decided as a satisfiability problem (Feng et al., 2022).</w:t>
      </w:r>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deliberately employs a lighter formalism than the Metric First-Order Temporal Logic and Satisfiability Modulo Theories apparatus of Feng et al. (2022): a feasibility formulation over discretised time with one binary accessibility variable per audit record, in the constraint-modelling style of operations research. The justification is threefold. The conflict turns on a single semantic question, what</w:t>
      </w:r>
      <w:r>
        <w:t xml:space="preserve"> </w:t>
      </w:r>
      <w:r>
        <w:t xml:space="preserve">“</w:t>
      </w:r>
      <w:r>
        <w:t xml:space="preserve">verifiable</w:t>
      </w:r>
      <w:r>
        <w:t xml:space="preserve">”</w:t>
      </w:r>
      <w:r>
        <w:t xml:space="preserve"> </w:t>
      </w:r>
      <w:r>
        <w:t xml:space="preserve">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theorems checkable by a reader with no proof-assistant background. The cost of this choice is expressive power: the model cannot represent obligations whose structure exceeds the chosen formalism, a limitation recorded in Section 3.7 and revisited in Chapter 6.</w:t>
      </w:r>
    </w:p>
    <w:bookmarkEnd w:id="58"/>
    <w:bookmarkStart w:id="59" w:name="formal-modelling-methodology"/>
    <w:p>
      <w:pPr>
        <w:pStyle w:val="Heading2"/>
      </w:pPr>
      <w:r>
        <w:t xml:space="preserve">3.4 Formal-Modelling Methodology</w:t>
      </w:r>
    </w:p>
    <w:p>
      <w:pPr>
        <w:pStyle w:val="FirstParagraph"/>
      </w:pPr>
      <w:r>
        <w:t xml:space="preserve">This section states how the TRF Model is constructed. The model itself, with its full notation, theorems, and proofs, is developed in Chapter 4; what follows is the method by which it is built and the standard to which it is held.</w:t>
      </w:r>
    </w:p>
    <w:p>
      <w:pPr>
        <w:pStyle w:val="BodyText"/>
      </w:pPr>
      <w:r>
        <w:rPr>
          <w:iCs/>
          <w:i/>
        </w:rPr>
        <w:t xml:space="preserve">Step 1: Decomposition of the object.</w:t>
      </w:r>
      <w:r>
        <w:t xml:space="preserve"> </w:t>
      </w:r>
      <w:r>
        <w:t xml:space="preserve">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The personal-data payload comprises the content of the exchanged clinical document.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Chapter 2, Section 2.3 rather than assumed: it is the necessity boundary of Article 17(3)(b), read with the minimisation principle of Article 5(1)(c), that separates what must be retained from what may not be.</w:t>
      </w:r>
    </w:p>
    <w:p>
      <w:pPr>
        <w:pStyle w:val="BodyText"/>
      </w:pPr>
      <w:r>
        <w:rPr>
          <w:iCs/>
          <w:i/>
        </w:rPr>
        <w:t xml:space="preserve">Step 2: Translation of each regime into a constraint.</w:t>
      </w:r>
      <w:r>
        <w:t xml:space="preserve"> </w:t>
      </w:r>
      <w:r>
        <w:t xml:space="preserve">Each regime is expressed as a constraint over discretised monthly time on the state of a record. The retention floor requires that the record remain verifiable throughout its retention window. The Article 17 erasure right requires that, following a valid erasure request, the personal-data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imposed on cross-border audit repositories by the eHDSI deployment baseline,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rPr>
          <w:iCs/>
          <w:i/>
        </w:rPr>
        <w:t xml:space="preserve">Step 3: Definition of the competing semantics.</w:t>
      </w:r>
      <w:r>
        <w:t xml:space="preserve"> </w:t>
      </w:r>
      <w:r>
        <w:t xml:space="preserve">The pivotal move is to make explicit an assumption that the operational status quo leaves implicit. Under</w:t>
      </w:r>
      <w:r>
        <w:t xml:space="preserve"> </w:t>
      </w:r>
      <w:r>
        <w:rPr>
          <w:iCs/>
          <w:i/>
        </w:rPr>
        <w:t xml:space="preserve">plaintext-verifiability semantics</w:t>
      </w:r>
      <w:r>
        <w:t xml:space="preserve">, a record satisfies the retention constraint only while its payload remains accessible in recoverable form. Under</w:t>
      </w:r>
      <w:r>
        <w:t xml:space="preserve"> </w:t>
      </w:r>
      <w:r>
        <w:rPr>
          <w:iCs/>
          <w:i/>
        </w:rPr>
        <w:t xml:space="preserve">accountability-preservation semantics</w:t>
      </w:r>
      <w:r>
        <w:t xml:space="preserve">,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an unexamined inheritance from systems designed before the erasure right existed.</w:t>
      </w:r>
    </w:p>
    <w:p>
      <w:pPr>
        <w:pStyle w:val="BodyText"/>
      </w:pPr>
      <w:r>
        <w:rPr>
          <w:iCs/>
          <w:i/>
        </w:rPr>
        <w:t xml:space="preserve">Step 4: Establishing the two results.</w:t>
      </w:r>
      <w:r>
        <w:t xml:space="preserve"> </w:t>
      </w:r>
      <w:r>
        <w:t xml:space="preserve">Theorem 1 states that under plaintext-verifiability semantics the constraint system is infeasible whenever an erasure request or a permit expiry falls within a record’s retention window, which, over a ten-year window, is the ordinary case rather than the exception.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Theorem 2 states that under accountability-preservation semantics the system is jointly satisfiable for every arrival pattern of erasure requests and permit expiries, and exhibits the mechanism that achieves this as the constructive witness. Both are argued informally at the level of rigour standard for design-science work rather than machine-checked; Section 3.7 records what that means for the strength of the claim.</w:t>
      </w:r>
    </w:p>
    <w:p>
      <w:pPr>
        <w:pStyle w:val="BodyText"/>
      </w:pPr>
      <w:r>
        <w:rPr>
          <w:iCs/>
          <w:i/>
        </w:rPr>
        <w:t xml:space="preserve">Step 5: Executable checking.</w:t>
      </w:r>
      <w:r>
        <w:t xml:space="preserve"> </w:t>
      </w:r>
      <w:r>
        <w:t xml:space="preserve">Because the formulation is deliberately light, both results can be checked by direct execution rather than only by argument. The checker described in Section 3.6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theorems hold on the instances examined, and its value is that it makes the argument inspectable by a reader who does not wish to take the proofs on trust.</w:t>
      </w:r>
    </w:p>
    <w:bookmarkEnd w:id="59"/>
    <w:bookmarkStart w:id="60" w:name="synthetic-data"/>
    <w:p>
      <w:pPr>
        <w:pStyle w:val="Heading2"/>
      </w:pPr>
      <w:r>
        <w:t xml:space="preserve">3.5 Synthetic Data</w:t>
      </w:r>
    </w:p>
    <w:p>
      <w:pPr>
        <w:pStyle w:val="FirstParagraph"/>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w:t>
      </w:r>
      <w:r>
        <w:t xml:space="preserve"> </w:t>
      </w:r>
      <w:r>
        <w:rPr>
          <w:iCs/>
          <w:i/>
        </w:rPr>
        <w:t xml:space="preserve">FHIR R4</w:t>
      </w:r>
      <w:r>
        <w:t xml:space="preserve">, not R5, because the Norwegian national profile set (basisprofiler) maintained by HL7 Norway constrains R4; matching the Norwegian profile version is what makes the demonstration representative of the Norwegian setting rather than of a generic one. The population is approximately</w:t>
      </w:r>
      <w:r>
        <w:t xml:space="preserve"> </w:t>
      </w:r>
      <w:r>
        <w:rPr>
          <w:iCs/>
          <w:i/>
        </w:rPr>
        <w:t xml:space="preserve">one hundred synthetic patients</w:t>
      </w:r>
      <w:r>
        <w:t xml:space="preserve">.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w:t>
      </w:r>
      <w:r>
        <w:t xml:space="preserve"> </w:t>
      </w:r>
      <w:r>
        <w:rPr>
          <w:iCs/>
          <w:i/>
        </w:rPr>
        <w:t xml:space="preserve">random seeds are fixed and reported</w:t>
      </w:r>
      <w:r>
        <w:t xml:space="preserve">,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Chapter 5, Section 5.7: because no constraint in the model reads the content of a payload, the demonstration’s results are invariant to payload provenance, and Norwegian representativeness is required of the</w:t>
      </w:r>
      <w:r>
        <w:t xml:space="preserve"> </w:t>
      </w:r>
      <w:r>
        <w:rPr>
          <w:iCs/>
          <w:i/>
        </w:rPr>
        <w:t xml:space="preserve">infrastructure analysis</w:t>
      </w:r>
      <w:r>
        <w:t xml:space="preserve"> </w:t>
      </w:r>
      <w:r>
        <w:t xml:space="preserve">in Chapter 4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are real and are recorded here rather than omitted. They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Chapter 5, and is restated there.</w:t>
      </w:r>
    </w:p>
    <w:bookmarkEnd w:id="60"/>
    <w:bookmarkStart w:id="61" w:name="sandbox-implementation-approach"/>
    <w:p>
      <w:pPr>
        <w:pStyle w:val="Heading2"/>
      </w:pPr>
      <w:r>
        <w:t xml:space="preserve">3.6 Sandbox Implementation Approach</w:t>
      </w:r>
    </w:p>
    <w:p>
      <w:pPr>
        <w:pStyle w:val="FirstParagraph"/>
      </w:pPr>
      <w:r>
        <w:t xml:space="preserve">The sandbox is implemented in Python and has two layers, separated deliberately so that the load-bearing claim rests on the smaller and more inspectable component.</w:t>
      </w:r>
    </w:p>
    <w:p>
      <w:pPr>
        <w:pStyle w:val="BodyText"/>
      </w:pPr>
      <w:r>
        <w:t xml:space="preserve">The</w:t>
      </w:r>
      <w:r>
        <w:t xml:space="preserve"> </w:t>
      </w:r>
      <w:r>
        <w:rPr>
          <w:iCs/>
          <w:i/>
        </w:rPr>
        <w:t xml:space="preserve">feasibility checker</w:t>
      </w:r>
      <w:r>
        <w:t xml:space="preserve"> </w:t>
      </w:r>
      <w:r>
        <w:t xml:space="preserve">is the primary layer and the executable witness of the theorems. It constructs audit records as the tuples defined in Chapter 4, Section 4.3,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Table 5.0a gives its size. A reader who doubts Theorem 1 can find in its output the specific record, month, and constraint at which plaintext semantics fails; a reader who doubts Theorem 2 can confirm that no violation arises under invalidation semantics across the generated instances.</w:t>
      </w:r>
    </w:p>
    <w:p>
      <w:pPr>
        <w:pStyle w:val="BodyText"/>
      </w:pPr>
      <w:r>
        <w:t xml:space="preserve">The</w:t>
      </w:r>
      <w:r>
        <w:t xml:space="preserve"> </w:t>
      </w:r>
      <w:r>
        <w:rPr>
          <w:iCs/>
          <w:i/>
        </w:rPr>
        <w:t xml:space="preserve">realism layer</w:t>
      </w:r>
      <w:r>
        <w:t xml:space="preserve"> </w:t>
      </w:r>
      <w:r>
        <w:t xml:space="preserve">wraps the checker so that its inputs derive from Synthea-generated FHIR bundles rather than from abstract record identifiers, computing commitments over the actual payloads and constructing metadata from the actual encounter events. It is smaller than the checker (Table 5.0a) and is not load-bearing: if the wrapper were removed, the theorems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which is a design requirement rather than an implementation detail, since Chapter 2 established that an unsalted hash of personal data may itself remain personal data.</w:t>
      </w:r>
      <w:r>
        <w:t xml:space="preserve"> </w:t>
      </w:r>
      <w:r>
        <w:rPr>
          <w:iCs/>
          <w:i/>
        </w:rPr>
        <w:t xml:space="preserve">No zero-knowledge proof system is implemented at any point</w:t>
      </w:r>
      <w:r>
        <w:t xml:space="preserve">, and none is required. The mechanism’s verifiability rests on commitments and on the recorded invalidation event, not on succinct arguments.</w:t>
      </w:r>
    </w:p>
    <w:p>
      <w:pPr>
        <w:pStyle w:val="BodyText"/>
      </w:pPr>
      <w:r>
        <w:t xml:space="preserve">A satisfiability solver may optionally be used to cross-check the constraint system on small instances, as an independent confirmation that the hand-written checker implements the constraints as stated. This is a robustness measure rather than a component of the contribution, and the thesis does not depend on it.</w:t>
      </w:r>
    </w:p>
    <w:p>
      <w:pPr>
        <w:pStyle w:val="BodyText"/>
      </w:pPr>
      <w:r>
        <w:t xml:space="preserve">What the sandbox does not do bounds what Chapter 5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bookmarkEnd w:id="61"/>
    <w:bookmarkStart w:id="62" w:name="validity-reliability-and-limitations"/>
    <w:p>
      <w:pPr>
        <w:pStyle w:val="Heading2"/>
      </w:pPr>
      <w:r>
        <w:t xml:space="preserve">3.7 Validity, Reliability, and Limitations</w:t>
      </w:r>
    </w:p>
    <w:p>
      <w:pPr>
        <w:pStyle w:val="FirstParagraph"/>
      </w:pPr>
      <w:r>
        <w:t xml:space="preserve">The evaluation strategy is analytical rather than empirical, and its criteria are stated here in advance of the results.</w:t>
      </w:r>
    </w:p>
    <w:p>
      <w:pPr>
        <w:pStyle w:val="BodyText"/>
      </w:pPr>
      <w:r>
        <w:rPr>
          <w:iCs/>
          <w:i/>
        </w:rPr>
        <w:t xml:space="preserve">Internal validity</w:t>
      </w:r>
      <w:r>
        <w:t xml:space="preserve"> </w:t>
      </w:r>
      <w:r>
        <w:t xml:space="preserve">concerns whether the artefact is internally coherent: whether the constraints faithfully represent the instruments they translate, whether the two semantics are stated precisely enough to be distinguished, whether the theorems follow from the definitions, and whether the mechanism specified in Chapter 4 is in fact the witness the feasibility result requires. This is assessed by argument and by the executable check of Section 3.6, and it is the axis on which the contribution principally stands or falls.</w:t>
      </w:r>
    </w:p>
    <w:p>
      <w:pPr>
        <w:pStyle w:val="BodyText"/>
      </w:pPr>
      <w:r>
        <w:rPr>
          <w:iCs/>
          <w:i/>
        </w:rPr>
        <w:t xml:space="preserve">External validity</w:t>
      </w:r>
      <w:r>
        <w:t xml:space="preserve"> </w:t>
      </w:r>
      <w:r>
        <w:t xml:space="preserve">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finalised Norwegian Secure Processing Environment criteria,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Compatibility analysis is weaker evidence than deployment, and is not presented as equivalent to it.</w:t>
      </w:r>
    </w:p>
    <w:p>
      <w:pPr>
        <w:pStyle w:val="BodyText"/>
      </w:pPr>
      <w:r>
        <w:rPr>
          <w:iCs/>
          <w:i/>
        </w:rPr>
        <w:t xml:space="preserve">Reliability</w:t>
      </w:r>
      <w:r>
        <w:t xml:space="preserve"> </w:t>
      </w:r>
      <w:r>
        <w:t xml:space="preserve">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w:t>
      </w:r>
      <w:r>
        <w:t xml:space="preserve"> </w:t>
      </w:r>
      <w:r>
        <w:rPr>
          <w:iCs/>
          <w:i/>
        </w:rPr>
        <w:t xml:space="preserve">proof standard</w:t>
      </w:r>
      <w:r>
        <w:t xml:space="preserve">. The theorems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w:t>
      </w:r>
      <w:r>
        <w:t xml:space="preserve"> </w:t>
      </w:r>
      <w:r>
        <w:rPr>
          <w:iCs/>
          <w:i/>
        </w:rPr>
        <w:t xml:space="preserve">expressiveness of the formalism</w:t>
      </w:r>
      <w:r>
        <w:t xml:space="preserve">. The deliberate lightness described in Section 3.3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w:t>
      </w:r>
      <w:r>
        <w:t xml:space="preserve"> </w:t>
      </w:r>
      <w:r>
        <w:rPr>
          <w:iCs/>
          <w:i/>
        </w:rPr>
        <w:t xml:space="preserve">key-destruction assumption</w:t>
      </w:r>
      <w:r>
        <w:t xml:space="preserve">. The mechanism’s guarantees are conditional on honest and irreversible destruction of key material. As Chapter 2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Chapter 6 engages the practitioner critique that builds on it.</w:t>
      </w:r>
    </w:p>
    <w:p>
      <w:pPr>
        <w:pStyle w:val="BodyText"/>
      </w:pPr>
      <w:r>
        <w:t xml:space="preserve">The fourth is</w:t>
      </w:r>
      <w:r>
        <w:t xml:space="preserve"> </w:t>
      </w:r>
      <w:r>
        <w:rPr>
          <w:iCs/>
          <w:i/>
        </w:rPr>
        <w:t xml:space="preserve">scope</w:t>
      </w:r>
      <w:r>
        <w:t xml:space="preserv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w:t>
      </w:r>
      <w:r>
        <w:t xml:space="preserve"> </w:t>
      </w:r>
      <w:r>
        <w:rPr>
          <w:iCs/>
          <w:i/>
        </w:rPr>
        <w:t xml:space="preserve">operational cost</w:t>
      </w:r>
      <w:r>
        <w:t xml:space="preserve"> </w:t>
      </w:r>
      <w:r>
        <w:t xml:space="preserve">of the mechanism. Per-record key granularity imposes a key-management burden that the thesis argues is bounded and auditable but does not quantify; Chapter 6, Section 6.4 engages the critique and Section 6.5 sets out how the components scale.</w:t>
      </w:r>
    </w:p>
    <w:p>
      <w:pPr>
        <w:pStyle w:val="BodyText"/>
      </w:pPr>
      <w:r>
        <w:t xml:space="preserve">The sixth concerns</w:t>
      </w:r>
      <w:r>
        <w:t xml:space="preserve"> </w:t>
      </w:r>
      <w:r>
        <w:rPr>
          <w:iCs/>
          <w:i/>
        </w:rPr>
        <w:t xml:space="preserve">interpretive authority</w:t>
      </w:r>
      <w:r>
        <w:t xml:space="preserve">. Two steps in the argument rest on reasoning rather than on any regulatory holding: that an invalidated record continues to satisfy a retention obligation, and that Article 68(12) reaches the access logs a Secure Processing Environment generates. Chapter 6, Section 6.2 confronts both and Chapter 7, Section 7.4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Theorem 1 requires only that some valid request fall inside a retention window, and Corollary 1.2 involves no erasure request at all. The abstraction therefore inflates the frequencies reported in Chapter 5 and leaves the theorems 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theorems, since a mechanism that satisfies the constraints for a whole payload satisfies them for any subset of it, but it means the model says nothing about partial erasure, and a mechanism designed for field-level redaction would need a richer state space than the one used here.</w:t>
      </w:r>
    </w:p>
    <w:bookmarkEnd w:id="62"/>
    <w:bookmarkStart w:id="63" w:name="evaluation-design-for-the-next-cycle"/>
    <w:p>
      <w:pPr>
        <w:pStyle w:val="Heading2"/>
      </w:pPr>
      <w:r>
        <w:t xml:space="preserve">3.8 Evaluation Design for the Next Cycle</w:t>
      </w:r>
    </w:p>
    <w:p>
      <w:pPr>
        <w:pStyle w:val="FirstParagraph"/>
      </w:pPr>
      <w:r>
        <w:t xml:space="preserve">The evaluation reported in this thesis is analytical, as Section 3.7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are worth stating here rather than leaving to the appendix. Interview question seven asks practitioners directly whether Article 68(12) reaches the access logs an environment generates (the interpretive question on which Corollary 1.2 depends, identified in Chapter 4, Section 4.6) because practitioner readings of that provision are evidence this author cannot generate analytically. And the questionnaire retains verbatim an anchor statement asserting that the mechanism gives auditors full confidence that data was lawfully deleted, which is stronger than the thesis’s own claim; a paired item captures the distinction between attestation and proof, and disagreement with the anchor would be an accurate response rather than an instrument failure.</w:t>
      </w:r>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Chapter 1, Section 1.5, of Section 3.9 below, and of the Declaration of Originality, each of which states that this research involves no human participants. Those statements are accurate for the thesis as submitted. Chapter 7, Section 7.5 carries execution of this instrument as the immediate next step in the research programme.</w:t>
      </w:r>
    </w:p>
    <w:bookmarkEnd w:id="63"/>
    <w:bookmarkStart w:id="64" w:name="ethical-considerations"/>
    <w:p>
      <w:pPr>
        <w:pStyle w:val="Heading2"/>
      </w:pPr>
      <w:r>
        <w:t xml:space="preserve">3.9 Ethical Considerations</w:t>
      </w:r>
    </w:p>
    <w:p>
      <w:pPr>
        <w:pStyle w:val="FirstParagraph"/>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 This is stated explicitly because an earlier draft of this project asserted an institutional review board approval that did not exist; the correction is recorded here as a matter of research integrity.</w:t>
      </w:r>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Chapter 1, Section 1.5 are described as future work and never as achievements. These commitments respond directly to the failures identified in the earlier draft of this project, and their explicit statement here is intended to make them checkable by the examiner rather than merely asserted.</w:t>
      </w:r>
    </w:p>
    <w:p>
      <w:r>
        <w:pict>
          <v:rect style="width:0;height:1.5pt" o:hralign="center" o:hrstd="t" o:hr="t"/>
        </w:pict>
      </w:r>
    </w:p>
    <w:p>
      <w:pPr>
        <w:pStyle w:val="FirstParagraph"/>
      </w:pPr>
      <w:r>
        <w:t xml:space="preserve">¹ Synthea is documented in Walonoski et al. (2018),</w:t>
      </w:r>
      <w:r>
        <w:t xml:space="preserve"> </w:t>
      </w:r>
      <w:r>
        <w:rPr>
          <w:iCs/>
          <w:i/>
        </w:rPr>
        <w:t xml:space="preserve">Journal of the American Medical Informatics Association</w:t>
      </w:r>
      <w:r>
        <w:t xml:space="preserve">, 25(3), 230–238, https://doi.org/10.1093/jamia/ocx079.</w:t>
      </w:r>
    </w:p>
    <w:p>
      <w:r>
        <w:pict>
          <v:rect style="width:0;height:1.5pt" o:hralign="center" o:hrstd="t" o:hr="t"/>
        </w:pict>
      </w:r>
    </w:p>
    <w:bookmarkEnd w:id="64"/>
    <w:bookmarkEnd w:id="65"/>
    <w:bookmarkStart w:id="78" w:name="X2971a2bc3f1973506a5daa95b277d527922fc52"/>
    <w:p>
      <w:pPr>
        <w:pStyle w:val="Heading1"/>
      </w:pPr>
      <w:r>
        <w:t xml:space="preserve">Chapter 4. The Tri-Lateral Retention Feasibility Model and the Crypto-Erasure by Invalidation Mechanism</w:t>
      </w:r>
    </w:p>
    <w:p>
      <w:pPr>
        <w:pStyle w:val="FirstParagraph"/>
      </w:pPr>
      <w:r>
        <w:rPr>
          <w:iCs/>
          <w:i/>
        </w:rPr>
        <w:t xml:space="preserve">Theorem statements and proofs in this chapter are the author’s own. Regulatory claims are anchored to the primary instruments cited at each point.</w:t>
      </w:r>
    </w:p>
    <w:p>
      <w:r>
        <w:pict>
          <v:rect style="width:0;height:1.5pt" o:hralign="center" o:hrstd="t" o:hr="t"/>
        </w:pict>
      </w:r>
    </w:p>
    <w:bookmarkStart w:id="66" w:name="purpose-and-structure-of-the-chapter"/>
    <w:p>
      <w:pPr>
        <w:pStyle w:val="Heading2"/>
      </w:pPr>
      <w:r>
        <w:t xml:space="preserve">4.1 Purpose and Structure of the Chapter</w:t>
      </w:r>
    </w:p>
    <w:p>
      <w:pPr>
        <w:pStyle w:val="FirstParagraph"/>
      </w:pPr>
      <w:r>
        <w:t xml:space="preserve">This chapter contains the analytical core of the thesis. It does three things in sequence, and the sequence matters because each step licenses the next.</w:t>
      </w:r>
    </w:p>
    <w:p>
      <w:pPr>
        <w:pStyle w:val="BodyText"/>
      </w:pPr>
      <w:r>
        <w:t xml:space="preserve">First, it establishes what the law actually requires to be retained, as distinct from what current practice retains. This is the necessity analysis begun in Chapter 2, Section 2.3,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two results. Theorem 1 establishes that under the semantics implicit in current practice the constraint system is infeasible. Theorem 2 establishes that under an alternative semantics the system is jointly satisfiable, and its proof is constructive: it exhibits the mechanism that achieves satisfaction.</w:t>
      </w:r>
    </w:p>
    <w:p>
      <w:pPr>
        <w:pStyle w:val="BodyText"/>
      </w:pPr>
      <w:r>
        <w:t xml:space="preserve">Third, it specifies that mechanism, Crypto-Erasure by Invalidation, in enough detail to be implemented, analyses the residue it leaves behind against the legal threshold that residue must clear, compares it against the rival designs a reviewer would propose instead,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theorems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Section 4.2 documents that translation claim by claim rather than asserting it.</w:t>
      </w:r>
    </w:p>
    <w:bookmarkEnd w:id="66"/>
    <w:bookmarkStart w:id="67" w:name="Xffef421608dbde39858ce0190b0b9b95157db9d"/>
    <w:p>
      <w:pPr>
        <w:pStyle w:val="Heading2"/>
      </w:pPr>
      <w:r>
        <w:t xml:space="preserve">4.2 What Must Be Retained: The Necessity Analysis</w:t>
      </w:r>
    </w:p>
    <w:p>
      <w:pPr>
        <w:pStyle w:val="FirstParagraph"/>
      </w:pPr>
      <w:r>
        <w:t xml:space="preserve">The decomposition that makes the model possible is not a modelling convenience. It is derived from the legal position established in Chapter 2, Section 2.3, and it must be stated precisely because 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pPr>
        <w:pStyle w:val="BodyText"/>
      </w:pPr>
      <w:r>
        <w:t xml:space="preserve">This yields the central claim of the necessity analysis:</w:t>
      </w:r>
      <w:r>
        <w:t xml:space="preserve"> </w:t>
      </w:r>
      <w:r>
        <w:rPr>
          <w:iCs/>
          <w:i/>
        </w:rPr>
        <w:t xml:space="preserve">the accountability function of a cross-border audit record is discharged by its metadata and by a binding commitment to its payload, and does not require the payload to remain accessible.</w:t>
      </w:r>
      <w:r>
        <w:t xml:space="preserve"> </w:t>
      </w:r>
      <w:r>
        <w:t xml:space="preserve">Retention of accessible plaintext payload for ten years therefore exceeds what Article 17(3)(b) protects. Article 5(1)(c) positively requires that it not be retained where the purpose can be achieved without it.</w:t>
      </w:r>
    </w:p>
    <w:p>
      <w:pPr>
        <w:pStyle w:val="BodyText"/>
      </w:pPr>
      <w:r>
        <w:t xml:space="preserve">Two supports and one limit should be recorded.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Section 4.9.</w:t>
      </w:r>
    </w:p>
    <w:bookmarkEnd w:id="67"/>
    <w:bookmarkStart w:id="68" w:name="the-model-objects-and-notation"/>
    <w:p>
      <w:pPr>
        <w:pStyle w:val="Heading2"/>
      </w:pPr>
      <w:r>
        <w:t xml:space="preserve">4.3 The Model: Objects and Notation</w:t>
      </w:r>
    </w:p>
    <w:p>
      <w:pPr>
        <w:pStyle w:val="FirstParagraph"/>
      </w:pPr>
      <w:r>
        <w:t xml:space="preserve">Let the time domain be discretised into months, indexed by</w:t>
      </w:r>
      <w:r>
        <w:t xml:space="preserve"> </w:t>
      </w:r>
      <m:oMath>
        <m:r>
          <m:t>t</m:t>
        </m:r>
        <m:r>
          <m:rPr>
            <m:sty m:val="p"/>
          </m:rPr>
          <m:t>∈</m:t>
        </m:r>
        <m:r>
          <m:rPr>
            <m:sty m:val="p"/>
            <m:scr m:val="double-struck"/>
          </m:rPr>
          <m:t>N</m:t>
        </m:r>
      </m:oMath>
      <w:r>
        <w:t xml:space="preserve">, with</w:t>
      </w:r>
      <w:r>
        <w:t xml:space="preserve"> </w:t>
      </w:r>
      <m:oMath>
        <m:r>
          <m:t>t</m:t>
        </m:r>
        <m:r>
          <m:rPr>
            <m:sty m:val="p"/>
          </m:rPr>
          <m:t>=</m:t>
        </m:r>
        <m:r>
          <m:t>0</m:t>
        </m:r>
      </m:oMath>
      <w:r>
        <w:t xml:space="preserve"> </w:t>
      </w:r>
      <w:r>
        <w:t xml:space="preserve">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w:t>
      </w:r>
      <w:r>
        <w:t xml:space="preserve"> </w:t>
      </w:r>
      <m:oMath>
        <m:r>
          <m:t>A</m:t>
        </m:r>
      </m:oMath>
      <w:r>
        <w:t xml:space="preserve"> </w:t>
      </w:r>
      <w:r>
        <w:t xml:space="preserve">be the set of audit records. Each record</w:t>
      </w:r>
      <w:r>
        <w:t xml:space="preserve"> </w:t>
      </w:r>
      <m:oMath>
        <m:r>
          <m:t>a</m:t>
        </m:r>
        <m:r>
          <m:rPr>
            <m:sty m:val="p"/>
          </m:rPr>
          <m:t>∈</m:t>
        </m:r>
        <m:r>
          <m:t>A</m:t>
        </m:r>
      </m:oMath>
      <w:r>
        <w:t xml:space="preserve"> </w:t>
      </w:r>
      <w:r>
        <w:t xml:space="preserve">is generated by a single access event and is represented as a tuple</w:t>
      </w:r>
    </w:p>
    <w:p>
      <w:pPr>
        <w:pStyle w:val="BodyText"/>
      </w:pPr>
      <m:oMathPara>
        <m:oMathParaPr>
          <m:jc m:val="center"/>
        </m:oMathParaPr>
        <m:oMath>
          <m:r>
            <m:t>a</m:t>
          </m:r>
          <m:r>
            <m:rPr>
              <m:sty m:val="p"/>
            </m:rPr>
            <m:t>=</m:t>
          </m:r>
          <m:d>
            <m:dPr>
              <m:begChr m:val="("/>
              <m:endChr m:val=")"/>
              <m:sepChr m:val=""/>
              <m:grow/>
            </m:dPr>
            <m:e>
              <m:r>
                <m:t> </m:t>
              </m:r>
              <m:r>
                <m:t>m</m:t>
              </m:r>
              <m:d>
                <m:dPr>
                  <m:begChr m:val="("/>
                  <m:endChr m:val=")"/>
                  <m:sepChr m:val=""/>
                  <m:grow/>
                </m:dPr>
                <m:e>
                  <m:r>
                    <m:t>a</m:t>
                  </m:r>
                </m:e>
              </m:d>
              <m:r>
                <m:rPr>
                  <m:sty m:val="p"/>
                </m:rPr>
                <m:t>,</m:t>
              </m:r>
              <m:r>
                <m:t> </m:t>
              </m:r>
              <m:r>
                <m:t>p</m:t>
              </m:r>
              <m:d>
                <m:dPr>
                  <m:begChr m:val="("/>
                  <m:endChr m:val=")"/>
                  <m:sepChr m:val=""/>
                  <m:grow/>
                </m:dPr>
                <m:e>
                  <m:r>
                    <m:t>a</m:t>
                  </m:r>
                </m:e>
              </m:d>
              <m:r>
                <m:rPr>
                  <m:sty m:val="p"/>
                </m:rPr>
                <m:t>,</m:t>
              </m:r>
              <m:r>
                <m:t> </m:t>
              </m:r>
              <m:r>
                <m:t>c</m:t>
              </m:r>
              <m:d>
                <m:dPr>
                  <m:begChr m:val="("/>
                  <m:endChr m:val=")"/>
                  <m:sepChr m:val=""/>
                  <m:grow/>
                </m:dPr>
                <m:e>
                  <m:r>
                    <m:t>a</m:t>
                  </m:r>
                </m:e>
              </m:d>
              <m:r>
                <m:rPr>
                  <m:sty m:val="p"/>
                </m:rPr>
                <m:t>,</m:t>
              </m:r>
              <m:r>
                <m:t> </m:t>
              </m:r>
              <m:r>
                <m:t>k</m:t>
              </m:r>
              <m:d>
                <m:dPr>
                  <m:begChr m:val="("/>
                  <m:endChr m:val=")"/>
                  <m:sepChr m:val=""/>
                  <m:grow/>
                </m:dPr>
                <m:e>
                  <m:r>
                    <m:t>a</m:t>
                  </m:r>
                </m:e>
              </m:d>
              <m:r>
                <m:rPr>
                  <m:sty m:val="p"/>
                </m:rPr>
                <m:t>,</m:t>
              </m:r>
              <m:r>
                <m:t> </m:t>
              </m:r>
              <m:r>
                <m:t>t</m:t>
              </m:r>
              <m:d>
                <m:dPr>
                  <m:begChr m:val="("/>
                  <m:endChr m:val=")"/>
                  <m:sepChr m:val=""/>
                  <m:grow/>
                </m:dPr>
                <m:e>
                  <m:r>
                    <m:t>a</m:t>
                  </m:r>
                </m:e>
              </m:d>
              <m:r>
                <m:rPr>
                  <m:sty m:val="p"/>
                </m:rPr>
                <m:t>,</m:t>
              </m:r>
              <m:r>
                <m:t> </m:t>
              </m:r>
              <m:r>
                <m:t>F</m:t>
              </m:r>
              <m:d>
                <m:dPr>
                  <m:begChr m:val="("/>
                  <m:endChr m:val=")"/>
                  <m:sepChr m:val=""/>
                  <m:grow/>
                </m:dPr>
                <m:e>
                  <m:r>
                    <m:t>a</m:t>
                  </m:r>
                </m:e>
              </m:d>
              <m:r>
                <m:rPr>
                  <m:sty m:val="p"/>
                </m:rPr>
                <m:t>,</m:t>
              </m:r>
              <m:r>
                <m:t> </m:t>
              </m:r>
              <m:r>
                <m:t>σ</m:t>
              </m:r>
              <m:d>
                <m:dPr>
                  <m:begChr m:val="("/>
                  <m:endChr m:val=")"/>
                  <m:sepChr m:val=""/>
                  <m:grow/>
                </m:dPr>
                <m:e>
                  <m:r>
                    <m:t>a</m:t>
                  </m:r>
                </m:e>
              </m:d>
              <m:r>
                <m:t> </m:t>
              </m:r>
            </m:e>
          </m:d>
        </m:oMath>
      </m:oMathPara>
    </w:p>
    <w:p>
      <w:pPr>
        <w:pStyle w:val="FirstParagraph"/>
      </w:pPr>
      <w:r>
        <w:t xml:space="preserve">where:</w:t>
      </w:r>
    </w:p>
    <w:p>
      <w:pPr>
        <w:numPr>
          <w:ilvl w:val="0"/>
          <w:numId w:val="1002"/>
        </w:numPr>
        <w:pStyle w:val="Compact"/>
      </w:pPr>
      <m:oMath>
        <m:r>
          <m:t>m</m:t>
        </m:r>
        <m:d>
          <m:dPr>
            <m:begChr m:val="("/>
            <m:endChr m:val=")"/>
            <m:sepChr m:val=""/>
            <m:grow/>
          </m:dPr>
          <m:e>
            <m:r>
              <m:t>a</m:t>
            </m:r>
          </m:e>
        </m:d>
      </m:oMath>
      <w:r>
        <w:t xml:space="preserve"> </w:t>
      </w:r>
      <w:r>
        <w:t xml:space="preserve">is the</w:t>
      </w:r>
      <w:r>
        <w:t xml:space="preserve"> </w:t>
      </w:r>
      <w:r>
        <w:rPr>
          <w:iCs/>
          <w:i/>
        </w:rPr>
        <w:t xml:space="preserve">event metadata</w:t>
      </w:r>
      <w:r>
        <w:t xml:space="preserve">: the actor identifier, the actor’s national contact point, the patient pseudonym, the document category accessed, the legal basis and consent policy applied, the timestamp, and the outcome. Metadata contains no clinical content. It is partitioned as</w:t>
      </w:r>
      <w:r>
        <w:t xml:space="preserve"> </w:t>
      </w:r>
      <m:oMath>
        <m:r>
          <m:t>m</m:t>
        </m:r>
        <m:d>
          <m:dPr>
            <m:begChr m:val="("/>
            <m:endChr m:val=")"/>
            <m:sepChr m:val=""/>
            <m:grow/>
          </m:dPr>
          <m:e>
            <m:r>
              <m:t>a</m:t>
            </m:r>
          </m:e>
        </m:d>
        <m:r>
          <m:rPr>
            <m:sty m:val="p"/>
          </m:rPr>
          <m:t>=</m:t>
        </m:r>
        <m:sSub>
          <m:e>
            <m:r>
              <m:t>m</m:t>
            </m:r>
          </m:e>
          <m:sub>
            <m:r>
              <m:t>a</m:t>
            </m:r>
            <m:r>
              <m:t>c</m:t>
            </m:r>
            <m:r>
              <m:t>c</m:t>
            </m:r>
          </m:sub>
        </m:sSub>
        <m:d>
          <m:dPr>
            <m:begChr m:val="("/>
            <m:endChr m:val=")"/>
            <m:sepChr m:val=""/>
            <m:grow/>
          </m:dPr>
          <m:e>
            <m:r>
              <m:t>a</m:t>
            </m:r>
          </m:e>
        </m:d>
        <m:r>
          <m:rPr>
            <m:sty m:val="p"/>
          </m:rPr>
          <m:t>∪</m:t>
        </m:r>
        <m:sSub>
          <m:e>
            <m:r>
              <m:t>m</m:t>
            </m:r>
          </m:e>
          <m:sub>
            <m:r>
              <m:t>s</m:t>
            </m:r>
            <m:r>
              <m:t>u</m:t>
            </m:r>
            <m:r>
              <m:t>b</m:t>
            </m:r>
            <m:r>
              <m:t>j</m:t>
            </m:r>
          </m:sub>
        </m:sSub>
        <m:d>
          <m:dPr>
            <m:begChr m:val="("/>
            <m:endChr m:val=")"/>
            <m:sepChr m:val=""/>
            <m:grow/>
          </m:dPr>
          <m:e>
            <m:r>
              <m:t>a</m:t>
            </m:r>
          </m:e>
        </m:d>
      </m:oMath>
      <w:r>
        <w:t xml:space="preserve">. The</w:t>
      </w:r>
      <w:r>
        <w:t xml:space="preserve"> </w:t>
      </w:r>
      <w:r>
        <w:rPr>
          <w:iCs/>
          <w:i/>
        </w:rPr>
        <w:t xml:space="preserve">accessor fields</w:t>
      </w:r>
      <w:r>
        <w:t xml:space="preserve"> </w:t>
      </w:r>
      <m:oMath>
        <m:sSub>
          <m:e>
            <m:r>
              <m:t>m</m:t>
            </m:r>
          </m:e>
          <m:sub>
            <m:r>
              <m:t>a</m:t>
            </m:r>
            <m:r>
              <m:t>c</m:t>
            </m:r>
            <m:r>
              <m:t>c</m:t>
            </m:r>
          </m:sub>
        </m:sSub>
        <m:d>
          <m:dPr>
            <m:begChr m:val="("/>
            <m:endChr m:val=")"/>
            <m:sepChr m:val=""/>
            <m:grow/>
          </m:dPr>
          <m:e>
            <m:r>
              <m:t>a</m:t>
            </m:r>
          </m:e>
        </m:d>
      </m:oMath>
      <w:r>
        <w:t xml:space="preserve"> </w:t>
      </w:r>
      <w:r>
        <w:t xml:space="preserve">record who acted, when, under which legal basis or permit, and with what outcome. The</w:t>
      </w:r>
      <w:r>
        <w:t xml:space="preserve"> </w:t>
      </w:r>
      <w:r>
        <w:rPr>
          <w:iCs/>
          <w:i/>
        </w:rPr>
        <w:t xml:space="preserve">subject fields</w:t>
      </w:r>
      <w:r>
        <w:t xml:space="preserve"> </w:t>
      </w:r>
      <m:oMath>
        <m:sSub>
          <m:e>
            <m:r>
              <m:t>m</m:t>
            </m:r>
          </m:e>
          <m:sub>
            <m:r>
              <m:t>s</m:t>
            </m:r>
            <m:r>
              <m:t>u</m:t>
            </m:r>
            <m:r>
              <m:t>b</m:t>
            </m:r>
            <m:r>
              <m:t>j</m:t>
            </m:r>
          </m:sub>
        </m:sSub>
        <m:d>
          <m:dPr>
            <m:begChr m:val="("/>
            <m:endChr m:val=")"/>
            <m:sepChr m:val=""/>
            <m:grow/>
          </m:dPr>
          <m:e>
            <m:r>
              <m:t>a</m:t>
            </m:r>
          </m:e>
        </m:d>
      </m:oMath>
      <w:r>
        <w:t xml:space="preserve"> </w:t>
      </w:r>
      <w:r>
        <w:t xml:space="preserve">relate the event to a data subject: the patient pseudonym and any reference to that subject’s records. The partition does work only in the Secure Processing Environment case (Section 4.6).</w:t>
      </w:r>
    </w:p>
    <w:p>
      <w:pPr>
        <w:numPr>
          <w:ilvl w:val="0"/>
          <w:numId w:val="1002"/>
        </w:numPr>
        <w:pStyle w:val="Compact"/>
      </w:pPr>
      <m:oMath>
        <m:r>
          <m:t>p</m:t>
        </m:r>
        <m:d>
          <m:dPr>
            <m:begChr m:val="("/>
            <m:endChr m:val=")"/>
            <m:sepChr m:val=""/>
            <m:grow/>
          </m:dPr>
          <m:e>
            <m:r>
              <m:t>a</m:t>
            </m:r>
          </m:e>
        </m:d>
      </m:oMath>
      <w:r>
        <w:t xml:space="preserve"> </w:t>
      </w:r>
      <w:r>
        <w:t xml:space="preserve">is the</w:t>
      </w:r>
      <w:r>
        <w:t xml:space="preserve"> </w:t>
      </w:r>
      <w:r>
        <w:rPr>
          <w:iCs/>
          <w:i/>
        </w:rPr>
        <w:t xml:space="preserve">personal-data payload</w:t>
      </w:r>
      <w:r>
        <w:t xml:space="preserve">: the personal data the record carries beyond what accountability requires (Section 4.2). Its content depends on the record class.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For a Secure Processing Environment record it is the content of the logged activity where the environment logs at that level: the query text and any output retained with the entry. The model does not require</w:t>
      </w:r>
      <w:r>
        <w:t xml:space="preserve"> </w:t>
      </w:r>
      <m:oMath>
        <m:r>
          <m:t>p</m:t>
        </m:r>
        <m:d>
          <m:dPr>
            <m:begChr m:val="("/>
            <m:endChr m:val=")"/>
            <m:sepChr m:val=""/>
            <m:grow/>
          </m:dPr>
          <m:e>
            <m:r>
              <m:t>a</m:t>
            </m:r>
          </m:e>
        </m:d>
      </m:oMath>
      <w:r>
        <w:t xml:space="preserve"> </w:t>
      </w:r>
      <w:r>
        <w:t xml:space="preserve">to be a clinical document, only personal data that the accountability purpose does not need.</w:t>
      </w:r>
    </w:p>
    <w:p>
      <w:pPr>
        <w:numPr>
          <w:ilvl w:val="0"/>
          <w:numId w:val="1002"/>
        </w:numPr>
        <w:pStyle w:val="Compact"/>
      </w:pPr>
      <m:oMath>
        <m:r>
          <m:t>c</m:t>
        </m:r>
        <m:d>
          <m:dPr>
            <m:begChr m:val="("/>
            <m:endChr m:val=")"/>
            <m:sepChr m:val=""/>
            <m:grow/>
          </m:dPr>
          <m:e>
            <m:r>
              <m:t>a</m:t>
            </m:r>
          </m:e>
        </m:d>
      </m:oMath>
      <w:r>
        <w:t xml:space="preserve"> </w:t>
      </w:r>
      <w:r>
        <w:t xml:space="preserve">is a</w:t>
      </w:r>
      <w:r>
        <w:t xml:space="preserve"> </w:t>
      </w:r>
      <w:r>
        <w:rPr>
          <w:iCs/>
          <w:i/>
        </w:rPr>
        <w:t xml:space="preserve">commitment</w:t>
      </w:r>
      <w:r>
        <w:t xml:space="preserve"> </w:t>
      </w:r>
      <w:r>
        <w:t xml:space="preserve">to the payload,</w:t>
      </w:r>
      <w:r>
        <w:t xml:space="preserve"> </w:t>
      </w:r>
      <m:oMath>
        <m:r>
          <m:t>c</m:t>
        </m:r>
        <m:d>
          <m:dPr>
            <m:begChr m:val="("/>
            <m:endChr m:val=")"/>
            <m:sepChr m:val=""/>
            <m:grow/>
          </m:dPr>
          <m:e>
            <m:r>
              <m:t>a</m:t>
            </m:r>
          </m:e>
        </m:d>
      </m:oMath>
      <w:r>
        <w:t xml:space="preserve"> </w:t>
      </w:r>
      <w:r>
        <w:t xml:space="preserve">= Commit(</w:t>
      </w:r>
      <m:oMath>
        <m:r>
          <m:t>p</m:t>
        </m:r>
        <m:d>
          <m:dPr>
            <m:begChr m:val="("/>
            <m:endChr m:val=")"/>
            <m:sepChr m:val=""/>
            <m:grow/>
          </m:dPr>
          <m:e>
            <m:r>
              <m:t>a</m:t>
            </m:r>
          </m:e>
        </m:d>
        <m:r>
          <m:rPr>
            <m:sty m:val="p"/>
          </m:rPr>
          <m:t>,</m:t>
        </m:r>
        <m:r>
          <m:t>r</m:t>
        </m:r>
        <m:d>
          <m:dPr>
            <m:begChr m:val="("/>
            <m:endChr m:val=")"/>
            <m:sepChr m:val=""/>
            <m:grow/>
          </m:dPr>
          <m:e>
            <m:r>
              <m:t>a</m:t>
            </m:r>
          </m:e>
        </m:d>
      </m:oMath>
      <w:r>
        <w:t xml:space="preserve">), where</w:t>
      </w:r>
      <w:r>
        <w:t xml:space="preserve"> </w:t>
      </w:r>
      <m:oMath>
        <m:r>
          <m:t>r</m:t>
        </m:r>
        <m:d>
          <m:dPr>
            <m:begChr m:val="("/>
            <m:endChr m:val=")"/>
            <m:sepChr m:val=""/>
            <m:grow/>
          </m:dPr>
          <m:e>
            <m:r>
              <m:t>a</m:t>
            </m:r>
          </m:e>
        </m:d>
      </m:oMath>
      <w:r>
        <w:t xml:space="preserve"> </w:t>
      </w:r>
      <w:r>
        <w:t xml:space="preserve">is a per-record random salt. The commitment scheme is required to be</w:t>
      </w:r>
      <w:r>
        <w:t xml:space="preserve"> </w:t>
      </w:r>
      <w:r>
        <w:rPr>
          <w:iCs/>
          <w:i/>
        </w:rPr>
        <w:t xml:space="preserve">hiding</w:t>
      </w:r>
      <w:r>
        <w:t xml:space="preserve"> </w:t>
      </w:r>
      <w:r>
        <w:t xml:space="preserve">(the commitment reveals nothing about the payload to an adversary without the salt) and</w:t>
      </w:r>
      <w:r>
        <w:t xml:space="preserve"> </w:t>
      </w:r>
      <w:r>
        <w:rPr>
          <w:iCs/>
          <w:i/>
        </w:rPr>
        <w:t xml:space="preserve">binding</w:t>
      </w:r>
      <w:r>
        <w:t xml:space="preserve"> </w:t>
      </w:r>
      <w:r>
        <w:t xml:space="preserve">(no second payload can be opened against the same commitment). The requirement that it be hiding rather than a bare hash is a consequence of Section 4.9 and is not optional.</w:t>
      </w:r>
    </w:p>
    <w:p>
      <w:pPr>
        <w:numPr>
          <w:ilvl w:val="0"/>
          <w:numId w:val="1002"/>
        </w:numPr>
        <w:pStyle w:val="Compact"/>
      </w:pPr>
      <m:oMath>
        <m:r>
          <m:t>k</m:t>
        </m:r>
        <m:d>
          <m:dPr>
            <m:begChr m:val="("/>
            <m:endChr m:val=")"/>
            <m:sepChr m:val=""/>
            <m:grow/>
          </m:dPr>
          <m:e>
            <m:r>
              <m:t>a</m:t>
            </m:r>
          </m:e>
        </m:d>
      </m:oMath>
      <w:r>
        <w:t xml:space="preserve"> </w:t>
      </w:r>
      <w:r>
        <w:t xml:space="preserve">is the</w:t>
      </w:r>
      <w:r>
        <w:t xml:space="preserve"> </w:t>
      </w:r>
      <w:r>
        <w:rPr>
          <w:iCs/>
          <w:i/>
        </w:rPr>
        <w:t xml:space="preserve">payload key</w:t>
      </w:r>
      <w:r>
        <w:t xml:space="preserve">: the key material under which</w:t>
      </w:r>
      <w:r>
        <w:t xml:space="preserve"> </w:t>
      </w:r>
      <m:oMath>
        <m:r>
          <m:t>p</m:t>
        </m:r>
        <m:d>
          <m:dPr>
            <m:begChr m:val="("/>
            <m:endChr m:val=")"/>
            <m:sepChr m:val=""/>
            <m:grow/>
          </m:dPr>
          <m:e>
            <m:r>
              <m:t>a</m:t>
            </m:r>
          </m:e>
        </m:d>
      </m:oMath>
      <w:r>
        <w:t xml:space="preserve"> </w:t>
      </w:r>
      <w:r>
        <w:t xml:space="preserve">is stored.</w:t>
      </w:r>
    </w:p>
    <w:p>
      <w:pPr>
        <w:numPr>
          <w:ilvl w:val="0"/>
          <w:numId w:val="1002"/>
        </w:numPr>
        <w:pStyle w:val="Compact"/>
      </w:pPr>
      <m:oMath>
        <m:r>
          <m:t>t</m:t>
        </m:r>
        <m:d>
          <m:dPr>
            <m:begChr m:val="("/>
            <m:endChr m:val=")"/>
            <m:sepChr m:val=""/>
            <m:grow/>
          </m:dPr>
          <m:e>
            <m:r>
              <m:t>a</m:t>
            </m:r>
          </m:e>
        </m:d>
      </m:oMath>
      <w:r>
        <w:t xml:space="preserve"> </w:t>
      </w:r>
      <w:r>
        <w:t xml:space="preserve">is the month in which the access event occurred.</w:t>
      </w:r>
    </w:p>
    <w:p>
      <w:pPr>
        <w:numPr>
          <w:ilvl w:val="0"/>
          <w:numId w:val="1002"/>
        </w:numPr>
        <w:pStyle w:val="Compact"/>
      </w:pPr>
      <m:oMath>
        <m:r>
          <m:t>F</m:t>
        </m:r>
        <m:d>
          <m:dPr>
            <m:begChr m:val="("/>
            <m:endChr m:val=")"/>
            <m:sepChr m:val=""/>
            <m:grow/>
          </m:dPr>
          <m:e>
            <m:r>
              <m:t>a</m:t>
            </m:r>
          </m:e>
        </m:d>
        <m:r>
          <m:rPr>
            <m:sty m:val="p"/>
          </m:rPr>
          <m:t>∈</m:t>
        </m:r>
        <m:r>
          <m:rPr>
            <m:sty m:val="p"/>
            <m:scr m:val="double-struck"/>
          </m:rPr>
          <m:t>N</m:t>
        </m:r>
      </m:oMath>
      <w:r>
        <w:t xml:space="preserve"> </w:t>
      </w:r>
      <w:r>
        <w:t xml:space="preserve">is the</w:t>
      </w:r>
      <w:r>
        <w:t xml:space="preserve"> </w:t>
      </w:r>
      <w:r>
        <w:rPr>
          <w:iCs/>
          <w:i/>
        </w:rPr>
        <w:t xml:space="preserve">retention floor</w:t>
      </w:r>
      <w:r>
        <w:t xml:space="preserve"> </w:t>
      </w:r>
      <w:r>
        <w:t xml:space="preserve">applying to the record, expressed in months.</w:t>
      </w:r>
    </w:p>
    <w:p>
      <w:pPr>
        <w:numPr>
          <w:ilvl w:val="0"/>
          <w:numId w:val="1002"/>
        </w:numPr>
        <w:pStyle w:val="Compact"/>
      </w:pPr>
      <m:oMath>
        <m:r>
          <m:t>σ</m:t>
        </m:r>
        <m:d>
          <m:dPr>
            <m:begChr m:val="("/>
            <m:endChr m:val=")"/>
            <m:sepChr m:val=""/>
            <m:grow/>
          </m:dPr>
          <m:e>
            <m:r>
              <m:t>a</m:t>
            </m:r>
          </m:e>
        </m:d>
        <m:r>
          <m:rPr>
            <m:sty m:val="p"/>
          </m:rPr>
          <m:t>∈</m:t>
        </m:r>
        <m:r>
          <m:rPr>
            <m:sty m:val="p"/>
          </m:rPr>
          <m:t>{</m:t>
        </m:r>
        <m:r>
          <m:rPr>
            <m:nor/>
            <m:sty m:val="p"/>
          </m:rPr>
          <m:t>primary</m:t>
        </m:r>
        <m:r>
          <m:rPr>
            <m:sty m:val="p"/>
          </m:rPr>
          <m:t>,</m:t>
        </m:r>
        <m:r>
          <m:rPr>
            <m:nor/>
            <m:sty m:val="p"/>
          </m:rPr>
          <m:t>secondary</m:t>
        </m:r>
        <m:r>
          <m:rPr>
            <m:sty m:val="p"/>
          </m:rPr>
          <m:t>}</m:t>
        </m:r>
      </m:oMath>
      <w:r>
        <w:t xml:space="preserve"> </w:t>
      </w:r>
      <w:r>
        <w:t xml:space="preserve">is the</w:t>
      </w:r>
      <w:r>
        <w:t xml:space="preserve"> </w:t>
      </w:r>
      <w:r>
        <w:rPr>
          <w:iCs/>
          <w:i/>
        </w:rPr>
        <w:t xml:space="preserve">pathway</w:t>
      </w:r>
      <w:r>
        <w:t xml:space="preserve"> </w:t>
      </w:r>
      <w:r>
        <w:t xml:space="preserve">in which the record arose.</w:t>
      </w:r>
    </w:p>
    <w:p>
      <w:pPr>
        <w:pStyle w:val="FirstParagraph"/>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Chapter 2, Section 2.7 sets out the correspondence. In the present setting it takes two values:</w:t>
      </w:r>
    </w:p>
    <w:p>
      <w:pPr>
        <w:numPr>
          <w:ilvl w:val="0"/>
          <w:numId w:val="1003"/>
        </w:numPr>
        <w:pStyle w:val="Compact"/>
      </w:pPr>
      <m:oMath>
        <m:r>
          <m:t>F</m:t>
        </m:r>
        <m:d>
          <m:dPr>
            <m:begChr m:val="("/>
            <m:endChr m:val=")"/>
            <m:sepChr m:val=""/>
            <m:grow/>
          </m:dPr>
          <m:e>
            <m:r>
              <m:t>a</m:t>
            </m:r>
          </m:e>
        </m:d>
        <m:r>
          <m:rPr>
            <m:sty m:val="p"/>
          </m:rPr>
          <m:t>=</m:t>
        </m:r>
        <m:r>
          <m:t>120</m:t>
        </m:r>
      </m:oMath>
      <w:r>
        <w:t xml:space="preserve"> </w:t>
      </w:r>
      <w:r>
        <w:t xml:space="preserve">for cross-border audit records held in ATNA-compliant audit repositories, this being the ten-year minimum imposed by the eHDSI deployment baseline for MyHealth@EU operations (Simjanoska Misheva et al., 2025). The IHE ATNA profile itself prescribes no retention period; the floor arises from the deployment binding, and the model is correct only if this distinction is preserved.</w:t>
      </w:r>
    </w:p>
    <w:p>
      <w:pPr>
        <w:numPr>
          <w:ilvl w:val="0"/>
          <w:numId w:val="1003"/>
        </w:numPr>
        <w:pStyle w:val="Compact"/>
      </w:pPr>
      <m:oMath>
        <m:r>
          <m:t>F</m:t>
        </m:r>
        <m:d>
          <m:dPr>
            <m:begChr m:val="("/>
            <m:endChr m:val=")"/>
            <m:sepChr m:val=""/>
            <m:grow/>
          </m:dPr>
          <m:e>
            <m:r>
              <m:t>a</m:t>
            </m:r>
          </m:e>
        </m:d>
        <m:r>
          <m:rPr>
            <m:sty m:val="p"/>
          </m:rPr>
          <m:t>=</m:t>
        </m:r>
        <m:r>
          <m:t>12</m:t>
        </m:r>
      </m:oMath>
      <w:r>
        <w:t xml:space="preserve"> </w:t>
      </w:r>
      <w:r>
        <w:t xml:space="preserve">for access and activity logs of Secure Processing Environments, this being the one-year minimum imposed by Article 73(1)(e) of Regulation (EU) 2025/327 (European Parliament and Council of the European Union, 2025).</w:t>
      </w:r>
    </w:p>
    <w:p>
      <w:pPr>
        <w:pStyle w:val="FirstParagraph"/>
      </w:pPr>
      <w:r>
        <w:t xml:space="preserve">Two event processes act on records. An</w:t>
      </w:r>
      <w:r>
        <w:t xml:space="preserve"> </w:t>
      </w:r>
      <w:r>
        <w:rPr>
          <w:iCs/>
          <w:i/>
        </w:rPr>
        <w:t xml:space="preserve">erasure request</w:t>
      </w:r>
      <w:r>
        <w:t xml:space="preserve"> </w:t>
      </w:r>
      <w:r>
        <w:t xml:space="preserve">arrives for record</w:t>
      </w:r>
      <w:r>
        <w:t xml:space="preserve"> </w:t>
      </w:r>
      <m:oMath>
        <m:r>
          <m:t>a</m:t>
        </m:r>
      </m:oMath>
      <w:r>
        <w:t xml:space="preserve"> </w:t>
      </w:r>
      <w:r>
        <w:t xml:space="preserve">at month</w:t>
      </w:r>
      <w:r>
        <w:t xml:space="preserve"> </w:t>
      </w:r>
      <m:oMath>
        <m:sSub>
          <m:e>
            <m:r>
              <m:t>t</m:t>
            </m:r>
          </m:e>
          <m:sub>
            <m:r>
              <m:t>r</m:t>
            </m:r>
          </m:sub>
        </m:sSub>
        <m:d>
          <m:dPr>
            <m:begChr m:val="("/>
            <m:endChr m:val=")"/>
            <m:sepChr m:val=""/>
            <m:grow/>
          </m:dPr>
          <m:e>
            <m:r>
              <m:t>a</m:t>
            </m:r>
          </m:e>
        </m:d>
      </m:oMath>
      <w:r>
        <w:t xml:space="preserve"> </w:t>
      </w:r>
      <w:r>
        <w:t xml:space="preserve">if the data subject exercises Article 17 in respect of the personal data underlying that record; if no request arrives,</w:t>
      </w:r>
      <w:r>
        <w:t xml:space="preserve"> </w:t>
      </w:r>
      <m:oMath>
        <m:sSub>
          <m:e>
            <m:r>
              <m:t>t</m:t>
            </m:r>
          </m:e>
          <m:sub>
            <m:r>
              <m:t>r</m:t>
            </m:r>
          </m:sub>
        </m:sSub>
        <m:d>
          <m:dPr>
            <m:begChr m:val="("/>
            <m:endChr m:val=")"/>
            <m:sepChr m:val=""/>
            <m:grow/>
          </m:dPr>
          <m:e>
            <m:r>
              <m:t>a</m:t>
            </m:r>
          </m:e>
        </m:d>
        <m:r>
          <m:rPr>
            <m:sty m:val="p"/>
          </m:rPr>
          <m:t>=</m:t>
        </m:r>
        <m:r>
          <m:rPr>
            <m:sty m:val="p"/>
          </m:rPr>
          <m:t>∞</m:t>
        </m:r>
      </m:oMath>
      <w:r>
        <w:t xml:space="preserve">. A</w:t>
      </w:r>
      <w:r>
        <w:t xml:space="preserve"> </w:t>
      </w:r>
      <w:r>
        <w:rPr>
          <w:iCs/>
          <w:i/>
        </w:rPr>
        <w:t xml:space="preserve">permit expiry</w:t>
      </w:r>
      <w:r>
        <w:t xml:space="preserve"> </w:t>
      </w:r>
      <w:r>
        <w:t xml:space="preserve">occurs at month</w:t>
      </w:r>
      <w:r>
        <w:t xml:space="preserve"> </w:t>
      </w:r>
      <m:oMath>
        <m:sSub>
          <m:e>
            <m:r>
              <m:t>t</m:t>
            </m:r>
          </m:e>
          <m:sub>
            <m:r>
              <m:t>π</m:t>
            </m:r>
          </m:sub>
        </m:sSub>
        <m:d>
          <m:dPr>
            <m:begChr m:val="("/>
            <m:endChr m:val=")"/>
            <m:sepChr m:val=""/>
            <m:grow/>
          </m:dPr>
          <m:e>
            <m:r>
              <m:t>a</m:t>
            </m:r>
          </m:e>
        </m:d>
      </m:oMath>
      <w:r>
        <w:t xml:space="preserve"> </w:t>
      </w:r>
      <w:r>
        <w:t xml:space="preserve">for records with</w:t>
      </w:r>
      <w:r>
        <w:t xml:space="preserve"> </w:t>
      </w:r>
      <m:oMath>
        <m:r>
          <m:t>σ</m:t>
        </m:r>
        <m:d>
          <m:dPr>
            <m:begChr m:val="("/>
            <m:endChr m:val=")"/>
            <m:sepChr m:val=""/>
            <m:grow/>
          </m:dPr>
          <m:e>
            <m:r>
              <m:t>a</m:t>
            </m:r>
          </m:e>
        </m:d>
      </m:oMath>
      <w:r>
        <w:t xml:space="preserve"> </w:t>
      </w:r>
      <w:r>
        <w:t xml:space="preserve">= secondary, being the month in which the data permit under which the processing occurred expires; for primary-pathway records</w:t>
      </w:r>
      <w:r>
        <w:t xml:space="preserve"> </w:t>
      </w:r>
      <m:oMath>
        <m:sSub>
          <m:e>
            <m:r>
              <m:t>t</m:t>
            </m:r>
          </m:e>
          <m:sub>
            <m:r>
              <m:t>π</m:t>
            </m:r>
          </m:sub>
        </m:sSub>
        <m:d>
          <m:dPr>
            <m:begChr m:val="("/>
            <m:endChr m:val=")"/>
            <m:sepChr m:val=""/>
            <m:grow/>
          </m:dPr>
          <m:e>
            <m:r>
              <m:t>a</m:t>
            </m:r>
          </m:e>
        </m:d>
        <m:r>
          <m:rPr>
            <m:sty m:val="p"/>
          </m:rPr>
          <m:t>=</m:t>
        </m:r>
        <m:r>
          <m:rPr>
            <m:sty m:val="p"/>
          </m:rPr>
          <m:t>∞</m:t>
        </m:r>
      </m:oMath>
      <w:r>
        <w:t xml:space="preserve">.</w:t>
      </w:r>
    </w:p>
    <w:p>
      <w:pPr>
        <w:pStyle w:val="BodyText"/>
      </w:pPr>
      <w:r>
        <w:t xml:space="preserve">Finally, let</w:t>
      </w:r>
      <w:r>
        <w:t xml:space="preserve"> </w:t>
      </w:r>
      <m:oMath>
        <m:r>
          <m:t>α</m:t>
        </m:r>
        <m:d>
          <m:dPr>
            <m:begChr m:val="("/>
            <m:endChr m:val=")"/>
            <m:sepChr m:val=""/>
            <m:grow/>
          </m:dPr>
          <m:e>
            <m:r>
              <m:t>a</m:t>
            </m:r>
            <m:r>
              <m:rPr>
                <m:sty m:val="p"/>
              </m:rPr>
              <m:t>,</m:t>
            </m:r>
            <m:r>
              <m:t>t</m:t>
            </m:r>
          </m:e>
        </m:d>
        <m:r>
          <m:rPr>
            <m:sty m:val="p"/>
          </m:rPr>
          <m:t>∈</m:t>
        </m:r>
        <m:r>
          <m:rPr>
            <m:sty m:val="p"/>
          </m:rPr>
          <m:t>{</m:t>
        </m:r>
        <m:r>
          <m:t>0</m:t>
        </m:r>
        <m:r>
          <m:rPr>
            <m:sty m:val="p"/>
          </m:rPr>
          <m:t>,</m:t>
        </m:r>
        <m:r>
          <m:t>1</m:t>
        </m:r>
        <m:r>
          <m:rPr>
            <m:sty m:val="p"/>
          </m:rPr>
          <m:t>}</m:t>
        </m:r>
      </m:oMath>
      <w:r>
        <w:t xml:space="preserve"> </w:t>
      </w:r>
      <w:r>
        <w:t xml:space="preserve">be the</w:t>
      </w:r>
      <w:r>
        <w:t xml:space="preserve"> </w:t>
      </w:r>
      <w:r>
        <w:rPr>
          <w:iCs/>
          <w:i/>
        </w:rPr>
        <w:t xml:space="preserve">payload-accessibility variable</w:t>
      </w:r>
      <w:r>
        <w:t xml:space="preserve">:</w:t>
      </w:r>
      <w:r>
        <w:t xml:space="preserve"> </w:t>
      </w:r>
      <m:oMath>
        <m:r>
          <m:t>α</m:t>
        </m:r>
        <m:d>
          <m:dPr>
            <m:begChr m:val="("/>
            <m:endChr m:val=")"/>
            <m:sepChr m:val=""/>
            <m:grow/>
          </m:dPr>
          <m:e>
            <m:r>
              <m:t>a</m:t>
            </m:r>
            <m:r>
              <m:rPr>
                <m:sty m:val="p"/>
              </m:rPr>
              <m:t>,</m:t>
            </m:r>
            <m:r>
              <m:t>t</m:t>
            </m:r>
          </m:e>
        </m:d>
        <m:r>
          <m:rPr>
            <m:sty m:val="p"/>
          </m:rPr>
          <m:t>=</m:t>
        </m:r>
        <m:r>
          <m:t>1</m:t>
        </m:r>
      </m:oMath>
      <w:r>
        <w:t xml:space="preserve"> </w:t>
      </w:r>
      <w:r>
        <w:t xml:space="preserve">if the controller can recover</w:t>
      </w:r>
      <w:r>
        <w:t xml:space="preserve"> </w:t>
      </w:r>
      <m:oMath>
        <m:r>
          <m:t>p</m:t>
        </m:r>
        <m:d>
          <m:dPr>
            <m:begChr m:val="("/>
            <m:endChr m:val=")"/>
            <m:sepChr m:val=""/>
            <m:grow/>
          </m:dPr>
          <m:e>
            <m:r>
              <m:t>a</m:t>
            </m:r>
          </m:e>
        </m:d>
      </m:oMath>
      <w:r>
        <w:t xml:space="preserve"> </w:t>
      </w:r>
      <w:r>
        <w:t xml:space="preserve">in intelligible form at month</w:t>
      </w:r>
      <w:r>
        <w:t xml:space="preserve"> </w:t>
      </w:r>
      <m:oMath>
        <m:r>
          <m:t>t</m:t>
        </m:r>
      </m:oMath>
      <w:r>
        <w:t xml:space="preserve">,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Chapter 3, Section 3.7 records this as a stated abstraction.</w:t>
      </w:r>
    </w:p>
    <w:p>
      <w:pPr>
        <w:pStyle w:val="BodyText"/>
      </w:pPr>
      <w:r>
        <w:t xml:space="preserve">The Secure Processing Environment case needs one further variable, and only on the reading of Article 68(12) that Section 4.6 identifies. Let</w:t>
      </w:r>
      <w:r>
        <w:t xml:space="preserve"> </w:t>
      </w:r>
      <m:oMath>
        <m:r>
          <m:t>β</m:t>
        </m:r>
        <m:d>
          <m:dPr>
            <m:begChr m:val="("/>
            <m:endChr m:val=")"/>
            <m:sepChr m:val=""/>
            <m:grow/>
          </m:dPr>
          <m:e>
            <m:r>
              <m:t>a</m:t>
            </m:r>
            <m:r>
              <m:rPr>
                <m:sty m:val="p"/>
              </m:rPr>
              <m:t>,</m:t>
            </m:r>
            <m:r>
              <m:t>t</m:t>
            </m:r>
          </m:e>
        </m:d>
        <m:r>
          <m:rPr>
            <m:sty m:val="p"/>
          </m:rPr>
          <m:t>∈</m:t>
        </m:r>
        <m:r>
          <m:rPr>
            <m:sty m:val="p"/>
          </m:rPr>
          <m:t>{</m:t>
        </m:r>
        <m:r>
          <m:t>0</m:t>
        </m:r>
        <m:r>
          <m:rPr>
            <m:sty m:val="p"/>
          </m:rPr>
          <m:t>,</m:t>
        </m:r>
        <m:r>
          <m:t>1</m:t>
        </m:r>
        <m:r>
          <m:rPr>
            <m:sty m:val="p"/>
          </m:rPr>
          <m:t>}</m:t>
        </m:r>
      </m:oMath>
      <w:r>
        <w:t xml:space="preserve"> </w:t>
      </w:r>
      <w:r>
        <w:t xml:space="preserve">be the</w:t>
      </w:r>
      <w:r>
        <w:t xml:space="preserve"> </w:t>
      </w:r>
      <w:r>
        <w:rPr>
          <w:iCs/>
          <w:i/>
        </w:rPr>
        <w:t xml:space="preserve">subject-link variable</w:t>
      </w:r>
      <w:r>
        <w:t xml:space="preserve">:</w:t>
      </w:r>
      <w:r>
        <w:t xml:space="preserve"> </w:t>
      </w:r>
      <m:oMath>
        <m:r>
          <m:t>β</m:t>
        </m:r>
        <m:d>
          <m:dPr>
            <m:begChr m:val="("/>
            <m:endChr m:val=")"/>
            <m:sepChr m:val=""/>
            <m:grow/>
          </m:dPr>
          <m:e>
            <m:r>
              <m:t>a</m:t>
            </m:r>
            <m:r>
              <m:rPr>
                <m:sty m:val="p"/>
              </m:rPr>
              <m:t>,</m:t>
            </m:r>
            <m:r>
              <m:t>t</m:t>
            </m:r>
          </m:e>
        </m:d>
        <m:r>
          <m:rPr>
            <m:sty m:val="p"/>
          </m:rPr>
          <m:t>=</m:t>
        </m:r>
        <m:r>
          <m:t>1</m:t>
        </m:r>
      </m:oMath>
      <w:r>
        <w:t xml:space="preserve"> </w:t>
      </w:r>
      <w:r>
        <w:t xml:space="preserve">if the subject fields</w:t>
      </w:r>
      <w:r>
        <w:t xml:space="preserve"> </w:t>
      </w:r>
      <m:oMath>
        <m:sSub>
          <m:e>
            <m:r>
              <m:t>m</m:t>
            </m:r>
          </m:e>
          <m:sub>
            <m:r>
              <m:t>s</m:t>
            </m:r>
            <m:r>
              <m:t>u</m:t>
            </m:r>
            <m:r>
              <m:t>b</m:t>
            </m:r>
            <m:r>
              <m:t>j</m:t>
            </m:r>
          </m:sub>
        </m:sSub>
        <m:d>
          <m:dPr>
            <m:begChr m:val="("/>
            <m:endChr m:val=")"/>
            <m:sepChr m:val=""/>
            <m:grow/>
          </m:dPr>
          <m:e>
            <m:r>
              <m:t>a</m:t>
            </m:r>
          </m:e>
        </m:d>
      </m:oMath>
      <w:r>
        <w:t xml:space="preserve"> </w:t>
      </w:r>
      <w:r>
        <w:t xml:space="preserve">can be read in the environment at month</w:t>
      </w:r>
      <w:r>
        <w:t xml:space="preserve"> </w:t>
      </w:r>
      <m:oMath>
        <m:r>
          <m:t>t</m:t>
        </m:r>
      </m:oMath>
      <w:r>
        <w:t xml:space="preserve">, and 0 otherwise. Where that reading does not apply,</w:t>
      </w:r>
      <w:r>
        <w:t xml:space="preserve"> </w:t>
      </w:r>
      <m:oMath>
        <m:r>
          <m:t>β</m:t>
        </m:r>
      </m:oMath>
      <w:r>
        <w:t xml:space="preserve"> </w:t>
      </w:r>
      <w:r>
        <w:t xml:space="preserve">is unconstrained and plays no part in any result.</w:t>
      </w:r>
    </w:p>
    <w:p>
      <w:pPr>
        <w:pStyle w:val="BodyText"/>
      </w:pPr>
      <w:r>
        <w:t xml:space="preserve">Let</w:t>
      </w:r>
      <w:r>
        <w:t xml:space="preserve"> </w:t>
      </w:r>
      <m:oMath>
        <m:r>
          <m:t>V</m:t>
        </m:r>
        <m:d>
          <m:dPr>
            <m:begChr m:val="("/>
            <m:endChr m:val=")"/>
            <m:sepChr m:val=""/>
            <m:grow/>
          </m:dPr>
          <m:e>
            <m:r>
              <m:t>a</m:t>
            </m:r>
            <m:r>
              <m:rPr>
                <m:sty m:val="p"/>
              </m:rPr>
              <m:t>,</m:t>
            </m:r>
            <m:r>
              <m:t>t</m:t>
            </m:r>
          </m:e>
        </m:d>
        <m:r>
          <m:rPr>
            <m:sty m:val="p"/>
          </m:rPr>
          <m:t>∈</m:t>
        </m:r>
        <m:r>
          <m:rPr>
            <m:sty m:val="p"/>
          </m:rPr>
          <m:t>{</m:t>
        </m:r>
        <m:r>
          <m:t>0</m:t>
        </m:r>
        <m:r>
          <m:rPr>
            <m:sty m:val="p"/>
          </m:rPr>
          <m:t>,</m:t>
        </m:r>
        <m:r>
          <m:t>1</m:t>
        </m:r>
        <m:r>
          <m:rPr>
            <m:sty m:val="p"/>
          </m:rPr>
          <m:t>}</m:t>
        </m:r>
      </m:oMath>
      <w:r>
        <w:t xml:space="preserve"> </w:t>
      </w:r>
      <w:r>
        <w:t xml:space="preserve">denote whether record</w:t>
      </w:r>
      <w:r>
        <w:t xml:space="preserve"> </w:t>
      </w:r>
      <m:oMath>
        <m:r>
          <m:t>a</m:t>
        </m:r>
      </m:oMath>
      <w:r>
        <w:t xml:space="preserve"> </w:t>
      </w:r>
      <w:r>
        <w:rPr>
          <w:iCs/>
          <w:i/>
        </w:rPr>
        <w:t xml:space="preserve">counts as verifiable</w:t>
      </w:r>
      <w:r>
        <w:t xml:space="preserve"> </w:t>
      </w:r>
      <w:r>
        <w:t xml:space="preserve">at month</w:t>
      </w:r>
      <w:r>
        <w:t xml:space="preserve"> </w:t>
      </w:r>
      <m:oMath>
        <m:r>
          <m:t>t</m:t>
        </m:r>
      </m:oMath>
      <w:r>
        <w:t xml:space="preserve">.</w:t>
      </w:r>
      <w:r>
        <w:t xml:space="preserve"> </w:t>
      </w:r>
      <m:oMath>
        <m:r>
          <m:t>V</m:t>
        </m:r>
      </m:oMath>
      <w:r>
        <w:t xml:space="preserve"> </w:t>
      </w:r>
      <w:r>
        <w:t xml:space="preserve">is not defined yet; defining it is the subject of Section 4.5, and the two competing definitions are what the theorems distinguish.</w:t>
      </w:r>
    </w:p>
    <w:bookmarkEnd w:id="68"/>
    <w:bookmarkStart w:id="69" w:name="the-three-constraints"/>
    <w:p>
      <w:pPr>
        <w:pStyle w:val="Heading2"/>
      </w:pPr>
      <w:r>
        <w:t xml:space="preserve">4.4 The Three Constraints</w:t>
      </w:r>
    </w:p>
    <w:p>
      <w:pPr>
        <w:pStyle w:val="FirstParagraph"/>
      </w:pPr>
      <w:r>
        <w:t xml:space="preserve">Each regime is now expressed as a constraint on the trajectory of</w:t>
      </w:r>
      <w:r>
        <w:t xml:space="preserve"> </w:t>
      </w:r>
      <m:oMath>
        <m:r>
          <m:t>α</m:t>
        </m:r>
      </m:oMath>
      <w:r>
        <w:t xml:space="preserve"> </w:t>
      </w:r>
      <w:r>
        <w:t xml:space="preserve">and</w:t>
      </w:r>
      <w:r>
        <w:t xml:space="preserve"> </w:t>
      </w:r>
      <m:oMath>
        <m:r>
          <m:t>V</m:t>
        </m:r>
      </m:oMath>
      <w:r>
        <w:t xml:space="preserve">.</w:t>
      </w:r>
    </w:p>
    <w:p>
      <w:pPr>
        <w:pStyle w:val="BodyText"/>
      </w:pPr>
      <w:r>
        <w:rPr>
          <w:iCs/>
          <w:i/>
        </w:rPr>
        <w:t xml:space="preserve">C1: Retention floor.</w:t>
      </w:r>
      <w:r>
        <w:t xml:space="preserve"> </w:t>
      </w:r>
      <w:r>
        <w:t xml:space="preserve">For every record</w:t>
      </w:r>
      <w:r>
        <w:t xml:space="preserve"> </w:t>
      </w:r>
      <m:oMath>
        <m:r>
          <m:t>a</m:t>
        </m:r>
      </m:oMath>
      <w:r>
        <w:t xml:space="preserve"> </w:t>
      </w:r>
      <w:r>
        <w:t xml:space="preserve">and every month</w:t>
      </w:r>
      <w:r>
        <w:t xml:space="preserve"> </w:t>
      </w:r>
      <m:oMath>
        <m:r>
          <m:t>t</m:t>
        </m:r>
      </m:oMath>
      <w:r>
        <w:t xml:space="preserve"> </w:t>
      </w:r>
      <w:r>
        <w:t xml:space="preserve">with</w:t>
      </w:r>
      <w:r>
        <w:t xml:space="preserve"> </w:t>
      </w:r>
      <m:oMath>
        <m:r>
          <m:t>t</m:t>
        </m:r>
        <m:d>
          <m:dPr>
            <m:begChr m:val="("/>
            <m:endChr m:val=")"/>
            <m:sepChr m:val=""/>
            <m:grow/>
          </m:dPr>
          <m:e>
            <m:r>
              <m:t>a</m:t>
            </m:r>
          </m:e>
        </m:d>
        <m:r>
          <m:rPr>
            <m:sty m:val="p"/>
          </m:rPr>
          <m:t>≤</m:t>
        </m:r>
        <m:r>
          <m:t>t</m:t>
        </m:r>
        <m:r>
          <m:rPr>
            <m:sty m:val="p"/>
          </m:rPr>
          <m:t>≤</m:t>
        </m:r>
        <m:r>
          <m:t>t</m:t>
        </m:r>
        <m:d>
          <m:dPr>
            <m:begChr m:val="("/>
            <m:endChr m:val=")"/>
            <m:sepChr m:val=""/>
            <m:grow/>
          </m:dPr>
          <m:e>
            <m:r>
              <m:t>a</m:t>
            </m:r>
          </m:e>
        </m:d>
        <m:r>
          <m:rPr>
            <m:sty m:val="p"/>
          </m:rPr>
          <m:t>+</m:t>
        </m:r>
        <m:r>
          <m:t>F</m:t>
        </m:r>
        <m:d>
          <m:dPr>
            <m:begChr m:val="("/>
            <m:endChr m:val=")"/>
            <m:sepChr m:val=""/>
            <m:grow/>
          </m:dPr>
          <m:e>
            <m:r>
              <m:t>a</m:t>
            </m:r>
          </m:e>
        </m:d>
      </m:oMath>
      <w:r>
        <w:t xml:space="preserve">:</w:t>
      </w:r>
    </w:p>
    <w:p>
      <w:pPr>
        <w:pStyle w:val="BodyText"/>
      </w:pPr>
      <m:oMathPara>
        <m:oMathParaPr>
          <m:jc m:val="center"/>
        </m:oMathParaPr>
        <m:oMath>
          <m:r>
            <m:t>V</m:t>
          </m:r>
          <m:d>
            <m:dPr>
              <m:begChr m:val="("/>
              <m:endChr m:val=")"/>
              <m:sepChr m:val=""/>
              <m:grow/>
            </m:dPr>
            <m:e>
              <m:r>
                <m:t>a</m:t>
              </m:r>
              <m:r>
                <m:rPr>
                  <m:sty m:val="p"/>
                </m:rPr>
                <m:t>,</m:t>
              </m:r>
              <m:r>
                <m:t>t</m:t>
              </m:r>
            </m:e>
          </m:d>
          <m:r>
            <m:rPr>
              <m:sty m:val="p"/>
            </m:rPr>
            <m:t>=</m:t>
          </m:r>
          <m:r>
            <m:t>1</m:t>
          </m:r>
          <m:r>
            <m:t>  </m:t>
          </m:r>
          <m:r>
            <m:rPr>
              <m:sty m:val="p"/>
            </m:rPr>
            <m:t>∀</m:t>
          </m:r>
          <m:r>
            <m:t> </m:t>
          </m:r>
          <m:r>
            <m:t>t</m:t>
          </m:r>
          <m:r>
            <m:rPr>
              <m:sty m:val="p"/>
            </m:rPr>
            <m:t>∈</m:t>
          </m:r>
          <m:d>
            <m:dPr>
              <m:begChr m:val="["/>
              <m:endChr m:val="]"/>
              <m:sepChr m:val=""/>
              <m:grow/>
            </m:dPr>
            <m:e>
              <m:r>
                <m:t> </m:t>
              </m:r>
              <m:r>
                <m:t>t</m:t>
              </m:r>
              <m:d>
                <m:dPr>
                  <m:begChr m:val="("/>
                  <m:endChr m:val=")"/>
                  <m:sepChr m:val=""/>
                  <m:grow/>
                </m:dPr>
                <m:e>
                  <m:r>
                    <m:t>a</m:t>
                  </m:r>
                </m:e>
              </m:d>
              <m:r>
                <m:rPr>
                  <m:sty m:val="p"/>
                </m:rPr>
                <m:t>,</m:t>
              </m:r>
              <m:r>
                <m:t> </m:t>
              </m:r>
              <m:r>
                <m:t>t</m:t>
              </m:r>
              <m:d>
                <m:dPr>
                  <m:begChr m:val="("/>
                  <m:endChr m:val=")"/>
                  <m:sepChr m:val=""/>
                  <m:grow/>
                </m:dPr>
                <m:e>
                  <m:r>
                    <m:t>a</m:t>
                  </m:r>
                </m:e>
              </m:d>
              <m:r>
                <m:rPr>
                  <m:sty m:val="p"/>
                </m:rPr>
                <m:t>+</m:t>
              </m:r>
              <m:r>
                <m:t>F</m:t>
              </m:r>
              <m:d>
                <m:dPr>
                  <m:begChr m:val="("/>
                  <m:endChr m:val=")"/>
                  <m:sepChr m:val=""/>
                  <m:grow/>
                </m:dPr>
                <m:e>
                  <m:r>
                    <m:t>a</m:t>
                  </m:r>
                </m:e>
              </m:d>
              <m:r>
                <m:t> </m:t>
              </m:r>
            </m:e>
          </m:d>
        </m:oMath>
      </m:oMathPara>
    </w:p>
    <w:p>
      <w:pPr>
        <w:pStyle w:val="FirstParagraph"/>
      </w:pPr>
      <w:r>
        <w:t xml:space="preserve">The record must count as verifiable throughout its retention window. Source: eHDSI deployment baseline for</w:t>
      </w:r>
      <w:r>
        <w:t xml:space="preserve"> </w:t>
      </w:r>
      <m:oMath>
        <m:r>
          <m:t>F</m:t>
        </m:r>
        <m:r>
          <m:rPr>
            <m:sty m:val="p"/>
          </m:rPr>
          <m:t>=</m:t>
        </m:r>
        <m:r>
          <m:t>120</m:t>
        </m:r>
      </m:oMath>
      <w:r>
        <w:t xml:space="preserve">; Article 73(1)(e) EHDS for</w:t>
      </w:r>
      <w:r>
        <w:t xml:space="preserve"> </w:t>
      </w:r>
      <m:oMath>
        <m:r>
          <m:t>F</m:t>
        </m:r>
        <m:r>
          <m:rPr>
            <m:sty m:val="p"/>
          </m:rPr>
          <m:t>=</m:t>
        </m:r>
        <m:r>
          <m:t>12</m:t>
        </m:r>
      </m:oMath>
      <w:r>
        <w:t xml:space="preserve">.</w:t>
      </w:r>
    </w:p>
    <w:p>
      <w:pPr>
        <w:pStyle w:val="BodyText"/>
      </w:pPr>
      <w:r>
        <w:rPr>
          <w:iCs/>
          <w:i/>
        </w:rPr>
        <w:t xml:space="preserve">C2: Erasure right.</w:t>
      </w:r>
      <w:r>
        <w:t xml:space="preserve"> </w:t>
      </w:r>
      <w:r>
        <w:t xml:space="preserve">For every record</w:t>
      </w:r>
      <w:r>
        <w:t xml:space="preserve"> </w:t>
      </w:r>
      <m:oMath>
        <m:r>
          <m:t>a</m:t>
        </m:r>
      </m:oMath>
      <w:r>
        <w:t xml:space="preserve"> </w:t>
      </w:r>
      <w:r>
        <w:t xml:space="preserve">for which a valid erasure request arrives at</w:t>
      </w:r>
      <w:r>
        <w:t xml:space="preserve"> </w:t>
      </w:r>
      <m:oMath>
        <m:sSub>
          <m:e>
            <m:r>
              <m:t>t</m:t>
            </m:r>
          </m:e>
          <m:sub>
            <m:r>
              <m:t>r</m:t>
            </m:r>
          </m:sub>
        </m:sSub>
        <m:d>
          <m:dPr>
            <m:begChr m:val="("/>
            <m:endChr m:val=")"/>
            <m:sepChr m:val=""/>
            <m:grow/>
          </m:dPr>
          <m:e>
            <m:r>
              <m:t>a</m:t>
            </m:r>
          </m:e>
        </m:d>
        <m:r>
          <m:rPr>
            <m:sty m:val="p"/>
          </m:rPr>
          <m:t>&lt;</m:t>
        </m:r>
        <m:r>
          <m:rPr>
            <m:sty m:val="p"/>
          </m:rPr>
          <m:t>∞</m:t>
        </m:r>
      </m:oMath>
      <w:r>
        <w:t xml:space="preserve">, and for every month</w:t>
      </w:r>
      <w:r>
        <w:t xml:space="preserve"> </w:t>
      </w:r>
      <m:oMath>
        <m:r>
          <m:t>t</m:t>
        </m:r>
        <m:r>
          <m:rPr>
            <m:sty m:val="p"/>
          </m:rPr>
          <m:t>≥</m:t>
        </m:r>
        <m:sSub>
          <m:e>
            <m:r>
              <m:t>t</m:t>
            </m:r>
          </m:e>
          <m:sub>
            <m:r>
              <m:t>r</m:t>
            </m:r>
          </m:sub>
        </m:sSub>
        <m:d>
          <m:dPr>
            <m:begChr m:val="("/>
            <m:endChr m:val=")"/>
            <m:sepChr m:val=""/>
            <m:grow/>
          </m:dPr>
          <m:e>
            <m:r>
              <m:t>a</m:t>
            </m:r>
          </m:e>
        </m:d>
        <m:r>
          <m:rPr>
            <m:sty m:val="p"/>
          </m:rPr>
          <m:t>+</m:t>
        </m:r>
        <m:r>
          <m:t>δ</m:t>
        </m:r>
      </m:oMath>
      <w:r>
        <w:t xml:space="preserve">:</w:t>
      </w:r>
    </w:p>
    <w:p>
      <w:pPr>
        <w:pStyle w:val="BodyText"/>
      </w:pPr>
      <m:oMathPara>
        <m:oMathParaPr>
          <m:jc m:val="center"/>
        </m:oMathParaPr>
        <m:oMath>
          <m:r>
            <m:t>α</m:t>
          </m:r>
          <m:d>
            <m:dPr>
              <m:begChr m:val="("/>
              <m:endChr m:val=")"/>
              <m:sepChr m:val=""/>
              <m:grow/>
            </m:dPr>
            <m:e>
              <m:r>
                <m:t>a</m:t>
              </m:r>
              <m:r>
                <m:rPr>
                  <m:sty m:val="p"/>
                </m:rPr>
                <m:t>,</m:t>
              </m:r>
              <m:r>
                <m:t>t</m:t>
              </m:r>
            </m:e>
          </m:d>
          <m:r>
            <m:rPr>
              <m:sty m:val="p"/>
            </m:rPr>
            <m:t>=</m:t>
          </m:r>
          <m:r>
            <m:t>0</m:t>
          </m:r>
          <m:r>
            <m:t>  </m:t>
          </m:r>
          <m:r>
            <m:rPr>
              <m:sty m:val="p"/>
            </m:rPr>
            <m:t>∀</m:t>
          </m:r>
          <m:r>
            <m:t> </m:t>
          </m:r>
          <m:r>
            <m:t>t</m:t>
          </m:r>
          <m:r>
            <m:rPr>
              <m:sty m:val="p"/>
            </m:rPr>
            <m:t>≥</m:t>
          </m:r>
          <m:sSub>
            <m:e>
              <m:r>
                <m:t>t</m:t>
              </m:r>
            </m:e>
            <m:sub>
              <m:r>
                <m:t>r</m:t>
              </m:r>
            </m:sub>
          </m:sSub>
          <m:d>
            <m:dPr>
              <m:begChr m:val="("/>
              <m:endChr m:val=")"/>
              <m:sepChr m:val=""/>
              <m:grow/>
            </m:dPr>
            <m:e>
              <m:r>
                <m:t>a</m:t>
              </m:r>
            </m:e>
          </m:d>
          <m:r>
            <m:rPr>
              <m:sty m:val="p"/>
            </m:rPr>
            <m:t>+</m:t>
          </m:r>
          <m:r>
            <m:t>δ</m:t>
          </m:r>
        </m:oMath>
      </m:oMathPara>
    </w:p>
    <w:p>
      <w:pPr>
        <w:pStyle w:val="FirstParagraph"/>
      </w:pPr>
      <w:r>
        <w:t xml:space="preserve">The payload must cease to be accessible within the response period</w:t>
      </w:r>
      <w:r>
        <w:t xml:space="preserve"> </w:t>
      </w:r>
      <m:oMath>
        <m:r>
          <m:t>δ</m:t>
        </m:r>
      </m:oMath>
      <w:r>
        <w:t xml:space="preserve">. Source: Article 17(1) GDPR, with</w:t>
      </w:r>
      <w:r>
        <w:t xml:space="preserve"> </w:t>
      </w:r>
      <m:oMath>
        <m:r>
          <m:t>δ</m:t>
        </m:r>
      </m:oMath>
      <w:r>
        <w:t xml:space="preserve"> </w:t>
      </w:r>
      <w:r>
        <w:t xml:space="preserve">determined by Article 12(3) GDPR, which requires the controller to act without undue delay and in any event within one month of receipt, extendable by two further months for complex or numerous requests provided the data subject is informed within the first month. The model takes</w:t>
      </w:r>
      <w:r>
        <w:t xml:space="preserve"> </w:t>
      </w:r>
      <m:oMath>
        <m:r>
          <m:t>δ</m:t>
        </m:r>
        <m:r>
          <m:rPr>
            <m:sty m:val="p"/>
          </m:rPr>
          <m:t>=</m:t>
        </m:r>
        <m:r>
          <m:t>1</m:t>
        </m:r>
      </m:oMath>
      <w:r>
        <w:t xml:space="preserve"> </w:t>
      </w:r>
      <w:r>
        <w:t xml:space="preserve">as the baseline and admits</w:t>
      </w:r>
      <w:r>
        <w:t xml:space="preserve"> </w:t>
      </w:r>
      <m:oMath>
        <m:r>
          <m:t>δ</m:t>
        </m:r>
        <m:r>
          <m:rPr>
            <m:sty m:val="p"/>
          </m:rPr>
          <m:t>=</m:t>
        </m:r>
        <m:r>
          <m:t>3</m:t>
        </m:r>
      </m:oMath>
      <w:r>
        <w:t xml:space="preserve"> </w:t>
      </w:r>
      <w:r>
        <w:t xml:space="preserve">as the extended case; results are stated for arbitrary finite</w:t>
      </w:r>
      <w:r>
        <w:t xml:space="preserve"> </w:t>
      </w:r>
      <m:oMath>
        <m:r>
          <m:t>δ</m:t>
        </m:r>
      </m:oMath>
      <w:r>
        <w:t xml:space="preserve"> </w:t>
      </w:r>
      <w:r>
        <w:t xml:space="preserve">and do not depend on which is chosen. Constraint C2 is triggered only by a</w:t>
      </w:r>
      <w:r>
        <w:t xml:space="preserve"> </w:t>
      </w:r>
      <w:r>
        <w:rPr>
          <w:iCs/>
          <w:i/>
        </w:rPr>
        <w:t xml:space="preserve">valid</w:t>
      </w:r>
      <w:r>
        <w:t xml:space="preserve"> </w:t>
      </w:r>
      <w:r>
        <w:t xml:space="preserve">request. The model does not represent the Article 17(3) exemptions under which a controller may lawfully refuse, and so treats every arriving request as valid; Chapter 3, Section 3.7 explains why this affects the frequencies reported in Chapter 5 but not the theorems.</w:t>
      </w:r>
    </w:p>
    <w:p>
      <w:pPr>
        <w:pStyle w:val="BodyText"/>
      </w:pPr>
      <w:r>
        <w:rPr>
          <w:iCs/>
          <w:i/>
        </w:rPr>
        <w:t xml:space="preserve">C3: Deletion ceiling.</w:t>
      </w:r>
      <w:r>
        <w:t xml:space="preserve"> </w:t>
      </w:r>
      <w:r>
        <w:t xml:space="preserve">For every record</w:t>
      </w:r>
      <w:r>
        <w:t xml:space="preserve"> </w:t>
      </w:r>
      <m:oMath>
        <m:r>
          <m:t>a</m:t>
        </m:r>
      </m:oMath>
      <w:r>
        <w:t xml:space="preserve"> </w:t>
      </w:r>
      <w:r>
        <w:t xml:space="preserve">with</w:t>
      </w:r>
      <w:r>
        <w:t xml:space="preserve"> </w:t>
      </w:r>
      <m:oMath>
        <m:r>
          <m:t>σ</m:t>
        </m:r>
        <m:d>
          <m:dPr>
            <m:begChr m:val="("/>
            <m:endChr m:val=")"/>
            <m:sepChr m:val=""/>
            <m:grow/>
          </m:dPr>
          <m:e>
            <m:r>
              <m:t>a</m:t>
            </m:r>
          </m:e>
        </m:d>
      </m:oMath>
      <w:r>
        <w:t xml:space="preserve"> </w:t>
      </w:r>
      <w:r>
        <w:t xml:space="preserve">= secondary and every month</w:t>
      </w:r>
      <w:r>
        <w:t xml:space="preserve"> </w:t>
      </w:r>
      <m:oMath>
        <m:r>
          <m:t>t</m:t>
        </m:r>
        <m:r>
          <m:rPr>
            <m:sty m:val="p"/>
          </m:rPr>
          <m:t>≥</m:t>
        </m:r>
        <m:sSub>
          <m:e>
            <m:r>
              <m:t>t</m:t>
            </m:r>
          </m:e>
          <m:sub>
            <m:r>
              <m:t>π</m:t>
            </m:r>
          </m:sub>
        </m:sSub>
        <m:d>
          <m:dPr>
            <m:begChr m:val="("/>
            <m:endChr m:val=")"/>
            <m:sepChr m:val=""/>
            <m:grow/>
          </m:dPr>
          <m:e>
            <m:r>
              <m:t>a</m:t>
            </m:r>
          </m:e>
        </m:d>
        <m:r>
          <m:rPr>
            <m:sty m:val="p"/>
          </m:rPr>
          <m:t>+</m:t>
        </m:r>
        <m:r>
          <m:t>6</m:t>
        </m:r>
      </m:oMath>
      <w:r>
        <w:t xml:space="preserve">:</w:t>
      </w:r>
    </w:p>
    <w:p>
      <w:pPr>
        <w:pStyle w:val="BodyText"/>
      </w:pPr>
      <m:oMathPara>
        <m:oMathParaPr>
          <m:jc m:val="center"/>
        </m:oMathParaPr>
        <m:oMath>
          <m:r>
            <m:t>α</m:t>
          </m:r>
          <m:d>
            <m:dPr>
              <m:begChr m:val="("/>
              <m:endChr m:val=")"/>
              <m:sep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endChr m:val=")"/>
              <m:sepChr m:val=""/>
              <m:grow/>
            </m:dPr>
            <m:e>
              <m:r>
                <m:t>a</m:t>
              </m:r>
            </m:e>
          </m:d>
          <m:r>
            <m:rPr>
              <m:sty m:val="p"/>
            </m:rPr>
            <m:t>+</m:t>
          </m:r>
          <m:r>
            <m:t>6</m:t>
          </m:r>
        </m:oMath>
      </m:oMathPara>
    </w:p>
    <w:p>
      <w:pPr>
        <w:pStyle w:val="FirstParagraph"/>
      </w:pPr>
      <w:r>
        <w:t xml:space="preserve">and, where the record’s subject fields are electronic health data within the environment (Section 4.6),</w:t>
      </w:r>
    </w:p>
    <w:p>
      <w:pPr>
        <w:pStyle w:val="BodyText"/>
      </w:pPr>
      <m:oMathPara>
        <m:oMathParaPr>
          <m:jc m:val="center"/>
        </m:oMathParaPr>
        <m:oMath>
          <m:r>
            <m:t>β</m:t>
          </m:r>
          <m:d>
            <m:dPr>
              <m:begChr m:val="("/>
              <m:endChr m:val=")"/>
              <m:sep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endChr m:val=")"/>
              <m:sepChr m:val=""/>
              <m:grow/>
            </m:dPr>
            <m:e>
              <m:r>
                <m:t>a</m:t>
              </m:r>
            </m:e>
          </m:d>
          <m:r>
            <m:rPr>
              <m:sty m:val="p"/>
            </m:rPr>
            <m:t>+</m:t>
          </m:r>
          <m:r>
            <m:t>6</m:t>
          </m:r>
        </m:oMath>
      </m:oMathPara>
    </w:p>
    <w:p>
      <w:pPr>
        <w:pStyle w:val="FirstParagraph"/>
      </w:pPr>
      <w:r>
        <w:t xml:space="preserve">Electronic health data must not remain in the Secure Processing Environment more than six months after permit expiry. Source: Article 68(12) EHDS, which provides that</w:t>
      </w:r>
      <w:r>
        <w:t xml:space="preserve"> </w:t>
      </w:r>
      <w:r>
        <w:t xml:space="preserve">“</w:t>
      </w:r>
      <w:r>
        <w:t xml:space="preserve">the electronic health data within the secure processing environment shall be deleted within six months of the expiry of the data permit</w:t>
      </w:r>
      <w:r>
        <w:t xml:space="preserve">”</w:t>
      </w:r>
      <w:r>
        <w:t xml:space="preserve"> </w:t>
      </w:r>
      <w:r>
        <w:t xml:space="preserve">(European Parliament and Council of the European Union, 2025), as operationalised by TEHDAS2 (2025).</w:t>
      </w:r>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w:t>
      </w:r>
      <w:r>
        <w:t xml:space="preserve"> </w:t>
      </w:r>
      <m:oMath>
        <m:r>
          <m:t>V</m:t>
        </m:r>
      </m:oMath>
      <w:r>
        <w:t xml:space="preserve"> </w:t>
      </w:r>
      <w:r>
        <w:t xml:space="preserve">is defined in terms of</w:t>
      </w:r>
      <w:r>
        <w:t xml:space="preserve"> </w:t>
      </w:r>
      <m:oMath>
        <m:r>
          <m:t>α</m:t>
        </m:r>
      </m:oMath>
      <w:r>
        <w:t xml:space="preserve">, which is the question Section 4.5 makes explicit.</w:t>
      </w:r>
    </w:p>
    <w:bookmarkEnd w:id="69"/>
    <w:bookmarkStart w:id="70" w:name="two-semantics-of-verifiability"/>
    <w:p>
      <w:pPr>
        <w:pStyle w:val="Heading2"/>
      </w:pPr>
      <w:r>
        <w:t xml:space="preserve">4.5 Two Semantics of Verifiability</w:t>
      </w:r>
    </w:p>
    <w:p>
      <w:pPr>
        <w:pStyle w:val="FirstParagraph"/>
      </w:pPr>
      <w:r>
        <w:rPr>
          <w:iCs/>
          <w:i/>
        </w:rPr>
        <w:t xml:space="preserve">Semantics I: plaintext verifiability.</w:t>
      </w:r>
      <w:r>
        <w:t xml:space="preserve"> </w:t>
      </w:r>
      <w:r>
        <w:t xml:space="preserve">A record counts as verifiable exactly when its payload is accessible:</w:t>
      </w:r>
    </w:p>
    <w:p>
      <w:pPr>
        <w:pStyle w:val="BodyText"/>
      </w:pPr>
      <m:oMathPara>
        <m:oMathParaPr>
          <m:jc m:val="center"/>
        </m:oMathParaPr>
        <m:oMath>
          <m:sSup>
            <m:e>
              <m:r>
                <m:t>V</m:t>
              </m:r>
            </m:e>
            <m:sup>
              <m:r>
                <m:t>I</m:t>
              </m:r>
            </m:sup>
          </m:sSup>
          <m:d>
            <m:dPr>
              <m:begChr m:val="("/>
              <m:endChr m:val=")"/>
              <m:sepChr m:val=""/>
              <m:grow/>
            </m:dPr>
            <m:e>
              <m:r>
                <m:t>a</m:t>
              </m:r>
              <m:r>
                <m:rPr>
                  <m:sty m:val="p"/>
                </m:rPr>
                <m:t>,</m:t>
              </m:r>
              <m:r>
                <m:t>t</m:t>
              </m:r>
            </m:e>
          </m:d>
          <m:r>
            <m:rPr>
              <m:sty m:val="p"/>
            </m:rPr>
            <m:t>=</m:t>
          </m:r>
          <m:r>
            <m:t>α</m:t>
          </m:r>
          <m:d>
            <m:dPr>
              <m:begChr m:val="("/>
              <m:endChr m:val=")"/>
              <m:sepChr m:val=""/>
              <m:grow/>
            </m:dPr>
            <m:e>
              <m:r>
                <m:t>a</m:t>
              </m:r>
              <m:r>
                <m:rPr>
                  <m:sty m:val="p"/>
                </m:rPr>
                <m:t>,</m:t>
              </m:r>
              <m:r>
                <m:t>t</m:t>
              </m:r>
            </m:e>
          </m:d>
        </m:oMath>
      </m:oMathPara>
    </w:p>
    <w:p>
      <w:pPr>
        <w:pStyle w:val="FirstParagraph"/>
      </w:pPr>
      <w:r>
        <w:t xml:space="preserve">This is the semantics implicit in the design of audit systems that predate the erasure right. Under it, an audit record whose payload cannot be produced is treated as an incomplete or broken record, and audit integrity is understood as the continued producibility of what was accessed. No instrument in the system states this semantics; it is inherited from practice, which is precisely why it has not been examined.</w:t>
      </w:r>
    </w:p>
    <w:p>
      <w:pPr>
        <w:pStyle w:val="BodyText"/>
      </w:pPr>
      <w:r>
        <w:rPr>
          <w:iCs/>
          <w:i/>
        </w:rPr>
        <w:t xml:space="preserve">Semantics II: accountability-preserving verifiability.</w:t>
      </w:r>
      <w:r>
        <w:t xml:space="preserve"> </w:t>
      </w:r>
      <w:r>
        <w:t xml:space="preserve">A record counts as verifiable when its accountability content is intact and any loss of payload accessibility is itself accounted for:</w:t>
      </w:r>
    </w:p>
    <w:p>
      <w:pPr>
        <w:pStyle w:val="BodyText"/>
      </w:pPr>
      <m:oMathPara>
        <m:oMathParaPr>
          <m:jc m:val="center"/>
        </m:oMathParaPr>
        <m:oMath>
          <m:sSup>
            <m:e>
              <m:r>
                <m:t>V</m:t>
              </m:r>
            </m:e>
            <m:sup>
              <m:r>
                <m:t>I</m:t>
              </m:r>
              <m:r>
                <m:t>I</m:t>
              </m:r>
            </m:sup>
          </m:sSup>
          <m:d>
            <m:dPr>
              <m:begChr m:val="("/>
              <m:endChr m:val=")"/>
              <m:sepChr m:val=""/>
              <m:grow/>
            </m:dPr>
            <m:e>
              <m:r>
                <m:t>a</m:t>
              </m:r>
              <m:r>
                <m:rPr>
                  <m:sty m:val="p"/>
                </m:rPr>
                <m:t>,</m:t>
              </m:r>
              <m:r>
                <m:t>t</m:t>
              </m:r>
            </m:e>
          </m:d>
          <m:r>
            <m:rPr>
              <m:sty m:val="p"/>
            </m:rPr>
            <m:t>=</m:t>
          </m:r>
          <m:r>
            <m:t>1</m:t>
          </m:r>
          <m:r>
            <m:rPr>
              <m:sty m:val="p"/>
            </m:rPr>
            <m:t>⇔</m:t>
          </m:r>
          <m:r>
            <m:rPr>
              <m:nor/>
              <m:sty m:val="p"/>
            </m:rPr>
            <m:t>(i)</m:t>
          </m:r>
          <m:r>
            <m:rPr>
              <m:sty m:val="p"/>
            </m:rPr>
            <m:t>∧</m:t>
          </m:r>
          <m:r>
            <m:rPr>
              <m:nor/>
              <m:sty m:val="p"/>
            </m:rPr>
            <m:t>(ii)</m:t>
          </m:r>
          <m:r>
            <m:rPr>
              <m:sty m:val="p"/>
            </m:rPr>
            <m:t>∧</m:t>
          </m:r>
          <m:r>
            <m:rPr>
              <m:nor/>
              <m:sty m:val="p"/>
            </m:rPr>
            <m:t>(iii)</m:t>
          </m:r>
        </m:oMath>
      </m:oMathPara>
    </w:p>
    <w:p>
      <w:pPr>
        <w:pStyle w:val="FirstParagraph"/>
      </w:pPr>
      <w:r>
        <w:t xml:space="preserve">where, at month</w:t>
      </w:r>
      <w:r>
        <w:t xml:space="preserve"> </w:t>
      </w:r>
      <m:oMath>
        <m:r>
          <m:t>t</m:t>
        </m:r>
      </m:oMath>
      <w:r>
        <w:t xml:space="preserve">: (i)</w:t>
      </w:r>
      <w:r>
        <w:t xml:space="preserve"> </w:t>
      </w:r>
      <m:oMath>
        <m:sSub>
          <m:e>
            <m:r>
              <m:t>m</m:t>
            </m:r>
          </m:e>
          <m:sub>
            <m:r>
              <m:t>a</m:t>
            </m:r>
            <m:r>
              <m:t>c</m:t>
            </m:r>
            <m:r>
              <m:t>c</m:t>
            </m:r>
          </m:sub>
        </m:sSub>
        <m:d>
          <m:dPr>
            <m:begChr m:val="("/>
            <m:endChr m:val=")"/>
            <m:sepChr m:val=""/>
            <m:grow/>
          </m:dPr>
          <m:e>
            <m:r>
              <m:t>a</m:t>
            </m:r>
          </m:e>
        </m:d>
      </m:oMath>
      <w:r>
        <w:t xml:space="preserve"> </w:t>
      </w:r>
      <w:r>
        <w:t xml:space="preserve">is intact and unmodified, and so is</w:t>
      </w:r>
      <w:r>
        <w:t xml:space="preserve"> </w:t>
      </w:r>
      <m:oMath>
        <m:sSub>
          <m:e>
            <m:r>
              <m:t>m</m:t>
            </m:r>
          </m:e>
          <m:sub>
            <m:r>
              <m:t>s</m:t>
            </m:r>
            <m:r>
              <m:t>u</m:t>
            </m:r>
            <m:r>
              <m:t>b</m:t>
            </m:r>
            <m:r>
              <m:t>j</m:t>
            </m:r>
          </m:sub>
        </m:sSub>
        <m:d>
          <m:dPr>
            <m:begChr m:val="("/>
            <m:endChr m:val=")"/>
            <m:sepChr m:val=""/>
            <m:grow/>
          </m:dPr>
          <m:e>
            <m:r>
              <m:t>a</m:t>
            </m:r>
          </m:e>
        </m:d>
      </m:oMath>
      <w:r>
        <w:t xml:space="preserve"> </w:t>
      </w:r>
      <w:r>
        <w:t xml:space="preserve">unless its removal is recorded under (iii); (ii)</w:t>
      </w:r>
      <w:r>
        <w:t xml:space="preserve"> </w:t>
      </w:r>
      <m:oMath>
        <m:r>
          <m:t>c</m:t>
        </m:r>
        <m:d>
          <m:dPr>
            <m:begChr m:val="("/>
            <m:endChr m:val=")"/>
            <m:sepChr m:val=""/>
            <m:grow/>
          </m:dPr>
          <m:e>
            <m:r>
              <m:t>a</m:t>
            </m:r>
          </m:e>
        </m:d>
      </m:oMath>
      <w:r>
        <w:t xml:space="preserve"> </w:t>
      </w:r>
      <w:r>
        <w:t xml:space="preserve">is present and binding; and (iii) if</w:t>
      </w:r>
      <w:r>
        <w:t xml:space="preserve"> </w:t>
      </w:r>
      <m:oMath>
        <m:r>
          <m:t>α</m:t>
        </m:r>
        <m:d>
          <m:dPr>
            <m:begChr m:val="("/>
            <m:endChr m:val=")"/>
            <m:sepChr m:val=""/>
            <m:grow/>
          </m:dPr>
          <m:e>
            <m:r>
              <m:t>a</m:t>
            </m:r>
            <m:r>
              <m:rPr>
                <m:sty m:val="p"/>
              </m:rPr>
              <m:t>,</m:t>
            </m:r>
            <m:r>
              <m:t>t</m:t>
            </m:r>
            <m:r>
              <m:rPr>
                <m:sty m:val="p"/>
              </m:rPr>
              <m:t>′</m:t>
            </m:r>
          </m:e>
        </m:d>
        <m:r>
          <m:rPr>
            <m:sty m:val="p"/>
          </m:rPr>
          <m:t>=</m:t>
        </m:r>
        <m:r>
          <m:t>1</m:t>
        </m:r>
      </m:oMath>
      <w:r>
        <w:t xml:space="preserve"> </w:t>
      </w:r>
      <w:r>
        <w:t xml:space="preserve">for some</w:t>
      </w:r>
      <w:r>
        <w:t xml:space="preserve"> </w:t>
      </w:r>
      <m:oMath>
        <m:r>
          <m:t>t</m:t>
        </m:r>
        <m:r>
          <m:rPr>
            <m:sty m:val="p"/>
          </m:rPr>
          <m:t>′</m:t>
        </m:r>
        <m:r>
          <m:rPr>
            <m:sty m:val="p"/>
          </m:rPr>
          <m:t>&lt;</m:t>
        </m:r>
        <m:r>
          <m:t>t</m:t>
        </m:r>
      </m:oMath>
      <w:r>
        <w:t xml:space="preserve"> </w:t>
      </w:r>
      <w:r>
        <w:t xml:space="preserve">and</w:t>
      </w:r>
      <w:r>
        <w:t xml:space="preserve"> </w:t>
      </w:r>
      <m:oMath>
        <m:r>
          <m:t>α</m:t>
        </m:r>
        <m:d>
          <m:dPr>
            <m:begChr m:val="("/>
            <m:endChr m:val=")"/>
            <m:sepChr m:val=""/>
            <m:grow/>
          </m:dPr>
          <m:e>
            <m:r>
              <m:t>a</m:t>
            </m:r>
            <m:r>
              <m:rPr>
                <m:sty m:val="p"/>
              </m:rPr>
              <m:t>,</m:t>
            </m:r>
            <m:r>
              <m:t>t</m:t>
            </m:r>
          </m:e>
        </m:d>
        <m:r>
          <m:rPr>
            <m:sty m:val="p"/>
          </m:rPr>
          <m:t>=</m:t>
        </m:r>
        <m:r>
          <m:t>0</m:t>
        </m:r>
      </m:oMath>
      <w:r>
        <w:t xml:space="preserve">, or likewise for</w:t>
      </w:r>
      <w:r>
        <w:t xml:space="preserve"> </w:t>
      </w:r>
      <m:oMath>
        <m:r>
          <m:t>β</m:t>
        </m:r>
      </m:oMath>
      <w:r>
        <w:t xml:space="preserve">, then an invalidation entry</w:t>
      </w:r>
      <w:r>
        <w:t xml:space="preserve"> </w:t>
      </w:r>
      <m:oMath>
        <m:r>
          <m:t>ι</m:t>
        </m:r>
        <m:d>
          <m:dPr>
            <m:begChr m:val="("/>
            <m:endChr m:val=")"/>
            <m:sepChr m:val=""/>
            <m:grow/>
          </m:dPr>
          <m:e>
            <m:r>
              <m:t>a</m:t>
            </m:r>
          </m:e>
        </m:d>
      </m:oMath>
      <w:r>
        <w:t xml:space="preserve"> </w:t>
      </w:r>
      <w:r>
        <w:t xml:space="preserve">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w:t>
      </w:r>
      <w:r>
        <w:t xml:space="preserve"> </w:t>
      </w:r>
      <w:r>
        <w:rPr>
          <w:iCs/>
          <w:i/>
        </w:rPr>
        <w:t xml:space="preserve">and</w:t>
      </w:r>
      <w:r>
        <w:t xml:space="preserve"> </w:t>
      </w:r>
      <w:r>
        <w:t xml:space="preserve">of the lawful invalidation of that event’s payload. The audit trail grows rather than shrinks when erasure occurs.</w:t>
      </w:r>
    </w:p>
    <w:p>
      <w:pPr>
        <w:pStyle w:val="BodyText"/>
      </w:pPr>
      <w:r>
        <w:t xml:space="preserve">Neither semantics is stipulated by the instruments. Section 4.10 argues that Semantics II is the better reading of what the instruments require; the theorems below establish what follows from each.</w:t>
      </w:r>
    </w:p>
    <w:bookmarkEnd w:id="70"/>
    <w:bookmarkStart w:id="71" w:name="X3fed01e8b6f7a8983fb9fd535908c9690537113"/>
    <w:p>
      <w:pPr>
        <w:pStyle w:val="Heading2"/>
      </w:pPr>
      <w:r>
        <w:t xml:space="preserve">4.6 Theorem 1: Infeasibility under Plaintext Verifiability</w:t>
      </w:r>
    </w:p>
    <w:p>
      <w:pPr>
        <w:pStyle w:val="BlockText"/>
      </w:pPr>
      <w:r>
        <w:rPr>
          <w:iCs/>
          <w:i/>
        </w:rPr>
        <w:t xml:space="preserve">Theorem 1.</w:t>
      </w:r>
      <w:r>
        <w:t xml:space="preserve"> </w:t>
      </w:r>
      <w:r>
        <w:t xml:space="preserve">Under Semantics I, the constraint system</w:t>
      </w:r>
      <w:r>
        <w:t xml:space="preserve"> </w:t>
      </w:r>
      <m:oMath>
        <m:r>
          <m:rPr>
            <m:sty m:val="p"/>
          </m:rPr>
          <m:t>{</m:t>
        </m:r>
        <m:r>
          <m:t>C</m:t>
        </m:r>
        <m:r>
          <m:t>1</m:t>
        </m:r>
        <m:r>
          <m:rPr>
            <m:sty m:val="p"/>
          </m:rPr>
          <m:t>,</m:t>
        </m:r>
        <m:r>
          <m:t>C</m:t>
        </m:r>
        <m:r>
          <m:t>2</m:t>
        </m:r>
        <m:r>
          <m:rPr>
            <m:sty m:val="p"/>
          </m:rPr>
          <m:t>,</m:t>
        </m:r>
        <m:r>
          <m:t>C</m:t>
        </m:r>
        <m:r>
          <m:t>3</m:t>
        </m:r>
        <m:r>
          <m:rPr>
            <m:sty m:val="p"/>
          </m:rPr>
          <m:t>}</m:t>
        </m:r>
      </m:oMath>
      <w:r>
        <w:t xml:space="preserve"> </w:t>
      </w:r>
      <w:r>
        <w:t xml:space="preserve">is infeasible for any record</w:t>
      </w:r>
      <w:r>
        <w:t xml:space="preserve"> </w:t>
      </w:r>
      <m:oMath>
        <m:r>
          <m:t>a</m:t>
        </m:r>
      </m:oMath>
      <w:r>
        <w:t xml:space="preserve"> </w:t>
      </w:r>
      <w:r>
        <w:t xml:space="preserve">such that</w:t>
      </w:r>
    </w:p>
    <w:p>
      <w:pPr>
        <w:pStyle w:val="BlockText"/>
      </w:pPr>
      <m:oMathPara>
        <m:oMathParaPr>
          <m:jc m:val="center"/>
        </m:oMathParaPr>
        <m:oMath>
          <m:sSub>
            <m:e>
              <m:r>
                <m:t>t</m:t>
              </m:r>
            </m:e>
            <m:sub>
              <m:r>
                <m:t>r</m:t>
              </m:r>
            </m:sub>
          </m:sSub>
          <m:d>
            <m:dPr>
              <m:begChr m:val="("/>
              <m:endChr m:val=")"/>
              <m:sepChr m:val=""/>
              <m:grow/>
            </m:dPr>
            <m:e>
              <m:r>
                <m:t>a</m:t>
              </m:r>
            </m:e>
          </m:d>
          <m:r>
            <m:rPr>
              <m:sty m:val="p"/>
            </m:rPr>
            <m:t>+</m:t>
          </m:r>
          <m:r>
            <m:t>δ</m:t>
          </m:r>
          <m:r>
            <m:rPr>
              <m:sty m:val="p"/>
            </m:rPr>
            <m:t>≤</m:t>
          </m:r>
          <m:r>
            <m:t>t</m:t>
          </m:r>
          <m:d>
            <m:dPr>
              <m:begChr m:val="("/>
              <m:endChr m:val=")"/>
              <m:sepChr m:val=""/>
              <m:grow/>
            </m:dPr>
            <m:e>
              <m:r>
                <m:t>a</m:t>
              </m:r>
            </m:e>
          </m:d>
          <m:r>
            <m:rPr>
              <m:sty m:val="p"/>
            </m:rPr>
            <m:t>+</m:t>
          </m:r>
          <m:r>
            <m:t>F</m:t>
          </m:r>
          <m:d>
            <m:dPr>
              <m:begChr m:val="("/>
              <m:endChr m:val=")"/>
              <m:sepChr m:val=""/>
              <m:grow/>
            </m:dPr>
            <m:e>
              <m:r>
                <m:t>a</m:t>
              </m:r>
            </m:e>
          </m:d>
          <m:r>
            <m:t> </m:t>
          </m:r>
          <m:r>
            <m:rPr>
              <m:nor/>
              <m:sty m:val="p"/>
            </m:rPr>
            <m:t>or</m:t>
          </m:r>
          <m:r>
            <m:t> </m:t>
          </m:r>
          <m:sSub>
            <m:e>
              <m:r>
                <m:t>t</m:t>
              </m:r>
            </m:e>
            <m:sub>
              <m:r>
                <m:t>π</m:t>
              </m:r>
            </m:sub>
          </m:sSub>
          <m:d>
            <m:dPr>
              <m:begChr m:val="("/>
              <m:endChr m:val=")"/>
              <m:sepChr m:val=""/>
              <m:grow/>
            </m:dPr>
            <m:e>
              <m:r>
                <m:t>a</m:t>
              </m:r>
            </m:e>
          </m:d>
          <m:r>
            <m:rPr>
              <m:sty m:val="p"/>
            </m:rPr>
            <m:t>+</m:t>
          </m:r>
          <m:r>
            <m:t>6</m:t>
          </m:r>
          <m:r>
            <m:rPr>
              <m:sty m:val="p"/>
            </m:rPr>
            <m:t>≤</m:t>
          </m:r>
          <m:r>
            <m:t>t</m:t>
          </m:r>
          <m:d>
            <m:dPr>
              <m:begChr m:val="("/>
              <m:endChr m:val=")"/>
              <m:sepChr m:val=""/>
              <m:grow/>
            </m:dPr>
            <m:e>
              <m:r>
                <m:t>a</m:t>
              </m:r>
            </m:e>
          </m:d>
          <m:r>
            <m:rPr>
              <m:sty m:val="p"/>
            </m:rPr>
            <m:t>+</m:t>
          </m:r>
          <m:r>
            <m:t>F</m:t>
          </m:r>
          <m:d>
            <m:dPr>
              <m:begChr m:val="("/>
              <m:endChr m:val=")"/>
              <m:sepChr m:val=""/>
              <m:grow/>
            </m:dPr>
            <m:e>
              <m:r>
                <m:t>a</m:t>
              </m:r>
            </m:e>
          </m:d>
          <m:r>
            <m:rPr>
              <m:sty m:val="p"/>
            </m:rPr>
            <m:t>.</m:t>
          </m:r>
        </m:oMath>
      </m:oMathPara>
    </w:p>
    <w:p>
      <w:pPr>
        <w:pStyle w:val="FirstParagraph"/>
      </w:pPr>
      <w:r>
        <w:rPr>
          <w:iCs/>
          <w:i/>
        </w:rPr>
        <w:t xml:space="preserve">Proof.</w:t>
      </w:r>
      <w:r>
        <w:t xml:space="preserve"> </w:t>
      </w:r>
      <w:r>
        <w:t xml:space="preserve">Take a record</w:t>
      </w:r>
      <w:r>
        <w:t xml:space="preserve"> </w:t>
      </w:r>
      <m:oMath>
        <m:r>
          <m:t>a</m:t>
        </m:r>
      </m:oMath>
      <w:r>
        <w:t xml:space="preserve"> </w:t>
      </w:r>
      <w:r>
        <w:t xml:space="preserve">satisfying the first disjunct, and let</w:t>
      </w:r>
      <w:r>
        <w:t xml:space="preserve"> </w:t>
      </w:r>
      <m:oMath>
        <m:sSup>
          <m:e>
            <m:r>
              <m:t>t</m:t>
            </m:r>
          </m:e>
          <m:sup>
            <m:r>
              <m:rPr>
                <m:sty m:val="p"/>
              </m:rPr>
              <m:t>*</m:t>
            </m:r>
          </m:sup>
        </m:sSup>
        <m:r>
          <m:rPr>
            <m:sty m:val="p"/>
          </m:rPr>
          <m:t>=</m:t>
        </m:r>
        <m:sSub>
          <m:e>
            <m:r>
              <m:t>t</m:t>
            </m:r>
          </m:e>
          <m:sub>
            <m:r>
              <m:t>r</m:t>
            </m:r>
          </m:sub>
        </m:sSub>
        <m:d>
          <m:dPr>
            <m:begChr m:val="("/>
            <m:endChr m:val=")"/>
            <m:sepChr m:val=""/>
            <m:grow/>
          </m:dPr>
          <m:e>
            <m:r>
              <m:t>a</m:t>
            </m:r>
          </m:e>
        </m:d>
        <m:r>
          <m:rPr>
            <m:sty m:val="p"/>
          </m:rPr>
          <m:t>+</m:t>
        </m:r>
        <m:r>
          <m:t>δ</m:t>
        </m:r>
      </m:oMath>
      <w:r>
        <w:t xml:space="preserve">. By hypothesis</w:t>
      </w:r>
      <w:r>
        <w:t xml:space="preserve"> </w:t>
      </w:r>
      <m:oMath>
        <m:sSup>
          <m:e>
            <m:r>
              <m:t>t</m:t>
            </m:r>
          </m:e>
          <m:sup>
            <m:r>
              <m:rPr>
                <m:sty m:val="p"/>
              </m:rPr>
              <m:t>*</m:t>
            </m:r>
          </m:sup>
        </m:sSup>
        <m:r>
          <m:rPr>
            <m:sty m:val="p"/>
          </m:rPr>
          <m:t>≤</m:t>
        </m:r>
        <m:r>
          <m:t>t</m:t>
        </m:r>
        <m:d>
          <m:dPr>
            <m:begChr m:val="("/>
            <m:endChr m:val=")"/>
            <m:sepChr m:val=""/>
            <m:grow/>
          </m:dPr>
          <m:e>
            <m:r>
              <m:t>a</m:t>
            </m:r>
          </m:e>
        </m:d>
        <m:r>
          <m:rPr>
            <m:sty m:val="p"/>
          </m:rPr>
          <m:t>+</m:t>
        </m:r>
        <m:r>
          <m:t>F</m:t>
        </m:r>
        <m:d>
          <m:dPr>
            <m:begChr m:val="("/>
            <m:endChr m:val=")"/>
            <m:sepChr m:val=""/>
            <m:grow/>
          </m:dPr>
          <m:e>
            <m:r>
              <m:t>a</m:t>
            </m:r>
          </m:e>
        </m:d>
      </m:oMath>
      <w:r>
        <w:t xml:space="preserve">, and since erasure requests arrive after the access that generates the record,</w:t>
      </w:r>
      <w:r>
        <w:t xml:space="preserve"> </w:t>
      </w:r>
      <m:oMath>
        <m:sSup>
          <m:e>
            <m:r>
              <m:t>t</m:t>
            </m:r>
          </m:e>
          <m:sup>
            <m:r>
              <m:rPr>
                <m:sty m:val="p"/>
              </m:rPr>
              <m:t>*</m:t>
            </m:r>
          </m:sup>
        </m:sSup>
        <m:r>
          <m:rPr>
            <m:sty m:val="p"/>
          </m:rPr>
          <m:t>≥</m:t>
        </m:r>
        <m:r>
          <m:t>t</m:t>
        </m:r>
        <m:d>
          <m:dPr>
            <m:begChr m:val="("/>
            <m:endChr m:val=")"/>
            <m:sepChr m:val=""/>
            <m:grow/>
          </m:dPr>
          <m:e>
            <m:r>
              <m:t>a</m:t>
            </m:r>
          </m:e>
        </m:d>
      </m:oMath>
      <w:r>
        <w:t xml:space="preserve">. Hence</w:t>
      </w:r>
      <w:r>
        <w:t xml:space="preserve"> </w:t>
      </w:r>
      <m:oMath>
        <m:sSup>
          <m:e>
            <m:r>
              <m:t>t</m:t>
            </m:r>
          </m:e>
          <m:sup>
            <m:r>
              <m:rPr>
                <m:sty m:val="p"/>
              </m:rPr>
              <m:t>*</m:t>
            </m:r>
          </m:sup>
        </m:sSup>
      </m:oMath>
      <w:r>
        <w:t xml:space="preserve"> </w:t>
      </w:r>
      <w:r>
        <w:t xml:space="preserve">lies within the retention window, so C1 requires</w:t>
      </w:r>
      <w:r>
        <w:t xml:space="preserve"> </w:t>
      </w:r>
      <m:oMath>
        <m:r>
          <m:t>V</m:t>
        </m:r>
        <m:d>
          <m:dPr>
            <m:begChr m:val="("/>
            <m:endChr m:val=")"/>
            <m:sepChr m:val=""/>
            <m:grow/>
          </m:dPr>
          <m:e>
            <m:r>
              <m:t>a</m:t>
            </m:r>
            <m:r>
              <m:rPr>
                <m:sty m:val="p"/>
              </m:rPr>
              <m:t>,</m:t>
            </m:r>
            <m:sSup>
              <m:e>
                <m:r>
                  <m:t>t</m:t>
                </m:r>
              </m:e>
              <m:sup>
                <m:r>
                  <m:rPr>
                    <m:sty m:val="p"/>
                  </m:rPr>
                  <m:t>*</m:t>
                </m:r>
              </m:sup>
            </m:sSup>
          </m:e>
        </m:d>
        <m:r>
          <m:rPr>
            <m:sty m:val="p"/>
          </m:rPr>
          <m:t>=</m:t>
        </m:r>
        <m:r>
          <m:t>1</m:t>
        </m:r>
      </m:oMath>
      <w:r>
        <w:t xml:space="preserve">. Under Semantics I,</w:t>
      </w:r>
      <w:r>
        <w:t xml:space="preserve"> </w:t>
      </w:r>
      <m:oMath>
        <m:sSup>
          <m:e>
            <m:r>
              <m:t>V</m:t>
            </m:r>
          </m:e>
          <m:sup>
            <m:r>
              <m:t>I</m:t>
            </m:r>
          </m:sup>
        </m:sSup>
        <m:d>
          <m:dPr>
            <m:begChr m:val="("/>
            <m:endChr m:val=")"/>
            <m:sepChr m:val=""/>
            <m:grow/>
          </m:dPr>
          <m:e>
            <m:r>
              <m:t>a</m:t>
            </m:r>
            <m:r>
              <m:rPr>
                <m:sty m:val="p"/>
              </m:rPr>
              <m:t>,</m:t>
            </m:r>
            <m:sSup>
              <m:e>
                <m:r>
                  <m:t>t</m:t>
                </m:r>
              </m:e>
              <m:sup>
                <m:r>
                  <m:rPr>
                    <m:sty m:val="p"/>
                  </m:rPr>
                  <m:t>*</m:t>
                </m:r>
              </m:sup>
            </m:sSup>
          </m:e>
        </m:d>
        <m:r>
          <m:rPr>
            <m:sty m:val="p"/>
          </m:rPr>
          <m:t>=</m:t>
        </m:r>
        <m:r>
          <m:t>α</m:t>
        </m:r>
        <m:d>
          <m:dPr>
            <m:begChr m:val="("/>
            <m:endChr m:val=")"/>
            <m:sepChr m:val=""/>
            <m:grow/>
          </m:dPr>
          <m:e>
            <m:r>
              <m:t>a</m:t>
            </m:r>
            <m:r>
              <m:rPr>
                <m:sty m:val="p"/>
              </m:rPr>
              <m:t>,</m:t>
            </m:r>
            <m:sSup>
              <m:e>
                <m:r>
                  <m:t>t</m:t>
                </m:r>
              </m:e>
              <m:sup>
                <m:r>
                  <m:rPr>
                    <m:sty m:val="p"/>
                  </m:rPr>
                  <m:t>*</m:t>
                </m:r>
              </m:sup>
            </m:sSup>
          </m:e>
        </m:d>
      </m:oMath>
      <w:r>
        <w:t xml:space="preserve">, so C1 requires</w:t>
      </w:r>
      <w:r>
        <w:t xml:space="preserve"> </w:t>
      </w:r>
      <m:oMath>
        <m:r>
          <m:t>α</m:t>
        </m:r>
        <m:d>
          <m:dPr>
            <m:begChr m:val="("/>
            <m:endChr m:val=")"/>
            <m:sepChr m:val=""/>
            <m:grow/>
          </m:dPr>
          <m:e>
            <m:r>
              <m:t>a</m:t>
            </m:r>
            <m:r>
              <m:rPr>
                <m:sty m:val="p"/>
              </m:rPr>
              <m:t>,</m:t>
            </m:r>
            <m:sSup>
              <m:e>
                <m:r>
                  <m:t>t</m:t>
                </m:r>
              </m:e>
              <m:sup>
                <m:r>
                  <m:rPr>
                    <m:sty m:val="p"/>
                  </m:rPr>
                  <m:t>*</m:t>
                </m:r>
              </m:sup>
            </m:sSup>
          </m:e>
        </m:d>
        <m:r>
          <m:rPr>
            <m:sty m:val="p"/>
          </m:rPr>
          <m:t>=</m:t>
        </m:r>
        <m:r>
          <m:t>1</m:t>
        </m:r>
      </m:oMath>
      <w:r>
        <w:t xml:space="preserve">. But C2 requires</w:t>
      </w:r>
      <w:r>
        <w:t xml:space="preserve"> </w:t>
      </w:r>
      <m:oMath>
        <m:r>
          <m:t>α</m:t>
        </m:r>
        <m:d>
          <m:dPr>
            <m:begChr m:val="("/>
            <m:endChr m:val=")"/>
            <m:sepChr m:val=""/>
            <m:grow/>
          </m:dPr>
          <m:e>
            <m:r>
              <m:t>a</m:t>
            </m:r>
            <m:r>
              <m:rPr>
                <m:sty m:val="p"/>
              </m:rPr>
              <m:t>,</m:t>
            </m:r>
            <m:r>
              <m:t>t</m:t>
            </m:r>
          </m:e>
        </m:d>
        <m:r>
          <m:rPr>
            <m:sty m:val="p"/>
          </m:rPr>
          <m:t>=</m:t>
        </m:r>
        <m:r>
          <m:t>0</m:t>
        </m:r>
      </m:oMath>
      <w:r>
        <w:t xml:space="preserve"> </w:t>
      </w:r>
      <w:r>
        <w:t xml:space="preserve">for all</w:t>
      </w:r>
      <w:r>
        <w:t xml:space="preserve"> </w:t>
      </w:r>
      <m:oMath>
        <m:r>
          <m:t>t</m:t>
        </m:r>
        <m:r>
          <m:rPr>
            <m:sty m:val="p"/>
          </m:rPr>
          <m:t>≥</m:t>
        </m:r>
        <m:sSub>
          <m:e>
            <m:r>
              <m:t>t</m:t>
            </m:r>
          </m:e>
          <m:sub>
            <m:r>
              <m:t>r</m:t>
            </m:r>
          </m:sub>
        </m:sSub>
        <m:d>
          <m:dPr>
            <m:begChr m:val="("/>
            <m:endChr m:val=")"/>
            <m:sepChr m:val=""/>
            <m:grow/>
          </m:dPr>
          <m:e>
            <m:r>
              <m:t>a</m:t>
            </m:r>
          </m:e>
        </m:d>
        <m:r>
          <m:rPr>
            <m:sty m:val="p"/>
          </m:rPr>
          <m:t>+</m:t>
        </m:r>
        <m:r>
          <m:t>δ</m:t>
        </m:r>
        <m:r>
          <m:rPr>
            <m:sty m:val="p"/>
          </m:rPr>
          <m:t>=</m:t>
        </m:r>
        <m:sSup>
          <m:e>
            <m:r>
              <m:t>t</m:t>
            </m:r>
          </m:e>
          <m:sup>
            <m:r>
              <m:rPr>
                <m:sty m:val="p"/>
              </m:rPr>
              <m:t>*</m:t>
            </m:r>
          </m:sup>
        </m:sSup>
      </m:oMath>
      <w:r>
        <w:t xml:space="preserve">, so C2 requires</w:t>
      </w:r>
      <w:r>
        <w:t xml:space="preserve"> </w:t>
      </w:r>
      <m:oMath>
        <m:r>
          <m:t>α</m:t>
        </m:r>
        <m:d>
          <m:dPr>
            <m:begChr m:val="("/>
            <m:endChr m:val=")"/>
            <m:sepChr m:val=""/>
            <m:grow/>
          </m:dPr>
          <m:e>
            <m:r>
              <m:t>a</m:t>
            </m:r>
            <m:r>
              <m:rPr>
                <m:sty m:val="p"/>
              </m:rPr>
              <m:t>,</m:t>
            </m:r>
            <m:sSup>
              <m:e>
                <m:r>
                  <m:t>t</m:t>
                </m:r>
              </m:e>
              <m:sup>
                <m:r>
                  <m:rPr>
                    <m:sty m:val="p"/>
                  </m:rPr>
                  <m:t>*</m:t>
                </m:r>
              </m:sup>
            </m:sSup>
          </m:e>
        </m:d>
        <m:r>
          <m:rPr>
            <m:sty m:val="p"/>
          </m:rPr>
          <m:t>=</m:t>
        </m:r>
        <m:r>
          <m:t>0</m:t>
        </m:r>
      </m:oMath>
      <w:r>
        <w:t xml:space="preserve">. The two requirements are contradictory, and no assignment of</w:t>
      </w:r>
      <w:r>
        <w:t xml:space="preserve"> </w:t>
      </w:r>
      <m:oMath>
        <m:r>
          <m:t>α</m:t>
        </m:r>
      </m:oMath>
      <w:r>
        <w:t xml:space="preserve"> </w:t>
      </w:r>
      <w:r>
        <w:t xml:space="preserve">satisfies both. The argument for the second disjunct is identical with</w:t>
      </w:r>
      <w:r>
        <w:t xml:space="preserve"> </w:t>
      </w:r>
      <m:oMath>
        <m:sSup>
          <m:e>
            <m:r>
              <m:t>t</m:t>
            </m:r>
          </m:e>
          <m:sup>
            <m:r>
              <m:rPr>
                <m:sty m:val="p"/>
              </m:rPr>
              <m:t>*</m:t>
            </m:r>
          </m:sup>
        </m:sSup>
        <m:r>
          <m:rPr>
            <m:sty m:val="p"/>
          </m:rPr>
          <m:t>=</m:t>
        </m:r>
        <m:sSub>
          <m:e>
            <m:r>
              <m:t>t</m:t>
            </m:r>
          </m:e>
          <m:sub>
            <m:r>
              <m:t>π</m:t>
            </m:r>
          </m:sub>
        </m:sSub>
        <m:d>
          <m:dPr>
            <m:begChr m:val="("/>
            <m:endChr m:val=")"/>
            <m:sepChr m:val=""/>
            <m:grow/>
          </m:dPr>
          <m:e>
            <m:r>
              <m:t>a</m:t>
            </m:r>
          </m:e>
        </m:d>
        <m:r>
          <m:rPr>
            <m:sty m:val="p"/>
          </m:rPr>
          <m:t>+</m:t>
        </m:r>
        <m:r>
          <m:t>6</m:t>
        </m:r>
      </m:oMath>
      <w:r>
        <w:t xml:space="preserve"> </w:t>
      </w:r>
      <w:r>
        <w:t xml:space="preserve">and C3 in place of C2. ∎</w:t>
      </w:r>
    </w:p>
    <w:p>
      <w:pPr>
        <w:pStyle w:val="BodyText"/>
      </w:pPr>
      <w:r>
        <w:rPr>
          <w:iCs/>
          <w:i/>
        </w:rPr>
        <w:t xml:space="preserve">Corollary 1.1 (cross-border case).</w:t>
      </w:r>
      <w:r>
        <w:t xml:space="preserve"> </w:t>
      </w:r>
      <w:r>
        <w:t xml:space="preserve">For cross-border audit records,</w:t>
      </w:r>
      <w:r>
        <w:t xml:space="preserve"> </w:t>
      </w:r>
      <m:oMath>
        <m:r>
          <m:t>F</m:t>
        </m:r>
        <m:d>
          <m:dPr>
            <m:begChr m:val="("/>
            <m:endChr m:val=")"/>
            <m:sepChr m:val=""/>
            <m:grow/>
          </m:dPr>
          <m:e>
            <m:r>
              <m:t>a</m:t>
            </m:r>
          </m:e>
        </m:d>
        <m:r>
          <m:rPr>
            <m:sty m:val="p"/>
          </m:rPr>
          <m:t>=</m:t>
        </m:r>
        <m:r>
          <m:t>120</m:t>
        </m:r>
      </m:oMath>
      <w:r>
        <w:t xml:space="preserve">. The system is infeasible for record</w:t>
      </w:r>
      <w:r>
        <w:t xml:space="preserve"> </w:t>
      </w:r>
      <m:oMath>
        <m:r>
          <m:t>a</m:t>
        </m:r>
      </m:oMath>
      <w:r>
        <w:t xml:space="preserve"> </w:t>
      </w:r>
      <w:r>
        <w:t xml:space="preserve">whenever an erasure request arrives at any month</w:t>
      </w:r>
      <w:r>
        <w:t xml:space="preserve"> </w:t>
      </w:r>
      <m:oMath>
        <m:sSub>
          <m:e>
            <m:r>
              <m:t>t</m:t>
            </m:r>
          </m:e>
          <m:sub>
            <m:r>
              <m:t>r</m:t>
            </m:r>
          </m:sub>
        </m:sSub>
        <m:d>
          <m:dPr>
            <m:begChr m:val="("/>
            <m:endChr m:val=")"/>
            <m:sepChr m:val=""/>
            <m:grow/>
          </m:dPr>
          <m:e>
            <m:r>
              <m:t>a</m:t>
            </m:r>
          </m:e>
        </m:d>
        <m:r>
          <m:rPr>
            <m:sty m:val="p"/>
          </m:rPr>
          <m:t>≤</m:t>
        </m:r>
        <m:r>
          <m:t>t</m:t>
        </m:r>
        <m:d>
          <m:dPr>
            <m:begChr m:val="("/>
            <m:endChr m:val=")"/>
            <m:sepChr m:val=""/>
            <m:grow/>
          </m:dPr>
          <m:e>
            <m:r>
              <m:t>a</m:t>
            </m:r>
          </m:e>
        </m:d>
        <m:r>
          <m:rPr>
            <m:sty m:val="p"/>
          </m:rPr>
          <m:t>+</m:t>
        </m:r>
        <m:r>
          <m:t>120</m:t>
        </m:r>
      </m:oMath>
      <w:r>
        <w:t xml:space="preserve"> </w:t>
      </w:r>
      <w:r>
        <w:t xml:space="preserve">−</w:t>
      </w:r>
      <w:r>
        <w:t xml:space="preserve"> </w:t>
      </w:r>
      <m:oMath>
        <m:r>
          <m:t>δ</m:t>
        </m:r>
      </m:oMath>
      <w:r>
        <w:t xml:space="preserve">: that is, at any point in the first nine years and eleven months of a ten-year window under the baseline response period. Infeasibility is therefore not an edge case arising from unusual timing; it is the generic case, avoided only if no data subject exercises Article 17 in respect of any record for essentially the whole of its retention life.</w:t>
      </w:r>
    </w:p>
    <w:p>
      <w:pPr>
        <w:pStyle w:val="BodyText"/>
      </w:pPr>
      <w:r>
        <w:rPr>
          <w:iCs/>
          <w:i/>
        </w:rPr>
        <w:t xml:space="preserve">Corollary 1.2 (Secure Processing Environment case).</w:t>
      </w:r>
      <w:r>
        <w:t xml:space="preserve"> </w:t>
      </w:r>
      <w:r>
        <w:t xml:space="preserve">For Secure Processing Environment access logs,</w:t>
      </w:r>
      <w:r>
        <w:t xml:space="preserve"> </w:t>
      </w:r>
      <m:oMath>
        <m:r>
          <m:t>F</m:t>
        </m:r>
        <m:d>
          <m:dPr>
            <m:begChr m:val="("/>
            <m:endChr m:val=")"/>
            <m:sepChr m:val=""/>
            <m:grow/>
          </m:dPr>
          <m:e>
            <m:r>
              <m:t>a</m:t>
            </m:r>
          </m:e>
        </m:d>
        <m:r>
          <m:rPr>
            <m:sty m:val="p"/>
          </m:rPr>
          <m:t>=</m:t>
        </m:r>
        <m:r>
          <m:t>12</m:t>
        </m:r>
      </m:oMath>
      <w:r>
        <w:t xml:space="preserve"> </w:t>
      </w:r>
      <w:r>
        <w:t xml:space="preserve">and</w:t>
      </w:r>
      <w:r>
        <w:t xml:space="preserve"> </w:t>
      </w:r>
      <m:oMath>
        <m:r>
          <m:t>σ</m:t>
        </m:r>
        <m:d>
          <m:dPr>
            <m:begChr m:val="("/>
            <m:endChr m:val=")"/>
            <m:sepChr m:val=""/>
            <m:grow/>
          </m:dPr>
          <m:e>
            <m:r>
              <m:t>a</m:t>
            </m:r>
          </m:e>
        </m:d>
      </m:oMath>
      <w:r>
        <w:t xml:space="preserve"> </w:t>
      </w:r>
      <w:r>
        <w:t xml:space="preserve">= secondary. Suppose the permit expires at or before the sixth month of the record’s retention window, so that</w:t>
      </w:r>
      <w:r>
        <w:t xml:space="preserve"> </w:t>
      </w:r>
      <m:oMath>
        <m:sSub>
          <m:e>
            <m:r>
              <m:t>t</m:t>
            </m:r>
          </m:e>
          <m:sub>
            <m:r>
              <m:t>π</m:t>
            </m:r>
          </m:sub>
        </m:sSub>
        <m:d>
          <m:dPr>
            <m:begChr m:val="("/>
            <m:endChr m:val=")"/>
            <m:sepChr m:val=""/>
            <m:grow/>
          </m:dPr>
          <m:e>
            <m:r>
              <m:t>a</m:t>
            </m:r>
          </m:e>
        </m:d>
        <m:r>
          <m:rPr>
            <m:sty m:val="p"/>
          </m:rPr>
          <m:t>+</m:t>
        </m:r>
        <m:r>
          <m:t>6</m:t>
        </m:r>
        <m:r>
          <m:rPr>
            <m:sty m:val="p"/>
          </m:rPr>
          <m:t>≤</m:t>
        </m:r>
        <m:r>
          <m:t>t</m:t>
        </m:r>
        <m:d>
          <m:dPr>
            <m:begChr m:val="("/>
            <m:endChr m:val=")"/>
            <m:sepChr m:val=""/>
            <m:grow/>
          </m:dPr>
          <m:e>
            <m:r>
              <m:t>a</m:t>
            </m:r>
          </m:e>
        </m:d>
        <m:r>
          <m:rPr>
            <m:sty m:val="p"/>
          </m:rPr>
          <m:t>+</m:t>
        </m:r>
        <m:r>
          <m:t>12</m:t>
        </m:r>
      </m:oMath>
      <w:r>
        <w:t xml:space="preserve">. Then C1 and C3 are contradictory at</w:t>
      </w:r>
      <w:r>
        <w:t xml:space="preserve"> </w:t>
      </w:r>
      <m:oMath>
        <m:sSup>
          <m:e>
            <m:r>
              <m:t>t</m:t>
            </m:r>
          </m:e>
          <m:sup>
            <m:r>
              <m:rPr>
                <m:sty m:val="p"/>
              </m:rPr>
              <m:t>*</m:t>
            </m:r>
          </m:sup>
        </m:sSup>
        <m:r>
          <m:rPr>
            <m:sty m:val="p"/>
          </m:rPr>
          <m:t>=</m:t>
        </m:r>
        <m:sSub>
          <m:e>
            <m:r>
              <m:t>t</m:t>
            </m:r>
          </m:e>
          <m:sub>
            <m:r>
              <m:t>π</m:t>
            </m:r>
          </m:sub>
        </m:sSub>
        <m:d>
          <m:dPr>
            <m:begChr m:val="("/>
            <m:endChr m:val=")"/>
            <m:sepChr m:val=""/>
            <m:grow/>
          </m:dPr>
          <m:e>
            <m:r>
              <m:t>a</m:t>
            </m:r>
          </m:e>
        </m:d>
        <m:r>
          <m:rPr>
            <m:sty m:val="p"/>
          </m:rPr>
          <m:t>+</m:t>
        </m:r>
        <m:r>
          <m:t>6</m:t>
        </m:r>
      </m:oMath>
      <w:r>
        <w:t xml:space="preserve"> </w:t>
      </w:r>
      <w:r>
        <w:t xml:space="preserve">by the argument above, provided C3 reaches the record.</w:t>
      </w:r>
      <w:r>
        <w:t xml:space="preserve"> </w:t>
      </w:r>
      <w:r>
        <w:rPr>
          <w:iCs/>
          <w:i/>
        </w:rPr>
        <w:t xml:space="preserve">Where it does, no erasure request is required.</w:t>
      </w:r>
      <w:r>
        <w:t xml:space="preserve"> </w:t>
      </w:r>
      <w:r>
        <w:t xml:space="preserve">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r>
        <w:t xml:space="preserve">Where it holds, Corollary 1.2 is the sharpest form of the thesis’s problem statement. It shows that the conflict does not depend on the exercise of a data-subject right, on the eHDSI deployment baseline, or on any synthesis across instruments of differing legal weight. It is internal to Regulation (EU) 2025/327.</w:t>
      </w:r>
    </w:p>
    <w:p>
      <w:pPr>
        <w:pStyle w:val="BodyText"/>
      </w:pPr>
      <w:r>
        <w:rPr>
          <w:iCs/>
          <w:i/>
        </w:rPr>
        <w:t xml:space="preserve">The interpretive condition on which Corollary 1.2 depends.</w:t>
      </w:r>
      <w:r>
        <w:t xml:space="preserve"> </w:t>
      </w:r>
      <w:r>
        <w:t xml:space="preserve">The corollary holds if, and only if, the deletion obligation of Article 68(12) reaches the identifiable access logs that Article 73(1)(e) requires to be kept. That condition is contestable and is stated as such.</w:t>
      </w:r>
    </w:p>
    <w:p>
      <w:pPr>
        <w:pStyle w:val="BodyText"/>
      </w:pPr>
      <w:r>
        <w:t xml:space="preserve">Article 68(12) provides that</w:t>
      </w:r>
      <w:r>
        <w:t xml:space="preserve"> </w:t>
      </w:r>
      <w:r>
        <w:t xml:space="preserve">“</w:t>
      </w:r>
      <w:r>
        <w:t xml:space="preserve">the electronic health data within the secure processing environment shall be deleted within six months of the expiry of the data permit</w:t>
      </w:r>
      <w:r>
        <w:t xml:space="preserve">”</w:t>
      </w:r>
      <w:r>
        <w:t xml:space="preserve">. Its scope is set by location rather than by provenance: it does not say</w:t>
      </w:r>
      <w:r>
        <w:t xml:space="preserve"> </w:t>
      </w:r>
      <w:r>
        <w:t xml:space="preserve">“</w:t>
      </w:r>
      <w:r>
        <w:t xml:space="preserve">the data made available under the data permit</w:t>
      </w:r>
      <w:r>
        <w:t xml:space="preserve">”</w:t>
      </w:r>
      <w:r>
        <w:t xml:space="preserve">. Its object, however, is electronic health data, which Article 2(2)(a) and (c) define as</w:t>
      </w:r>
      <w:r>
        <w:t xml:space="preserve"> </w:t>
      </w:r>
      <w:r>
        <w:t xml:space="preserve">“</w:t>
      </w:r>
      <w:r>
        <w:t xml:space="preserve">data concerning health and genetic data, processed in an electronic form</w:t>
      </w:r>
      <w:r>
        <w:t xml:space="preserve">”</w:t>
      </w:r>
      <w:r>
        <w:t xml:space="preserve">,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w:t>
      </w:r>
      <w:r>
        <w:t xml:space="preserve"> </w:t>
      </w:r>
      <w:r>
        <w:t xml:space="preserve">“</w:t>
      </w:r>
      <w:r>
        <w:t xml:space="preserve">authorised natural persons listed in the data permit</w:t>
      </w:r>
      <w:r>
        <w:t xml:space="preserve">”</w:t>
      </w:r>
      <w:r>
        <w:t xml:space="preserve"> </w:t>
      </w:r>
      <w:r>
        <w:t xml:space="preserve">(point (a)), and the handling of data to</w:t>
      </w:r>
      <w:r>
        <w:t xml:space="preserve"> </w:t>
      </w:r>
      <w:r>
        <w:t xml:space="preserve">“</w:t>
      </w:r>
      <w:r>
        <w:t xml:space="preserve">authorised identifiable individuals</w:t>
      </w:r>
      <w:r>
        <w:t xml:space="preserve">”</w:t>
      </w:r>
      <w:r>
        <w:t xml:space="preserve"> </w:t>
      </w:r>
      <w:r>
        <w:t xml:space="preserve">(point (c)). The Joint Action’s specification for these environments reads Article 73(1)(e) the same way:</w:t>
      </w:r>
      <w:r>
        <w:t xml:space="preserve"> </w:t>
      </w:r>
      <w:r>
        <w:t xml:space="preserve">“</w:t>
      </w:r>
      <w:r>
        <w:t xml:space="preserve">All SPE logs MUST identify the actor</w:t>
      </w:r>
      <w:r>
        <w:t xml:space="preserve">”</w:t>
      </w:r>
      <w:r>
        <w:t xml:space="preserve"> </w:t>
      </w:r>
      <w:r>
        <w:t xml:space="preserve">(TEHDAS2, 2026, Table 5.1, EHDSR-7).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w:t>
      </w:r>
      <w:r>
        <w:t xml:space="preserve"> </w:t>
      </w:r>
      <w:r>
        <w:t xml:space="preserve">“</w:t>
      </w:r>
      <w:r>
        <w:t xml:space="preserve">a storage system with reduced capabilities</w:t>
      </w:r>
      <w:r>
        <w:t xml:space="preserve">”</w:t>
      </w:r>
      <w:r>
        <w:t xml:space="preserve">, and</w:t>
      </w:r>
      <w:r>
        <w:t xml:space="preserve"> </w:t>
      </w:r>
      <w:r>
        <w:t xml:space="preserve">“</w:t>
      </w:r>
      <w:r>
        <w:t xml:space="preserve">the formula for the creation of the requested dataset</w:t>
      </w:r>
      <w:r>
        <w:t xml:space="preserve">”</w:t>
      </w:r>
      <w:r>
        <w:t xml:space="preserve">. On that reading the obligation attaches to the permit dataset, the access logs fall outside it, and no collision between Articles 68(12) and 73(1)(e) arises.</w:t>
      </w:r>
    </w:p>
    <w:p>
      <w:pPr>
        <w:pStyle w:val="BodyText"/>
      </w:pPr>
      <w:r>
        <w:t xml:space="preserve">This thesis states Corollary 1.2 conditionally, for logs kept at patient-record granularity on the broad reading, and gives the grounds for both readings rather than choosing one by assertion. But the architecture of the results is deliberately such that little turns on which reading prevails, and that should be made explicit. Under the narrow reading, Corollary 1.2 lapses, and with it the claim that infeasibility arises without any data-subject action. Theorem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Theorem 2, the mechanism, and the residue analysis are untouched, since they are indifferent to which instrument generates the deadline.</w:t>
      </w:r>
    </w:p>
    <w:p>
      <w:pPr>
        <w:pStyle w:val="BodyText"/>
      </w:pPr>
      <w:r>
        <w:t xml:space="preserve">The narrow reading, or logs kept at dataset granularity, therefore cost the thesis its sharpest instance and none of its results. The broad reading, for logs kept at patient-record granularity, adds a collision that requires no data subject to act, and Theorem 2 resolves it without choosing between the readings, because the accessor fields that Article 73(1)(e) requires to be identifiable are not the subject fields that Article 68(12) may reach (Section 4.7). Chapter 6 treats the resolution of this interpretive question as a matter for supervisory authority rather than for this author, alongside the authority question concerning verifiability itself.</w:t>
      </w:r>
    </w:p>
    <w:bookmarkEnd w:id="71"/>
    <w:bookmarkStart w:id="72" w:name="X0a550daa55f0887cccca91fadd747ef3e5833f9"/>
    <w:p>
      <w:pPr>
        <w:pStyle w:val="Heading2"/>
      </w:pPr>
      <w:r>
        <w:t xml:space="preserve">4.7 Theorem 2: Feasibility under Accountability-Preserving Verifiability</w:t>
      </w:r>
    </w:p>
    <w:p>
      <w:pPr>
        <w:pStyle w:val="BlockText"/>
      </w:pPr>
      <w:r>
        <w:rPr>
          <w:iCs/>
          <w:i/>
        </w:rPr>
        <w:t xml:space="preserve">Theorem 2.</w:t>
      </w:r>
      <w:r>
        <w:t xml:space="preserve"> </w:t>
      </w:r>
      <w:r>
        <w:t xml:space="preserve">Under Semantics II, the constraint system</w:t>
      </w:r>
      <w:r>
        <w:t xml:space="preserve"> </w:t>
      </w:r>
      <m:oMath>
        <m:r>
          <m:rPr>
            <m:sty m:val="p"/>
          </m:rPr>
          <m:t>{</m:t>
        </m:r>
        <m:r>
          <m:t>C</m:t>
        </m:r>
        <m:r>
          <m:t>1</m:t>
        </m:r>
        <m:r>
          <m:rPr>
            <m:sty m:val="p"/>
          </m:rPr>
          <m:t>,</m:t>
        </m:r>
        <m:r>
          <m:t>C</m:t>
        </m:r>
        <m:r>
          <m:t>2</m:t>
        </m:r>
        <m:r>
          <m:rPr>
            <m:sty m:val="p"/>
          </m:rPr>
          <m:t>,</m:t>
        </m:r>
        <m:r>
          <m:t>C</m:t>
        </m:r>
        <m:r>
          <m:t>3</m:t>
        </m:r>
        <m:r>
          <m:rPr>
            <m:sty m:val="p"/>
          </m:rPr>
          <m:t>}</m:t>
        </m:r>
      </m:oMath>
      <w:r>
        <w:t xml:space="preserve"> </w:t>
      </w:r>
      <w:r>
        <w:t xml:space="preserve">is jointly satisfiable for every record</w:t>
      </w:r>
      <w:r>
        <w:t xml:space="preserve"> </w:t>
      </w:r>
      <m:oMath>
        <m:r>
          <m:t>a</m:t>
        </m:r>
        <m:r>
          <m:rPr>
            <m:sty m:val="p"/>
          </m:rPr>
          <m:t>∈</m:t>
        </m:r>
        <m:r>
          <m:t>A</m:t>
        </m:r>
      </m:oMath>
      <w:r>
        <w:t xml:space="preserve">, for every arrival pattern of erasure requests</w:t>
      </w:r>
      <w:r>
        <w:t xml:space="preserve"> </w:t>
      </w:r>
      <m:oMath>
        <m:r>
          <m:rPr>
            <m:sty m:val="p"/>
          </m:rPr>
          <m:t>{</m:t>
        </m:r>
        <m:sSub>
          <m:e>
            <m:r>
              <m:t>t</m:t>
            </m:r>
          </m:e>
          <m:sub>
            <m:r>
              <m:t>r</m:t>
            </m:r>
          </m:sub>
        </m:sSub>
        <m:d>
          <m:dPr>
            <m:begChr m:val="("/>
            <m:endChr m:val=")"/>
            <m:sepChr m:val=""/>
            <m:grow/>
          </m:dPr>
          <m:e>
            <m:r>
              <m:t>a</m:t>
            </m:r>
          </m:e>
        </m:d>
        <m:r>
          <m:rPr>
            <m:sty m:val="p"/>
          </m:rPr>
          <m:t>}</m:t>
        </m:r>
      </m:oMath>
      <w:r>
        <w:t xml:space="preserve"> </w:t>
      </w:r>
      <w:r>
        <w:t xml:space="preserve">and permit expiries</w:t>
      </w:r>
      <w:r>
        <w:t xml:space="preserve"> </w:t>
      </w:r>
      <m:oMath>
        <m:r>
          <m:rPr>
            <m:sty m:val="p"/>
          </m:rPr>
          <m:t>{</m:t>
        </m:r>
        <m:sSub>
          <m:e>
            <m:r>
              <m:t>t</m:t>
            </m:r>
          </m:e>
          <m:sub>
            <m:r>
              <m:t>π</m:t>
            </m:r>
          </m:sub>
        </m:sSub>
        <m:d>
          <m:dPr>
            <m:begChr m:val="("/>
            <m:endChr m:val=")"/>
            <m:sepChr m:val=""/>
            <m:grow/>
          </m:dPr>
          <m:e>
            <m:r>
              <m:t>a</m:t>
            </m:r>
          </m:e>
        </m:d>
        <m:r>
          <m:rPr>
            <m:sty m:val="p"/>
          </m:rPr>
          <m:t>}</m:t>
        </m:r>
      </m:oMath>
      <w:r>
        <w:t xml:space="preserve">, and for every floor parameter</w:t>
      </w:r>
      <w:r>
        <w:t xml:space="preserve"> </w:t>
      </w:r>
      <m:oMath>
        <m:r>
          <m:t>F</m:t>
        </m:r>
        <m:d>
          <m:dPr>
            <m:begChr m:val="("/>
            <m:endChr m:val=")"/>
            <m:sepChr m:val=""/>
            <m:grow/>
          </m:dPr>
          <m:e>
            <m:r>
              <m:t>a</m:t>
            </m:r>
          </m:e>
        </m:d>
        <m:r>
          <m:rPr>
            <m:sty m:val="p"/>
          </m:rPr>
          <m:t>∈</m:t>
        </m:r>
        <m:r>
          <m:rPr>
            <m:sty m:val="p"/>
            <m:scr m:val="double-struck"/>
          </m:rPr>
          <m:t>N</m:t>
        </m:r>
      </m:oMath>
      <w:r>
        <w:t xml:space="preserve">.</w:t>
      </w:r>
    </w:p>
    <w:p>
      <w:pPr>
        <w:pStyle w:val="FirstParagraph"/>
      </w:pPr>
      <w:r>
        <w:rPr>
          <w:iCs/>
          <w:i/>
        </w:rPr>
        <w:t xml:space="preserve">Proof (constructive).</w:t>
      </w:r>
      <w:r>
        <w:t xml:space="preserve"> </w:t>
      </w:r>
      <w:r>
        <w:t xml:space="preserve">Define the following trajectory for an arbitrary record</w:t>
      </w:r>
      <w:r>
        <w:t xml:space="preserve"> </w:t>
      </w:r>
      <m:oMath>
        <m:r>
          <m:t>a</m:t>
        </m:r>
      </m:oMath>
      <w:r>
        <w:t xml:space="preserve">. Let</w:t>
      </w:r>
    </w:p>
    <w:p>
      <w:pPr>
        <w:pStyle w:val="BodyText"/>
      </w:pPr>
      <m:oMathPara>
        <m:oMathParaPr>
          <m:jc m:val="center"/>
        </m:oMathParaPr>
        <m:oMath>
          <m:sSup>
            <m:e>
              <m:r>
                <m:t>t</m:t>
              </m:r>
            </m:e>
            <m:sup>
              <m:r>
                <m:t>I</m:t>
              </m:r>
            </m:sup>
          </m:sSup>
          <m:d>
            <m:dPr>
              <m:begChr m:val="("/>
              <m:endChr m:val=")"/>
              <m:sepChr m:val=""/>
              <m:grow/>
            </m:dPr>
            <m:e>
              <m:r>
                <m:t>a</m:t>
              </m:r>
            </m:e>
          </m:d>
          <m:r>
            <m:rPr>
              <m:sty m:val="p"/>
            </m:rPr>
            <m:t>=</m:t>
          </m:r>
          <m:r>
            <m:rPr>
              <m:sty m:val="p"/>
            </m:rPr>
            <m:t>min</m:t>
          </m:r>
          <m:d>
            <m:dPr>
              <m:begChr m:val="("/>
              <m:endChr m:val=")"/>
              <m:sepChr m:val=""/>
              <m:grow/>
            </m:dPr>
            <m:e>
              <m:r>
                <m:t> </m:t>
              </m:r>
              <m:sSub>
                <m:e>
                  <m:r>
                    <m:t>t</m:t>
                  </m:r>
                </m:e>
                <m:sub>
                  <m:r>
                    <m:t>r</m:t>
                  </m:r>
                </m:sub>
              </m:sSub>
              <m:d>
                <m:dPr>
                  <m:begChr m:val="("/>
                  <m:endChr m:val=")"/>
                  <m:sepChr m:val=""/>
                  <m:grow/>
                </m:dPr>
                <m:e>
                  <m:r>
                    <m:t>a</m:t>
                  </m:r>
                </m:e>
              </m:d>
              <m:r>
                <m:rPr>
                  <m:sty m:val="p"/>
                </m:rPr>
                <m:t>+</m:t>
              </m:r>
              <m:r>
                <m:t>δ</m:t>
              </m:r>
              <m:r>
                <m:rPr>
                  <m:sty m:val="p"/>
                </m:rPr>
                <m:t>,</m:t>
              </m:r>
              <m:r>
                <m:t> </m:t>
              </m:r>
              <m:r>
                <m:t> </m:t>
              </m:r>
              <m:sSub>
                <m:e>
                  <m:r>
                    <m:t>t</m:t>
                  </m:r>
                </m:e>
                <m:sub>
                  <m:r>
                    <m:t>π</m:t>
                  </m:r>
                </m:sub>
              </m:sSub>
              <m:d>
                <m:dPr>
                  <m:begChr m:val="("/>
                  <m:endChr m:val=")"/>
                  <m:sepChr m:val=""/>
                  <m:grow/>
                </m:dPr>
                <m:e>
                  <m:r>
                    <m:t>a</m:t>
                  </m:r>
                </m:e>
              </m:d>
              <m:r>
                <m:rPr>
                  <m:sty m:val="p"/>
                </m:rPr>
                <m:t>+</m:t>
              </m:r>
              <m:r>
                <m:t>6</m:t>
              </m:r>
              <m:r>
                <m:t> </m:t>
              </m:r>
            </m:e>
          </m:d>
        </m:oMath>
      </m:oMathPara>
    </w:p>
    <w:p>
      <w:pPr>
        <w:pStyle w:val="FirstParagraph"/>
      </w:pPr>
      <w:r>
        <w:t xml:space="preserve">be the</w:t>
      </w:r>
      <w:r>
        <w:t xml:space="preserve"> </w:t>
      </w:r>
      <w:r>
        <w:rPr>
          <w:iCs/>
          <w:i/>
        </w:rPr>
        <w:t xml:space="preserve">invalidation month</w:t>
      </w:r>
      <w:r>
        <w:t xml:space="preserve">, with the convention min(</w:t>
      </w:r>
      <m:oMath>
        <m:r>
          <m:rPr>
            <m:sty m:val="p"/>
          </m:rPr>
          <m:t>∞</m:t>
        </m:r>
        <m:r>
          <m:rPr>
            <m:sty m:val="p"/>
          </m:rPr>
          <m:t>,</m:t>
        </m:r>
        <m:r>
          <m:rPr>
            <m:sty m:val="p"/>
          </m:rPr>
          <m:t>∞</m:t>
        </m:r>
        <m:r>
          <m:rPr>
            <m:sty m:val="p"/>
          </m:rPr>
          <m:t>)</m:t>
        </m:r>
        <m:r>
          <m:rPr>
            <m:sty m:val="p"/>
          </m:rPr>
          <m:t>=</m:t>
        </m:r>
        <m:r>
          <m:rPr>
            <m:sty m:val="p"/>
          </m:rPr>
          <m:t>∞</m:t>
        </m:r>
      </m:oMath>
      <w:r>
        <w:t xml:space="preserve">. Construct the trajectory:</w:t>
      </w:r>
    </w:p>
    <w:p>
      <w:pPr>
        <w:numPr>
          <w:ilvl w:val="0"/>
          <w:numId w:val="1004"/>
        </w:numPr>
        <w:pStyle w:val="Compact"/>
      </w:pPr>
      <w:r>
        <w:t xml:space="preserve">For</w:t>
      </w:r>
      <w:r>
        <w:t xml:space="preserve"> </w:t>
      </w:r>
      <m:oMath>
        <m:r>
          <m:t>t</m:t>
        </m:r>
        <m:r>
          <m:rPr>
            <m:sty m:val="p"/>
          </m:rPr>
          <m:t>&lt;</m:t>
        </m:r>
        <m:sSup>
          <m:e>
            <m:r>
              <m:t>t</m:t>
            </m:r>
          </m:e>
          <m:sup>
            <m:r>
              <m:t>I</m:t>
            </m:r>
          </m:sup>
        </m:sSup>
        <m:d>
          <m:dPr>
            <m:begChr m:val="("/>
            <m:endChr m:val=")"/>
            <m:sepChr m:val=""/>
            <m:grow/>
          </m:dPr>
          <m:e>
            <m:r>
              <m:t>a</m:t>
            </m:r>
          </m:e>
        </m:d>
      </m:oMath>
      <w:r>
        <w:t xml:space="preserve">: set</w:t>
      </w:r>
      <w:r>
        <w:t xml:space="preserve"> </w:t>
      </w:r>
      <m:oMath>
        <m:r>
          <m:t>α</m:t>
        </m:r>
        <m:d>
          <m:dPr>
            <m:begChr m:val="("/>
            <m:endChr m:val=")"/>
            <m:sepChr m:val=""/>
            <m:grow/>
          </m:dPr>
          <m:e>
            <m:r>
              <m:t>a</m:t>
            </m:r>
            <m:r>
              <m:rPr>
                <m:sty m:val="p"/>
              </m:rPr>
              <m:t>,</m:t>
            </m:r>
            <m:r>
              <m:t>t</m:t>
            </m:r>
          </m:e>
        </m:d>
        <m:r>
          <m:rPr>
            <m:sty m:val="p"/>
          </m:rPr>
          <m:t>=</m:t>
        </m:r>
        <m:r>
          <m:t>1</m:t>
        </m:r>
      </m:oMath>
      <w:r>
        <w:t xml:space="preserve">. Retain</w:t>
      </w:r>
      <w:r>
        <w:t xml:space="preserve"> </w:t>
      </w:r>
      <m:oMath>
        <m:r>
          <m:t>m</m:t>
        </m:r>
        <m:d>
          <m:dPr>
            <m:begChr m:val="("/>
            <m:endChr m:val=")"/>
            <m:sepChr m:val=""/>
            <m:grow/>
          </m:dPr>
          <m:e>
            <m:r>
              <m:t>a</m:t>
            </m:r>
          </m:e>
        </m:d>
        <m:r>
          <m:rPr>
            <m:sty m:val="p"/>
          </m:rPr>
          <m:t>,</m:t>
        </m:r>
        <m:r>
          <m:t>c</m:t>
        </m:r>
        <m:d>
          <m:dPr>
            <m:begChr m:val="("/>
            <m:endChr m:val=")"/>
            <m:sepChr m:val=""/>
            <m:grow/>
          </m:dPr>
          <m:e>
            <m:r>
              <m:t>a</m:t>
            </m:r>
          </m:e>
        </m:d>
        <m:r>
          <m:rPr>
            <m:sty m:val="p"/>
          </m:rPr>
          <m:t>,</m:t>
        </m:r>
        <m:r>
          <m:t>k</m:t>
        </m:r>
        <m:d>
          <m:dPr>
            <m:begChr m:val="("/>
            <m:endChr m:val=")"/>
            <m:sepChr m:val=""/>
            <m:grow/>
          </m:dPr>
          <m:e>
            <m:r>
              <m:t>a</m:t>
            </m:r>
          </m:e>
        </m:d>
      </m:oMath>
      <w:r>
        <w:t xml:space="preserve">, and</w:t>
      </w:r>
      <w:r>
        <w:t xml:space="preserve"> </w:t>
      </w:r>
      <m:oMath>
        <m:r>
          <m:t>p</m:t>
        </m:r>
        <m:d>
          <m:dPr>
            <m:begChr m:val="("/>
            <m:endChr m:val=")"/>
            <m:sepChr m:val=""/>
            <m:grow/>
          </m:dPr>
          <m:e>
            <m:r>
              <m:t>a</m:t>
            </m:r>
          </m:e>
        </m:d>
      </m:oMath>
      <w:r>
        <w:t xml:space="preserve">.</w:t>
      </w:r>
    </w:p>
    <w:p>
      <w:pPr>
        <w:numPr>
          <w:ilvl w:val="0"/>
          <w:numId w:val="1004"/>
        </w:numPr>
        <w:pStyle w:val="Compact"/>
      </w:pPr>
      <w:r>
        <w:t xml:space="preserve">At</w:t>
      </w:r>
      <w:r>
        <w:t xml:space="preserve"> </w:t>
      </w:r>
      <m:oMath>
        <m:r>
          <m:t>t</m:t>
        </m:r>
        <m:r>
          <m:rPr>
            <m:sty m:val="p"/>
          </m:rPr>
          <m:t>=</m:t>
        </m:r>
        <m:sSup>
          <m:e>
            <m:r>
              <m:t>t</m:t>
            </m:r>
          </m:e>
          <m:sup>
            <m:r>
              <m:t>I</m:t>
            </m:r>
          </m:sup>
        </m:sSup>
        <m:d>
          <m:dPr>
            <m:begChr m:val="("/>
            <m:endChr m:val=")"/>
            <m:sepChr m:val=""/>
            <m:grow/>
          </m:dPr>
          <m:e>
            <m:r>
              <m:t>a</m:t>
            </m:r>
          </m:e>
        </m:d>
      </m:oMath>
      <w:r>
        <w:t xml:space="preserve">, if finite: destroy</w:t>
      </w:r>
      <w:r>
        <w:t xml:space="preserve"> </w:t>
      </w:r>
      <m:oMath>
        <m:r>
          <m:t>k</m:t>
        </m:r>
        <m:d>
          <m:dPr>
            <m:begChr m:val="("/>
            <m:endChr m:val=")"/>
            <m:sepChr m:val=""/>
            <m:grow/>
          </m:dPr>
          <m:e>
            <m:r>
              <m:t>a</m:t>
            </m:r>
          </m:e>
        </m:d>
      </m:oMath>
      <w:r>
        <w:t xml:space="preserve"> </w:t>
      </w:r>
      <w:r>
        <w:t xml:space="preserve">irreversibly; where the ground is Article 68(12) and C3 reaches the subject fields, remove</w:t>
      </w:r>
      <w:r>
        <w:t xml:space="preserve"> </w:t>
      </w:r>
      <m:oMath>
        <m:sSub>
          <m:e>
            <m:r>
              <m:t>m</m:t>
            </m:r>
          </m:e>
          <m:sub>
            <m:r>
              <m:t>s</m:t>
            </m:r>
            <m:r>
              <m:t>u</m:t>
            </m:r>
            <m:r>
              <m:t>b</m:t>
            </m:r>
            <m:r>
              <m:t>j</m:t>
            </m:r>
          </m:sub>
        </m:sSub>
        <m:d>
          <m:dPr>
            <m:begChr m:val="("/>
            <m:endChr m:val=")"/>
            <m:sepChr m:val=""/>
            <m:grow/>
          </m:dPr>
          <m:e>
            <m:r>
              <m:t>a</m:t>
            </m:r>
          </m:e>
        </m:d>
      </m:oMath>
      <w:r>
        <w:t xml:space="preserve"> </w:t>
      </w:r>
      <w:r>
        <w:t xml:space="preserve">as well and set</w:t>
      </w:r>
      <w:r>
        <w:t xml:space="preserve"> </w:t>
      </w:r>
      <m:oMath>
        <m:r>
          <m:t>β</m:t>
        </m:r>
        <m:d>
          <m:dPr>
            <m:begChr m:val="("/>
            <m:endChr m:val=")"/>
            <m:sepChr m:val=""/>
            <m:grow/>
          </m:dPr>
          <m:e>
            <m:r>
              <m:t>a</m:t>
            </m:r>
            <m:r>
              <m:rPr>
                <m:sty m:val="p"/>
              </m:rPr>
              <m:t>,</m:t>
            </m:r>
            <m:r>
              <m:t>t</m:t>
            </m:r>
          </m:e>
        </m:d>
        <m:r>
          <m:rPr>
            <m:sty m:val="p"/>
          </m:rPr>
          <m:t>=</m:t>
        </m:r>
        <m:r>
          <m:t>0</m:t>
        </m:r>
      </m:oMath>
      <w:r>
        <w:t xml:space="preserve">; append to the audit trail an invalidation entry</w:t>
      </w:r>
      <w:r>
        <w:t xml:space="preserve"> </w:t>
      </w:r>
      <m:oMath>
        <m:r>
          <m:t>ι</m:t>
        </m:r>
        <m:d>
          <m:dPr>
            <m:begChr m:val="("/>
            <m:endChr m:val=")"/>
            <m:sepChr m:val=""/>
            <m:grow/>
          </m:dPr>
          <m:e>
            <m:r>
              <m:t>a</m:t>
            </m:r>
          </m:e>
        </m:d>
      </m:oMath>
      <w:r>
        <w:t xml:space="preserve"> </w:t>
      </w:r>
      <w:r>
        <w:t xml:space="preserve">recording the month, the legal ground (Article 17(1) or Article 68(12) as applicable), what was removed, and the authorising actor; retain</w:t>
      </w:r>
      <w:r>
        <w:t xml:space="preserve"> </w:t>
      </w:r>
      <m:oMath>
        <m:sSub>
          <m:e>
            <m:r>
              <m:t>m</m:t>
            </m:r>
          </m:e>
          <m:sub>
            <m:r>
              <m:t>a</m:t>
            </m:r>
            <m:r>
              <m:t>c</m:t>
            </m:r>
            <m:r>
              <m:t>c</m:t>
            </m:r>
          </m:sub>
        </m:sSub>
        <m:d>
          <m:dPr>
            <m:begChr m:val="("/>
            <m:endChr m:val=")"/>
            <m:sepChr m:val=""/>
            <m:grow/>
          </m:dPr>
          <m:e>
            <m:r>
              <m:t>a</m:t>
            </m:r>
          </m:e>
        </m:d>
      </m:oMath>
      <w:r>
        <w:t xml:space="preserve"> </w:t>
      </w:r>
      <w:r>
        <w:t xml:space="preserve">and</w:t>
      </w:r>
      <w:r>
        <w:t xml:space="preserve"> </w:t>
      </w:r>
      <m:oMath>
        <m:r>
          <m:t>c</m:t>
        </m:r>
        <m:d>
          <m:dPr>
            <m:begChr m:val="("/>
            <m:endChr m:val=")"/>
            <m:sepChr m:val=""/>
            <m:grow/>
          </m:dPr>
          <m:e>
            <m:r>
              <m:t>a</m:t>
            </m:r>
          </m:e>
        </m:d>
      </m:oMath>
      <w:r>
        <w:t xml:space="preserve"> </w:t>
      </w:r>
      <w:r>
        <w:t xml:space="preserve">unchanged.</w:t>
      </w:r>
    </w:p>
    <w:p>
      <w:pPr>
        <w:numPr>
          <w:ilvl w:val="0"/>
          <w:numId w:val="1004"/>
        </w:numPr>
        <w:pStyle w:val="Compact"/>
      </w:pPr>
      <w:r>
        <w:t xml:space="preserve">For</w:t>
      </w:r>
      <w:r>
        <w:t xml:space="preserve"> </w:t>
      </w:r>
      <m:oMath>
        <m:r>
          <m:t>t</m:t>
        </m:r>
        <m:r>
          <m:rPr>
            <m:sty m:val="p"/>
          </m:rPr>
          <m:t>&gt;</m:t>
        </m:r>
        <m:sSup>
          <m:e>
            <m:r>
              <m:t>t</m:t>
            </m:r>
          </m:e>
          <m:sup>
            <m:r>
              <m:t>I</m:t>
            </m:r>
          </m:sup>
        </m:sSup>
        <m:d>
          <m:dPr>
            <m:begChr m:val="("/>
            <m:endChr m:val=")"/>
            <m:sepChr m:val=""/>
            <m:grow/>
          </m:dPr>
          <m:e>
            <m:r>
              <m:t>a</m:t>
            </m:r>
          </m:e>
        </m:d>
      </m:oMath>
      <w:r>
        <w:t xml:space="preserve">: set</w:t>
      </w:r>
      <w:r>
        <w:t xml:space="preserve"> </w:t>
      </w:r>
      <m:oMath>
        <m:r>
          <m:t>α</m:t>
        </m:r>
        <m:d>
          <m:dPr>
            <m:begChr m:val="("/>
            <m:endChr m:val=")"/>
            <m:sepChr m:val=""/>
            <m:grow/>
          </m:dPr>
          <m:e>
            <m:r>
              <m:t>a</m:t>
            </m:r>
            <m:r>
              <m:rPr>
                <m:sty m:val="p"/>
              </m:rPr>
              <m:t>,</m:t>
            </m:r>
            <m:r>
              <m:t>t</m:t>
            </m:r>
          </m:e>
        </m:d>
        <m:r>
          <m:rPr>
            <m:sty m:val="p"/>
          </m:rPr>
          <m:t>=</m:t>
        </m:r>
        <m:r>
          <m:t>0</m:t>
        </m:r>
      </m:oMath>
      <w:r>
        <w:t xml:space="preserve">, and</w:t>
      </w:r>
      <w:r>
        <w:t xml:space="preserve"> </w:t>
      </w:r>
      <m:oMath>
        <m:r>
          <m:t>β</m:t>
        </m:r>
        <m:d>
          <m:dPr>
            <m:begChr m:val="("/>
            <m:endChr m:val=")"/>
            <m:sepChr m:val=""/>
            <m:grow/>
          </m:dPr>
          <m:e>
            <m:r>
              <m:t>a</m:t>
            </m:r>
            <m:r>
              <m:rPr>
                <m:sty m:val="p"/>
              </m:rPr>
              <m:t>,</m:t>
            </m:r>
            <m:r>
              <m:t>t</m:t>
            </m:r>
          </m:e>
        </m:d>
        <m:r>
          <m:rPr>
            <m:sty m:val="p"/>
          </m:rPr>
          <m:t>=</m:t>
        </m:r>
        <m:r>
          <m:t>0</m:t>
        </m:r>
      </m:oMath>
      <w:r>
        <w:t xml:space="preserve"> </w:t>
      </w:r>
      <w:r>
        <w:t xml:space="preserve">where step 2 removed the subject fields. Retain</w:t>
      </w:r>
      <w:r>
        <w:t xml:space="preserve"> </w:t>
      </w:r>
      <m:oMath>
        <m:sSub>
          <m:e>
            <m:r>
              <m:t>m</m:t>
            </m:r>
          </m:e>
          <m:sub>
            <m:r>
              <m:t>a</m:t>
            </m:r>
            <m:r>
              <m:t>c</m:t>
            </m:r>
            <m:r>
              <m:t>c</m:t>
            </m:r>
          </m:sub>
        </m:sSub>
        <m:d>
          <m:dPr>
            <m:begChr m:val="("/>
            <m:endChr m:val=")"/>
            <m:sepChr m:val=""/>
            <m:grow/>
          </m:dPr>
          <m:e>
            <m:r>
              <m:t>a</m:t>
            </m:r>
          </m:e>
        </m:d>
        <m:r>
          <m:rPr>
            <m:sty m:val="p"/>
          </m:rPr>
          <m:t>,</m:t>
        </m:r>
        <m:r>
          <m:t>c</m:t>
        </m:r>
        <m:d>
          <m:dPr>
            <m:begChr m:val="("/>
            <m:endChr m:val=")"/>
            <m:sepChr m:val=""/>
            <m:grow/>
          </m:dPr>
          <m:e>
            <m:r>
              <m:t>a</m:t>
            </m:r>
          </m:e>
        </m:d>
      </m:oMath>
      <w:r>
        <w:t xml:space="preserve">, and</w:t>
      </w:r>
      <w:r>
        <w:t xml:space="preserve"> </w:t>
      </w:r>
      <m:oMath>
        <m:r>
          <m:t>ι</m:t>
        </m:r>
        <m:d>
          <m:dPr>
            <m:begChr m:val="("/>
            <m:endChr m:val=")"/>
            <m:sepChr m:val=""/>
            <m:grow/>
          </m:dPr>
          <m:e>
            <m:r>
              <m:t>a</m:t>
            </m:r>
          </m:e>
        </m:d>
      </m:oMath>
      <w:r>
        <w:t xml:space="preserve">.</w:t>
      </w:r>
    </w:p>
    <w:p>
      <w:pPr>
        <w:numPr>
          <w:ilvl w:val="0"/>
          <w:numId w:val="1004"/>
        </w:numPr>
        <w:pStyle w:val="Compact"/>
      </w:pPr>
      <w:r>
        <w:t xml:space="preserve">If C3 reaches the subject fields and</w:t>
      </w:r>
      <w:r>
        <w:t xml:space="preserve"> </w:t>
      </w:r>
      <m:oMath>
        <m:sSup>
          <m:e>
            <m:r>
              <m:t>t</m:t>
            </m:r>
          </m:e>
          <m:sup>
            <m:r>
              <m:t>I</m:t>
            </m:r>
          </m:sup>
        </m:sSup>
        <m:d>
          <m:dPr>
            <m:begChr m:val="("/>
            <m:endChr m:val=")"/>
            <m:sepChr m:val=""/>
            <m:grow/>
          </m:dPr>
          <m:e>
            <m:r>
              <m:t>a</m:t>
            </m:r>
          </m:e>
        </m:d>
        <m:r>
          <m:rPr>
            <m:sty m:val="p"/>
          </m:rPr>
          <m:t>&lt;</m:t>
        </m:r>
        <m:sSub>
          <m:e>
            <m:r>
              <m:t>t</m:t>
            </m:r>
          </m:e>
          <m:sub>
            <m:r>
              <m:t>π</m:t>
            </m:r>
          </m:sub>
        </m:sSub>
        <m:d>
          <m:dPr>
            <m:begChr m:val="("/>
            <m:endChr m:val=")"/>
            <m:sepChr m:val=""/>
            <m:grow/>
          </m:dPr>
          <m:e>
            <m:r>
              <m:t>a</m:t>
            </m:r>
          </m:e>
        </m:d>
        <m:r>
          <m:rPr>
            <m:sty m:val="p"/>
          </m:rPr>
          <m:t>+</m:t>
        </m:r>
        <m:r>
          <m:t>6</m:t>
        </m:r>
      </m:oMath>
      <w:r>
        <w:t xml:space="preserve">, so that an erasure request fixed the invalidation month, remove</w:t>
      </w:r>
      <w:r>
        <w:t xml:space="preserve"> </w:t>
      </w:r>
      <m:oMath>
        <m:sSub>
          <m:e>
            <m:r>
              <m:t>m</m:t>
            </m:r>
          </m:e>
          <m:sub>
            <m:r>
              <m:t>s</m:t>
            </m:r>
            <m:r>
              <m:t>u</m:t>
            </m:r>
            <m:r>
              <m:t>b</m:t>
            </m:r>
            <m:r>
              <m:t>j</m:t>
            </m:r>
          </m:sub>
        </m:sSub>
        <m:d>
          <m:dPr>
            <m:begChr m:val="("/>
            <m:endChr m:val=")"/>
            <m:sepChr m:val=""/>
            <m:grow/>
          </m:dPr>
          <m:e>
            <m:r>
              <m:t>a</m:t>
            </m:r>
          </m:e>
        </m:d>
      </m:oMath>
      <w:r>
        <w:t xml:space="preserve"> </w:t>
      </w:r>
      <w:r>
        <w:t xml:space="preserve">at</w:t>
      </w:r>
      <w:r>
        <w:t xml:space="preserve"> </w:t>
      </w:r>
      <m:oMath>
        <m:sSub>
          <m:e>
            <m:r>
              <m:t>t</m:t>
            </m:r>
          </m:e>
          <m:sub>
            <m:r>
              <m:t>π</m:t>
            </m:r>
          </m:sub>
        </m:sSub>
        <m:d>
          <m:dPr>
            <m:begChr m:val="("/>
            <m:endChr m:val=")"/>
            <m:sepChr m:val=""/>
            <m:grow/>
          </m:dPr>
          <m:e>
            <m:r>
              <m:t>a</m:t>
            </m:r>
          </m:e>
        </m:d>
        <m:r>
          <m:rPr>
            <m:sty m:val="p"/>
          </m:rPr>
          <m:t>+</m:t>
        </m:r>
        <m:r>
          <m:t>6</m:t>
        </m:r>
      </m:oMath>
      <w:r>
        <w:t xml:space="preserve">, set</w:t>
      </w:r>
      <w:r>
        <w:t xml:space="preserve"> </w:t>
      </w:r>
      <m:oMath>
        <m:r>
          <m:t>β</m:t>
        </m:r>
        <m:d>
          <m:dPr>
            <m:begChr m:val="("/>
            <m:endChr m:val=")"/>
            <m:sepChr m:val=""/>
            <m:grow/>
          </m:dPr>
          <m:e>
            <m:r>
              <m:t>a</m:t>
            </m:r>
            <m:r>
              <m:rPr>
                <m:sty m:val="p"/>
              </m:rPr>
              <m:t>,</m:t>
            </m:r>
            <m:r>
              <m:t>t</m:t>
            </m:r>
          </m:e>
        </m:d>
        <m:r>
          <m:rPr>
            <m:sty m:val="p"/>
          </m:rPr>
          <m:t>=</m:t>
        </m:r>
        <m:r>
          <m:t>0</m:t>
        </m:r>
      </m:oMath>
      <w:r>
        <w:t xml:space="preserve"> </w:t>
      </w:r>
      <w:r>
        <w:t xml:space="preserve">from that month, and append a second entry to</w:t>
      </w:r>
      <w:r>
        <w:t xml:space="preserve"> </w:t>
      </w:r>
      <m:oMath>
        <m:r>
          <m:t>ι</m:t>
        </m:r>
        <m:d>
          <m:dPr>
            <m:begChr m:val="("/>
            <m:endChr m:val=")"/>
            <m:sepChr m:val=""/>
            <m:grow/>
          </m:dPr>
          <m:e>
            <m:r>
              <m:t>a</m:t>
            </m:r>
          </m:e>
        </m:d>
      </m:oMath>
      <w:r>
        <w:t xml:space="preserve"> </w:t>
      </w:r>
      <w:r>
        <w:t xml:space="preserve">recording it.</w:t>
      </w:r>
    </w:p>
    <w:p>
      <w:pPr>
        <w:pStyle w:val="FirstParagraph"/>
      </w:pPr>
      <w:r>
        <w:t xml:space="preserve">It must be shown that this trajectory satisfies all three constraints.</w:t>
      </w:r>
    </w:p>
    <w:p>
      <w:pPr>
        <w:pStyle w:val="BodyText"/>
      </w:pPr>
      <w:r>
        <w:rPr>
          <w:iCs/>
          <w:i/>
        </w:rPr>
        <w:t xml:space="preserve">C2 is satisfied.</w:t>
      </w:r>
      <w:r>
        <w:t xml:space="preserve"> </w:t>
      </w:r>
      <w:r>
        <w:t xml:space="preserve">If</w:t>
      </w:r>
      <w:r>
        <w:t xml:space="preserve"> </w:t>
      </w:r>
      <m:oMath>
        <m:sSub>
          <m:e>
            <m:r>
              <m:t>t</m:t>
            </m:r>
          </m:e>
          <m:sub>
            <m:r>
              <m:t>r</m:t>
            </m:r>
          </m:sub>
        </m:sSub>
        <m:d>
          <m:dPr>
            <m:begChr m:val="("/>
            <m:endChr m:val=")"/>
            <m:sepChr m:val=""/>
            <m:grow/>
          </m:dPr>
          <m:e>
            <m:r>
              <m:t>a</m:t>
            </m:r>
          </m:e>
        </m:d>
        <m:r>
          <m:rPr>
            <m:sty m:val="p"/>
          </m:rPr>
          <m:t>&lt;</m:t>
        </m:r>
        <m:r>
          <m:rPr>
            <m:sty m:val="p"/>
          </m:rPr>
          <m:t>∞</m:t>
        </m:r>
      </m:oMath>
      <w:r>
        <w:t xml:space="preserve"> </w:t>
      </w:r>
      <w:r>
        <w:t xml:space="preserve">then</w:t>
      </w:r>
      <w:r>
        <w:t xml:space="preserve"> </w:t>
      </w:r>
      <m:oMath>
        <m:sSup>
          <m:e>
            <m:r>
              <m:t>t</m:t>
            </m:r>
          </m:e>
          <m:sup>
            <m:r>
              <m:t>I</m:t>
            </m:r>
          </m:sup>
        </m:sSup>
        <m:d>
          <m:dPr>
            <m:begChr m:val="("/>
            <m:endChr m:val=")"/>
            <m:sepChr m:val=""/>
            <m:grow/>
          </m:dPr>
          <m:e>
            <m:r>
              <m:t>a</m:t>
            </m:r>
          </m:e>
        </m:d>
        <m:r>
          <m:rPr>
            <m:sty m:val="p"/>
          </m:rPr>
          <m:t>≤</m:t>
        </m:r>
        <m:sSub>
          <m:e>
            <m:r>
              <m:t>t</m:t>
            </m:r>
          </m:e>
          <m:sub>
            <m:r>
              <m:t>r</m:t>
            </m:r>
          </m:sub>
        </m:sSub>
        <m:d>
          <m:dPr>
            <m:begChr m:val="("/>
            <m:endChr m:val=")"/>
            <m:sepChr m:val=""/>
            <m:grow/>
          </m:dPr>
          <m:e>
            <m:r>
              <m:t>a</m:t>
            </m:r>
          </m:e>
        </m:d>
        <m:r>
          <m:rPr>
            <m:sty m:val="p"/>
          </m:rPr>
          <m:t>+</m:t>
        </m:r>
        <m:r>
          <m:t>δ</m:t>
        </m:r>
      </m:oMath>
      <w:r>
        <w:t xml:space="preserve"> </w:t>
      </w:r>
      <w:r>
        <w:t xml:space="preserve">by construction, and by steps 2–3,</w:t>
      </w:r>
      <w:r>
        <w:t xml:space="preserve"> </w:t>
      </w:r>
      <m:oMath>
        <m:r>
          <m:t>α</m:t>
        </m:r>
        <m:d>
          <m:dPr>
            <m:begChr m:val="("/>
            <m:endChr m:val=")"/>
            <m:sepChr m:val=""/>
            <m:grow/>
          </m:dPr>
          <m:e>
            <m:r>
              <m:t>a</m:t>
            </m:r>
            <m:r>
              <m:rPr>
                <m:sty m:val="p"/>
              </m:rPr>
              <m:t>,</m:t>
            </m:r>
            <m:r>
              <m:t>t</m:t>
            </m:r>
          </m:e>
        </m:d>
        <m:r>
          <m:rPr>
            <m:sty m:val="p"/>
          </m:rPr>
          <m:t>=</m:t>
        </m:r>
        <m:r>
          <m:t>0</m:t>
        </m:r>
      </m:oMath>
      <w:r>
        <w:t xml:space="preserve"> </w:t>
      </w:r>
      <w:r>
        <w:t xml:space="preserve">for all</w:t>
      </w:r>
      <w:r>
        <w:t xml:space="preserve"> </w:t>
      </w:r>
      <m:oMath>
        <m:r>
          <m:t>t</m:t>
        </m:r>
        <m:r>
          <m:rPr>
            <m:sty m:val="p"/>
          </m:rPr>
          <m:t>≥</m:t>
        </m:r>
        <m:sSup>
          <m:e>
            <m:r>
              <m:t>t</m:t>
            </m:r>
          </m:e>
          <m:sup>
            <m:r>
              <m:t>I</m:t>
            </m:r>
          </m:sup>
        </m:sSup>
        <m:d>
          <m:dPr>
            <m:begChr m:val="("/>
            <m:endChr m:val=")"/>
            <m:sepChr m:val=""/>
            <m:grow/>
          </m:dPr>
          <m:e>
            <m:r>
              <m:t>a</m:t>
            </m:r>
          </m:e>
        </m:d>
      </m:oMath>
      <w:r>
        <w:t xml:space="preserve">, hence for all</w:t>
      </w:r>
      <w:r>
        <w:t xml:space="preserve"> </w:t>
      </w:r>
      <m:oMath>
        <m:r>
          <m:t>t</m:t>
        </m:r>
        <m:r>
          <m:rPr>
            <m:sty m:val="p"/>
          </m:rPr>
          <m:t>≥</m:t>
        </m:r>
        <m:sSub>
          <m:e>
            <m:r>
              <m:t>t</m:t>
            </m:r>
          </m:e>
          <m:sub>
            <m:r>
              <m:t>r</m:t>
            </m:r>
          </m:sub>
        </m:sSub>
        <m:d>
          <m:dPr>
            <m:begChr m:val="("/>
            <m:endChr m:val=")"/>
            <m:sepChr m:val=""/>
            <m:grow/>
          </m:dPr>
          <m:e>
            <m:r>
              <m:t>a</m:t>
            </m:r>
          </m:e>
        </m:d>
        <m:r>
          <m:rPr>
            <m:sty m:val="p"/>
          </m:rPr>
          <m:t>+</m:t>
        </m:r>
        <m:r>
          <m:t>δ</m:t>
        </m:r>
      </m:oMath>
      <w:r>
        <w:t xml:space="preserve">. If</w:t>
      </w:r>
      <w:r>
        <w:t xml:space="preserve"> </w:t>
      </w:r>
      <m:oMath>
        <m:sSub>
          <m:e>
            <m:r>
              <m:t>t</m:t>
            </m:r>
          </m:e>
          <m:sub>
            <m:r>
              <m:t>r</m:t>
            </m:r>
          </m:sub>
        </m:sSub>
        <m:d>
          <m:dPr>
            <m:begChr m:val="("/>
            <m:endChr m:val=")"/>
            <m:sepChr m:val=""/>
            <m:grow/>
          </m:dPr>
          <m:e>
            <m:r>
              <m:t>a</m:t>
            </m:r>
          </m:e>
        </m:d>
        <m:r>
          <m:rPr>
            <m:sty m:val="p"/>
          </m:rPr>
          <m:t>=</m:t>
        </m:r>
        <m:r>
          <m:rPr>
            <m:sty m:val="p"/>
          </m:rPr>
          <m:t>∞</m:t>
        </m:r>
      </m:oMath>
      <w:r>
        <w:t xml:space="preserve">, C2 is vacuous.</w:t>
      </w:r>
    </w:p>
    <w:p>
      <w:pPr>
        <w:pStyle w:val="BodyText"/>
      </w:pPr>
      <w:r>
        <w:rPr>
          <w:iCs/>
          <w:i/>
        </w:rPr>
        <w:t xml:space="preserve">C3 is satisfied.</w:t>
      </w:r>
      <w:r>
        <w:t xml:space="preserve"> </w:t>
      </w:r>
      <w:r>
        <w:t xml:space="preserve">If</w:t>
      </w:r>
      <w:r>
        <w:t xml:space="preserve"> </w:t>
      </w:r>
      <m:oMath>
        <m:r>
          <m:t>σ</m:t>
        </m:r>
        <m:d>
          <m:dPr>
            <m:begChr m:val="("/>
            <m:endChr m:val=")"/>
            <m:sepChr m:val=""/>
            <m:grow/>
          </m:dPr>
          <m:e>
            <m:r>
              <m:t>a</m:t>
            </m:r>
          </m:e>
        </m:d>
      </m:oMath>
      <w:r>
        <w:t xml:space="preserve"> </w:t>
      </w:r>
      <w:r>
        <w:t xml:space="preserve">= secondary and</w:t>
      </w:r>
      <w:r>
        <w:t xml:space="preserve"> </w:t>
      </w:r>
      <m:oMath>
        <m:sSub>
          <m:e>
            <m:r>
              <m:t>t</m:t>
            </m:r>
          </m:e>
          <m:sub>
            <m:r>
              <m:t>π</m:t>
            </m:r>
          </m:sub>
        </m:sSub>
        <m:d>
          <m:dPr>
            <m:begChr m:val="("/>
            <m:endChr m:val=")"/>
            <m:sepChr m:val=""/>
            <m:grow/>
          </m:dPr>
          <m:e>
            <m:r>
              <m:t>a</m:t>
            </m:r>
          </m:e>
        </m:d>
        <m:r>
          <m:rPr>
            <m:sty m:val="p"/>
          </m:rPr>
          <m:t>&lt;</m:t>
        </m:r>
        <m:r>
          <m:rPr>
            <m:sty m:val="p"/>
          </m:rPr>
          <m:t>∞</m:t>
        </m:r>
      </m:oMath>
      <w:r>
        <w:t xml:space="preserve"> </w:t>
      </w:r>
      <w:r>
        <w:t xml:space="preserve">then</w:t>
      </w:r>
      <w:r>
        <w:t xml:space="preserve"> </w:t>
      </w:r>
      <m:oMath>
        <m:sSup>
          <m:e>
            <m:r>
              <m:t>t</m:t>
            </m:r>
          </m:e>
          <m:sup>
            <m:r>
              <m:t>I</m:t>
            </m:r>
          </m:sup>
        </m:sSup>
        <m:d>
          <m:dPr>
            <m:begChr m:val="("/>
            <m:endChr m:val=")"/>
            <m:sepChr m:val=""/>
            <m:grow/>
          </m:dPr>
          <m:e>
            <m:r>
              <m:t>a</m:t>
            </m:r>
          </m:e>
        </m:d>
        <m:r>
          <m:rPr>
            <m:sty m:val="p"/>
          </m:rPr>
          <m:t>≤</m:t>
        </m:r>
        <m:sSub>
          <m:e>
            <m:r>
              <m:t>t</m:t>
            </m:r>
          </m:e>
          <m:sub>
            <m:r>
              <m:t>π</m:t>
            </m:r>
          </m:sub>
        </m:sSub>
        <m:d>
          <m:dPr>
            <m:begChr m:val="("/>
            <m:endChr m:val=")"/>
            <m:sepChr m:val=""/>
            <m:grow/>
          </m:dPr>
          <m:e>
            <m:r>
              <m:t>a</m:t>
            </m:r>
          </m:e>
        </m:d>
        <m:r>
          <m:rPr>
            <m:sty m:val="p"/>
          </m:rPr>
          <m:t>+</m:t>
        </m:r>
        <m:r>
          <m:t>6</m:t>
        </m:r>
      </m:oMath>
      <w:r>
        <w:t xml:space="preserve">, and by the same steps</w:t>
      </w:r>
      <w:r>
        <w:t xml:space="preserve"> </w:t>
      </w:r>
      <m:oMath>
        <m:r>
          <m:t>α</m:t>
        </m:r>
        <m:d>
          <m:dPr>
            <m:begChr m:val="("/>
            <m:endChr m:val=")"/>
            <m:sepChr m:val=""/>
            <m:grow/>
          </m:dPr>
          <m:e>
            <m:r>
              <m:t>a</m:t>
            </m:r>
            <m:r>
              <m:rPr>
                <m:sty m:val="p"/>
              </m:rPr>
              <m:t>,</m:t>
            </m:r>
            <m:r>
              <m:t>t</m:t>
            </m:r>
          </m:e>
        </m:d>
        <m:r>
          <m:rPr>
            <m:sty m:val="p"/>
          </m:rPr>
          <m:t>=</m:t>
        </m:r>
        <m:r>
          <m:t>0</m:t>
        </m:r>
      </m:oMath>
      <w:r>
        <w:t xml:space="preserve"> </w:t>
      </w:r>
      <w:r>
        <w:t xml:space="preserve">for all</w:t>
      </w:r>
      <w:r>
        <w:t xml:space="preserve"> </w:t>
      </w:r>
      <m:oMath>
        <m:r>
          <m:t>t</m:t>
        </m:r>
        <m:r>
          <m:rPr>
            <m:sty m:val="p"/>
          </m:rPr>
          <m:t>≥</m:t>
        </m:r>
        <m:sSub>
          <m:e>
            <m:r>
              <m:t>t</m:t>
            </m:r>
          </m:e>
          <m:sub>
            <m:r>
              <m:t>π</m:t>
            </m:r>
          </m:sub>
        </m:sSub>
        <m:d>
          <m:dPr>
            <m:begChr m:val="("/>
            <m:endChr m:val=")"/>
            <m:sepChr m:val=""/>
            <m:grow/>
          </m:dPr>
          <m:e>
            <m:r>
              <m:t>a</m:t>
            </m:r>
          </m:e>
        </m:d>
        <m:r>
          <m:rPr>
            <m:sty m:val="p"/>
          </m:rPr>
          <m:t>+</m:t>
        </m:r>
        <m:r>
          <m:t>6</m:t>
        </m:r>
      </m:oMath>
      <w:r>
        <w:t xml:space="preserve">, and</w:t>
      </w:r>
      <w:r>
        <w:t xml:space="preserve"> </w:t>
      </w:r>
      <m:oMath>
        <m:r>
          <m:t>β</m:t>
        </m:r>
        <m:d>
          <m:dPr>
            <m:begChr m:val="("/>
            <m:endChr m:val=")"/>
            <m:sepChr m:val=""/>
            <m:grow/>
          </m:dPr>
          <m:e>
            <m:r>
              <m:t>a</m:t>
            </m:r>
            <m:r>
              <m:rPr>
                <m:sty m:val="p"/>
              </m:rPr>
              <m:t>,</m:t>
            </m:r>
            <m:r>
              <m:t>t</m:t>
            </m:r>
          </m:e>
        </m:d>
        <m:r>
          <m:rPr>
            <m:sty m:val="p"/>
          </m:rPr>
          <m:t>=</m:t>
        </m:r>
        <m:r>
          <m:t>0</m:t>
        </m:r>
      </m:oMath>
      <w:r>
        <w:t xml:space="preserve"> </w:t>
      </w:r>
      <w:r>
        <w:t xml:space="preserve">from the same month wherever C3 reaches the subject fields. If</w:t>
      </w:r>
      <w:r>
        <w:t xml:space="preserve"> </w:t>
      </w:r>
      <m:oMath>
        <m:sSup>
          <m:e>
            <m:r>
              <m:t>t</m:t>
            </m:r>
          </m:e>
          <m:sup>
            <m:r>
              <m:t>I</m:t>
            </m:r>
          </m:sup>
        </m:sSup>
        <m:d>
          <m:dPr>
            <m:begChr m:val="("/>
            <m:endChr m:val=")"/>
            <m:sepChr m:val=""/>
            <m:grow/>
          </m:dPr>
          <m:e>
            <m:r>
              <m:t>a</m:t>
            </m:r>
          </m:e>
        </m:d>
      </m:oMath>
      <w:r>
        <w:t xml:space="preserve"> </w:t>
      </w:r>
      <w:r>
        <w:t xml:space="preserve">was set by an earlier erasure request, step 4 removes the subject fields at</w:t>
      </w:r>
      <w:r>
        <w:t xml:space="preserve"> </w:t>
      </w:r>
      <m:oMath>
        <m:sSub>
          <m:e>
            <m:r>
              <m:t>t</m:t>
            </m:r>
          </m:e>
          <m:sub>
            <m:r>
              <m:t>π</m:t>
            </m:r>
          </m:sub>
        </m:sSub>
        <m:d>
          <m:dPr>
            <m:begChr m:val="("/>
            <m:endChr m:val=")"/>
            <m:sepChr m:val=""/>
            <m:grow/>
          </m:dPr>
          <m:e>
            <m:r>
              <m:t>a</m:t>
            </m:r>
          </m:e>
        </m:d>
        <m:r>
          <m:rPr>
            <m:sty m:val="p"/>
          </m:rPr>
          <m:t>+</m:t>
        </m:r>
        <m:r>
          <m:t>6</m:t>
        </m:r>
      </m:oMath>
      <w:r>
        <w:t xml:space="preserve">. Otherwise C3 is vacuous.</w:t>
      </w:r>
    </w:p>
    <w:p>
      <w:pPr>
        <w:pStyle w:val="BodyText"/>
      </w:pPr>
      <w:r>
        <w:rPr>
          <w:iCs/>
          <w:i/>
        </w:rPr>
        <w:t xml:space="preserve">C1 is satisfied.</w:t>
      </w:r>
      <w:r>
        <w:t xml:space="preserve"> </w:t>
      </w:r>
      <w:r>
        <w:t xml:space="preserve">Let</w:t>
      </w:r>
      <w:r>
        <w:t xml:space="preserve"> </w:t>
      </w:r>
      <m:oMath>
        <m:r>
          <m:t>t</m:t>
        </m:r>
      </m:oMath>
      <w:r>
        <w:t xml:space="preserve"> </w:t>
      </w:r>
      <w:r>
        <w:t xml:space="preserve">be any month in the retention window,</w:t>
      </w:r>
      <w:r>
        <w:t xml:space="preserve"> </w:t>
      </w:r>
      <m:oMath>
        <m:r>
          <m:t>t</m:t>
        </m:r>
        <m:d>
          <m:dPr>
            <m:begChr m:val="("/>
            <m:endChr m:val=")"/>
            <m:sepChr m:val=""/>
            <m:grow/>
          </m:dPr>
          <m:e>
            <m:r>
              <m:t>a</m:t>
            </m:r>
          </m:e>
        </m:d>
        <m:r>
          <m:rPr>
            <m:sty m:val="p"/>
          </m:rPr>
          <m:t>≤</m:t>
        </m:r>
        <m:r>
          <m:t>t</m:t>
        </m:r>
        <m:r>
          <m:rPr>
            <m:sty m:val="p"/>
          </m:rPr>
          <m:t>≤</m:t>
        </m:r>
        <m:r>
          <m:t>t</m:t>
        </m:r>
        <m:d>
          <m:dPr>
            <m:begChr m:val="("/>
            <m:endChr m:val=")"/>
            <m:sepChr m:val=""/>
            <m:grow/>
          </m:dPr>
          <m:e>
            <m:r>
              <m:t>a</m:t>
            </m:r>
          </m:e>
        </m:d>
        <m:r>
          <m:rPr>
            <m:sty m:val="p"/>
          </m:rPr>
          <m:t>+</m:t>
        </m:r>
        <m:r>
          <m:t>F</m:t>
        </m:r>
        <m:d>
          <m:dPr>
            <m:begChr m:val="("/>
            <m:endChr m:val=")"/>
            <m:sepChr m:val=""/>
            <m:grow/>
          </m:dPr>
          <m:e>
            <m:r>
              <m:t>a</m:t>
            </m:r>
          </m:e>
        </m:d>
      </m:oMath>
      <w:r>
        <w:t xml:space="preserve">. Condition (i) holds because no step of the construction modifies or removes</w:t>
      </w:r>
      <w:r>
        <w:t xml:space="preserve"> </w:t>
      </w:r>
      <m:oMath>
        <m:sSub>
          <m:e>
            <m:r>
              <m:t>m</m:t>
            </m:r>
          </m:e>
          <m:sub>
            <m:r>
              <m:t>a</m:t>
            </m:r>
            <m:r>
              <m:t>c</m:t>
            </m:r>
            <m:r>
              <m:t>c</m:t>
            </m:r>
          </m:sub>
        </m:sSub>
        <m:d>
          <m:dPr>
            <m:begChr m:val="("/>
            <m:endChr m:val=")"/>
            <m:sepChr m:val=""/>
            <m:grow/>
          </m:dPr>
          <m:e>
            <m:r>
              <m:t>a</m:t>
            </m:r>
          </m:e>
        </m:d>
      </m:oMath>
      <w:r>
        <w:t xml:space="preserve">, and the only removal of</w:t>
      </w:r>
      <w:r>
        <w:t xml:space="preserve"> </w:t>
      </w:r>
      <m:oMath>
        <m:sSub>
          <m:e>
            <m:r>
              <m:t>m</m:t>
            </m:r>
          </m:e>
          <m:sub>
            <m:r>
              <m:t>s</m:t>
            </m:r>
            <m:r>
              <m:t>u</m:t>
            </m:r>
            <m:r>
              <m:t>b</m:t>
            </m:r>
            <m:r>
              <m:t>j</m:t>
            </m:r>
          </m:sub>
        </m:sSub>
        <m:d>
          <m:dPr>
            <m:begChr m:val="("/>
            <m:endChr m:val=")"/>
            <m:sepChr m:val=""/>
            <m:grow/>
          </m:dPr>
          <m:e>
            <m:r>
              <m:t>a</m:t>
            </m:r>
          </m:e>
        </m:d>
      </m:oMath>
      <w:r>
        <w:t xml:space="preserve"> </w:t>
      </w:r>
      <w:r>
        <w:t xml:space="preserve">is recorded in</w:t>
      </w:r>
      <w:r>
        <w:t xml:space="preserve"> </w:t>
      </w:r>
      <m:oMath>
        <m:r>
          <m:t>ι</m:t>
        </m:r>
        <m:d>
          <m:dPr>
            <m:begChr m:val="("/>
            <m:endChr m:val=")"/>
            <m:sepChr m:val=""/>
            <m:grow/>
          </m:dPr>
          <m:e>
            <m:r>
              <m:t>a</m:t>
            </m:r>
          </m:e>
        </m:d>
      </m:oMath>
      <w:r>
        <w:t xml:space="preserve">. Condition (ii) holds because no step removes</w:t>
      </w:r>
      <w:r>
        <w:t xml:space="preserve"> </w:t>
      </w:r>
      <m:oMath>
        <m:r>
          <m:t>c</m:t>
        </m:r>
        <m:d>
          <m:dPr>
            <m:begChr m:val="("/>
            <m:endChr m:val=")"/>
            <m:sepChr m:val=""/>
            <m:grow/>
          </m:dPr>
          <m:e>
            <m:r>
              <m:t>a</m:t>
            </m:r>
          </m:e>
        </m:d>
      </m:oMath>
      <w:r>
        <w:t xml:space="preserve">; the commitment is not derived from</w:t>
      </w:r>
      <w:r>
        <w:t xml:space="preserve"> </w:t>
      </w:r>
      <m:oMath>
        <m:r>
          <m:t>k</m:t>
        </m:r>
        <m:d>
          <m:dPr>
            <m:begChr m:val="("/>
            <m:endChr m:val=")"/>
            <m:sepChr m:val=""/>
            <m:grow/>
          </m:dPr>
          <m:e>
            <m:r>
              <m:t>a</m:t>
            </m:r>
          </m:e>
        </m:d>
      </m:oMath>
      <w:r>
        <w:t xml:space="preserve"> </w:t>
      </w:r>
      <w:r>
        <w:t xml:space="preserve">and its persistence is unaffected by key destruction. For condition (iii): if</w:t>
      </w:r>
      <w:r>
        <w:t xml:space="preserve"> </w:t>
      </w:r>
      <m:oMath>
        <m:r>
          <m:t>α</m:t>
        </m:r>
        <m:d>
          <m:dPr>
            <m:begChr m:val="("/>
            <m:endChr m:val=")"/>
            <m:sepChr m:val=""/>
            <m:grow/>
          </m:dPr>
          <m:e>
            <m:r>
              <m:t>a</m:t>
            </m:r>
            <m:r>
              <m:rPr>
                <m:sty m:val="p"/>
              </m:rPr>
              <m:t>,</m:t>
            </m:r>
            <m:r>
              <m:t>t</m:t>
            </m:r>
          </m:e>
        </m:d>
        <m:r>
          <m:rPr>
            <m:sty m:val="p"/>
          </m:rPr>
          <m:t>=</m:t>
        </m:r>
        <m:r>
          <m:t>1</m:t>
        </m:r>
      </m:oMath>
      <w:r>
        <w:t xml:space="preserve"> </w:t>
      </w:r>
      <w:r>
        <w:t xml:space="preserve">the condition is vacuous; if</w:t>
      </w:r>
      <w:r>
        <w:t xml:space="preserve"> </w:t>
      </w:r>
      <m:oMath>
        <m:r>
          <m:t>α</m:t>
        </m:r>
        <m:d>
          <m:dPr>
            <m:begChr m:val="("/>
            <m:endChr m:val=")"/>
            <m:sepChr m:val=""/>
            <m:grow/>
          </m:dPr>
          <m:e>
            <m:r>
              <m:t>a</m:t>
            </m:r>
            <m:r>
              <m:rPr>
                <m:sty m:val="p"/>
              </m:rPr>
              <m:t>,</m:t>
            </m:r>
            <m:r>
              <m:t>t</m:t>
            </m:r>
          </m:e>
        </m:d>
        <m:r>
          <m:rPr>
            <m:sty m:val="p"/>
          </m:rPr>
          <m:t>=</m:t>
        </m:r>
        <m:r>
          <m:t>0</m:t>
        </m:r>
      </m:oMath>
      <w:r>
        <w:t xml:space="preserve"> </w:t>
      </w:r>
      <w:r>
        <w:t xml:space="preserve">then</w:t>
      </w:r>
      <w:r>
        <w:t xml:space="preserve"> </w:t>
      </w:r>
      <m:oMath>
        <m:r>
          <m:t>t</m:t>
        </m:r>
        <m:r>
          <m:rPr>
            <m:sty m:val="p"/>
          </m:rPr>
          <m:t>≥</m:t>
        </m:r>
        <m:sSup>
          <m:e>
            <m:r>
              <m:t>t</m:t>
            </m:r>
          </m:e>
          <m:sup>
            <m:r>
              <m:t>I</m:t>
            </m:r>
          </m:sup>
        </m:sSup>
        <m:d>
          <m:dPr>
            <m:begChr m:val="("/>
            <m:endChr m:val=")"/>
            <m:sepChr m:val=""/>
            <m:grow/>
          </m:dPr>
          <m:e>
            <m:r>
              <m:t>a</m:t>
            </m:r>
          </m:e>
        </m:d>
      </m:oMath>
      <w:r>
        <w:t xml:space="preserve">, and step 2 has placed</w:t>
      </w:r>
      <w:r>
        <w:t xml:space="preserve"> </w:t>
      </w:r>
      <m:oMath>
        <m:r>
          <m:t>ι</m:t>
        </m:r>
        <m:d>
          <m:dPr>
            <m:begChr m:val="("/>
            <m:endChr m:val=")"/>
            <m:sepChr m:val=""/>
            <m:grow/>
          </m:dPr>
          <m:e>
            <m:r>
              <m:t>a</m:t>
            </m:r>
          </m:e>
        </m:d>
      </m:oMath>
      <w:r>
        <w:t xml:space="preserve"> </w:t>
      </w:r>
      <w:r>
        <w:t xml:space="preserve">in the audit trail, where step 3 retains it, and</w:t>
      </w:r>
      <w:r>
        <w:t xml:space="preserve"> </w:t>
      </w:r>
      <m:oMath>
        <m:r>
          <m:t>ι</m:t>
        </m:r>
        <m:d>
          <m:dPr>
            <m:begChr m:val="("/>
            <m:endChr m:val=")"/>
            <m:sepChr m:val=""/>
            <m:grow/>
          </m:dPr>
          <m:e>
            <m:r>
              <m:t>a</m:t>
            </m:r>
          </m:e>
        </m:d>
      </m:oMath>
      <w:r>
        <w:t xml:space="preserve"> </w:t>
      </w:r>
      <w:r>
        <w:t xml:space="preserve">is covered by (i). Hence</w:t>
      </w:r>
      <w:r>
        <w:t xml:space="preserve"> </w:t>
      </w:r>
      <m:oMath>
        <m:sSup>
          <m:e>
            <m:r>
              <m:t>V</m:t>
            </m:r>
          </m:e>
          <m:sup>
            <m:r>
              <m:t>I</m:t>
            </m:r>
            <m:r>
              <m:t>I</m:t>
            </m:r>
          </m:sup>
        </m:sSup>
        <m:d>
          <m:dPr>
            <m:begChr m:val="("/>
            <m:endChr m:val=")"/>
            <m:sepChr m:val=""/>
            <m:grow/>
          </m:dPr>
          <m:e>
            <m:r>
              <m:t>a</m:t>
            </m:r>
            <m:r>
              <m:rPr>
                <m:sty m:val="p"/>
              </m:rPr>
              <m:t>,</m:t>
            </m:r>
            <m:r>
              <m:t>t</m:t>
            </m:r>
          </m:e>
        </m:d>
        <m:r>
          <m:rPr>
            <m:sty m:val="p"/>
          </m:rPr>
          <m:t>=</m:t>
        </m:r>
        <m:r>
          <m:t>1</m:t>
        </m:r>
      </m:oMath>
      <w:r>
        <w:t xml:space="preserve"> </w:t>
      </w:r>
      <w:r>
        <w:t xml:space="preserve">throughout the window. The terminal transition of Section 4.8 takes place after the window and is not part of this trajectory.</w:t>
      </w:r>
    </w:p>
    <w:p>
      <w:pPr>
        <w:pStyle w:val="BodyText"/>
      </w:pPr>
      <w:r>
        <w:t xml:space="preserve">All three constraints are satisfied, for arbitrary arrival times and arbitrary</w:t>
      </w:r>
      <w:r>
        <w:t xml:space="preserve"> </w:t>
      </w:r>
      <m:oMath>
        <m:r>
          <m:t>F</m:t>
        </m:r>
        <m:d>
          <m:dPr>
            <m:begChr m:val="("/>
            <m:endChr m:val=")"/>
            <m:sepChr m:val=""/>
            <m:grow/>
          </m:dPr>
          <m:e>
            <m:r>
              <m:t>a</m:t>
            </m:r>
          </m:e>
        </m:d>
      </m:oMath>
      <w:r>
        <w:t xml:space="preserve">. ∎</w:t>
      </w:r>
    </w:p>
    <w:p>
      <w:pPr>
        <w:pStyle w:val="BodyText"/>
      </w:pPr>
      <w:r>
        <w:rPr>
          <w:iCs/>
          <w:i/>
        </w:rPr>
        <w:t xml:space="preserve">Corollary 2.1.</w:t>
      </w:r>
      <w:r>
        <w:t xml:space="preserve"> </w:t>
      </w:r>
      <w:r>
        <w:t xml:space="preserve">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rPr>
          <w:iCs/>
          <w:i/>
        </w:rPr>
        <w:t xml:space="preserve">Corollary 2.2.</w:t>
      </w:r>
      <w:r>
        <w:t xml:space="preserve"> </w:t>
      </w:r>
      <w:r>
        <w:t xml:space="preserve">Because</w:t>
      </w:r>
      <w:r>
        <w:t xml:space="preserve"> </w:t>
      </w:r>
      <m:oMath>
        <m:r>
          <m:t>F</m:t>
        </m:r>
        <m:d>
          <m:dPr>
            <m:begChr m:val="("/>
            <m:endChr m:val=")"/>
            <m:sepChr m:val=""/>
            <m:grow/>
          </m:dPr>
          <m:e>
            <m:r>
              <m:t>a</m:t>
            </m:r>
          </m:e>
        </m:d>
      </m:oMath>
      <w:r>
        <w:t xml:space="preserve"> </w:t>
      </w:r>
      <w:r>
        <w:t xml:space="preserve">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pPr>
      <w:r>
        <w:rPr>
          <w:iCs/>
          <w:i/>
        </w:rPr>
        <w:t xml:space="preserve">A note on what kind of result this is.</w:t>
      </w:r>
      <w:r>
        <w:t xml:space="preserve"> </w:t>
      </w:r>
      <w:r>
        <w:t xml:space="preserve">An objection should be anticipated rather than left for a reader to formulate: that Theorem 2 proves little, because Semantics II was defined in full knowledge of the trajectory that satisfies it. The objection has force and the response is to concede its premise and deny its conclusion. The mathematical content of Theorem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w:t>
      </w:r>
      <w:r>
        <w:t xml:space="preserve"> </w:t>
      </w:r>
      <w:r>
        <w:rPr>
          <w:iCs/>
          <w:i/>
        </w:rPr>
        <w:t xml:space="preserve">this</w:t>
      </w:r>
      <w:r>
        <w:t xml:space="preserve"> </w:t>
      </w:r>
      <w:r>
        <w:t xml:space="preserve">semantics is a defensible reading of what the retention obligations require, grounded in the necessity boundary of Article 17(3)(b), the minimisation principle of Article 5(1)(c), and the accountability purpose the obligations serve. It is also the weakest departure from current practice that achieves feasibility, preserving every element of the audit record that the accountability purpose needs and discarding only what it does not. Theorem 1 carries the load that Theorem 2 does not: it establishes that</w:t>
      </w:r>
      <w:r>
        <w:t xml:space="preserve"> </w:t>
      </w:r>
      <w:r>
        <w:rPr>
          <w:iCs/>
          <w:i/>
        </w:rPr>
        <w:t xml:space="preserve">some</w:t>
      </w:r>
      <w:r>
        <w:t xml:space="preserve"> </w:t>
      </w:r>
      <w:r>
        <w:t xml:space="preserve">departure is unavoidable, because the status quo admits no solution at all. Theorem 2 then shows that a principled and minimal departure suffices. The legal defensibility of Semantics II is argued in Section 4.2 and its want of authority is confronted in Chapter 6, Section 6.2; it is not established by the theorem, and no reader should take the theorem as establishing it.</w:t>
      </w:r>
    </w:p>
    <w:p>
      <w:pPr>
        <w:pStyle w:val="BodyText"/>
      </w:pPr>
      <w:r>
        <w:rPr>
          <w:iCs/>
          <w:i/>
        </w:rPr>
        <w:t xml:space="preserve">What the theorem does and does not establish.</w:t>
      </w:r>
      <w:r>
        <w:t xml:space="preserve"> </w:t>
      </w:r>
      <w:r>
        <w:t xml:space="preserve">It establishes that the constraint system as formalised admits a solution, and exhibits one. It does not establish that the exhibited solution is lawful (that depends on whether the residue it leaves clears the legal threshold, which Section 4.9 addresses) nor that key destruction can be verified by an external party, which Section 4.10 concedes it cannot. The invalidation entry specified in Section 4.8 is an</w:t>
      </w:r>
      <w:r>
        <w:t xml:space="preserve"> </w:t>
      </w:r>
      <w:r>
        <w:rPr>
          <w:iCs/>
          <w:i/>
        </w:rPr>
        <w:t xml:space="preserve">attested</w:t>
      </w:r>
      <w:r>
        <w:t xml:space="preserve"> </w:t>
      </w:r>
      <w:r>
        <w:t xml:space="preserve">record of destruction, not a</w:t>
      </w:r>
      <w:r>
        <w:t xml:space="preserve"> </w:t>
      </w:r>
      <w:r>
        <w:rPr>
          <w:iCs/>
          <w:i/>
        </w:rPr>
        <w:t xml:space="preserve">proof</w:t>
      </w:r>
      <w:r>
        <w:t xml:space="preserve"> </w:t>
      </w:r>
      <w:r>
        <w:t xml:space="preserve">of it; the proof-of-secure-erasure and certified-deletion literatures reviewed in Chapter 2, Section 2.4 mark that boundary, and Chapter 6 treats it as the outer limit of the contribution. Theorem 2 is a mathematical result about a model, and its value is that it converts a question that has been debated qualitatively into one with a definite answer under stated assumptions.</w:t>
      </w:r>
    </w:p>
    <w:bookmarkEnd w:id="72"/>
    <w:bookmarkStart w:id="73" w:name="Xbab0c38be3b68c0190d99bdc4068769bc35fcf9"/>
    <w:p>
      <w:pPr>
        <w:pStyle w:val="Heading2"/>
      </w:pPr>
      <w:r>
        <w:t xml:space="preserve">4.8 The Mechanism: Crypto-Erasure by Invalidation</w:t>
      </w:r>
    </w:p>
    <w:p>
      <w:pPr>
        <w:pStyle w:val="FirstParagraph"/>
      </w:pPr>
      <w:r>
        <w:t xml:space="preserve">The trajectory constructed in the proof of Theorem 2 is the specification of the mechanism. This section states it as an implementable design.</w:t>
      </w:r>
    </w:p>
    <w:p>
      <w:pPr>
        <w:pStyle w:val="BodyText"/>
      </w:pPr>
      <w:r>
        <w:rPr>
          <w:iCs/>
          <w:i/>
        </w:rPr>
        <w:t xml:space="preserve">Key hierarchy.</w:t>
      </w:r>
      <w:r>
        <w:t xml:space="preserve"> </w:t>
      </w:r>
      <w:r>
        <w:t xml:space="preserve">Each record’s payload is encrypted under a per-record data key</w:t>
      </w:r>
      <w:r>
        <w:t xml:space="preserve"> </w:t>
      </w:r>
      <m:oMath>
        <m:r>
          <m:t>k</m:t>
        </m:r>
        <m:d>
          <m:dPr>
            <m:begChr m:val="("/>
            <m:endChr m:val=")"/>
            <m:sepChr m:val=""/>
            <m:grow/>
          </m:dPr>
          <m:e>
            <m:r>
              <m:t>a</m:t>
            </m:r>
          </m:e>
        </m:d>
      </m:oMath>
      <w:r>
        <w:t xml:space="preserve">. Per-record rather than per-subject or per-dataset granularity is required because the invalidation events of Theorem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w:t>
      </w:r>
      <w:r>
        <w:t xml:space="preserve"> </w:t>
      </w:r>
      <m:oMath>
        <m:r>
          <m:t>k</m:t>
        </m:r>
        <m:d>
          <m:dPr>
            <m:begChr m:val="("/>
            <m:endChr m:val=")"/>
            <m:sepChr m:val=""/>
            <m:grow/>
          </m:dPr>
          <m:e>
            <m:r>
              <m:t>a</m:t>
            </m:r>
          </m:e>
        </m:d>
      </m:oMath>
      <w:r>
        <w:t xml:space="preserve"> </w:t>
      </w:r>
      <w:r>
        <w:t xml:space="preserve">is effected by destruction of the wrapped data key and any cached copies, within the documented custody boundary.</w:t>
      </w:r>
    </w:p>
    <w:p>
      <w:pPr>
        <w:pStyle w:val="BodyText"/>
      </w:pPr>
      <w:r>
        <w:rPr>
          <w:iCs/>
          <w:i/>
        </w:rPr>
        <w:t xml:space="preserve">Ciphertext.</w:t>
      </w:r>
      <w:r>
        <w:t xml:space="preserve"> </w:t>
      </w:r>
      <w:r>
        <w:t xml:space="preserve">At</w:t>
      </w:r>
      <w:r>
        <w:t xml:space="preserve"> </w:t>
      </w:r>
      <m:oMath>
        <m:sSup>
          <m:e>
            <m:r>
              <m:t>t</m:t>
            </m:r>
          </m:e>
          <m:sup>
            <m:r>
              <m:t>I</m:t>
            </m:r>
          </m:sup>
        </m:sSup>
        <m:d>
          <m:dPr>
            <m:begChr m:val="("/>
            <m:endChr m:val=")"/>
            <m:sepChr m:val=""/>
            <m:grow/>
          </m:dPr>
          <m:e>
            <m:r>
              <m:t>a</m:t>
            </m:r>
          </m:e>
        </m:d>
      </m:oMath>
      <w:r>
        <w:t xml:space="preserve"> </w:t>
      </w:r>
      <w:r>
        <w:t xml:space="preserve">the ciphertext of</w:t>
      </w:r>
      <w:r>
        <w:t xml:space="preserve"> </w:t>
      </w:r>
      <m:oMath>
        <m:r>
          <m:t>p</m:t>
        </m:r>
        <m:d>
          <m:dPr>
            <m:begChr m:val="("/>
            <m:endChr m:val=")"/>
            <m:sepChr m:val=""/>
            <m:grow/>
          </m:dPr>
          <m:e>
            <m:r>
              <m:t>a</m:t>
            </m:r>
          </m:e>
        </m:d>
      </m:oMath>
      <w:r>
        <w:t xml:space="preserve"> </w:t>
      </w:r>
      <w:r>
        <w:t xml:space="preserve">is deleted from the audit store together with</w:t>
      </w:r>
      <w:r>
        <w:t xml:space="preserve"> </w:t>
      </w:r>
      <m:oMath>
        <m:r>
          <m:t>k</m:t>
        </m:r>
        <m:d>
          <m:dPr>
            <m:begChr m:val="("/>
            <m:endChr m:val=")"/>
            <m:sepChr m:val=""/>
            <m:grow/>
          </m:dPr>
          <m:e>
            <m:r>
              <m:t>a</m:t>
            </m:r>
          </m:e>
        </m:d>
      </m:oMath>
      <w:r>
        <w:t xml:space="preserve">. Nothing in Semantics II uses it once the key is gone, and deleting it removes the exposure that a retained ciphertext would carry to future cryptanalytic capability, quantum capability included, over the rest of a ten-year floor (Section 4.9). Key destruction remains the operative erasure for copies the store cannot delete at once, such as replicas and backups: they become unreadable at</w:t>
      </w:r>
      <w:r>
        <w:t xml:space="preserve"> </w:t>
      </w:r>
      <m:oMath>
        <m:sSup>
          <m:e>
            <m:r>
              <m:t>t</m:t>
            </m:r>
          </m:e>
          <m:sup>
            <m:r>
              <m:t>I</m:t>
            </m:r>
          </m:sup>
        </m:sSup>
        <m:d>
          <m:dPr>
            <m:begChr m:val="("/>
            <m:endChr m:val=")"/>
            <m:sepChr m:val=""/>
            <m:grow/>
          </m:dPr>
          <m:e>
            <m:r>
              <m:t>a</m:t>
            </m:r>
          </m:e>
        </m:d>
      </m:oMath>
      <w:r>
        <w:t xml:space="preserve"> </w:t>
      </w:r>
      <w:r>
        <w:t xml:space="preserve">and leave by ordinary rotation. The specification for Secure Processing Environments accepts exactly this: electronic health data</w:t>
      </w:r>
      <w:r>
        <w:t xml:space="preserve"> </w:t>
      </w:r>
      <w:r>
        <w:t xml:space="preserve">“</w:t>
      </w:r>
      <w:r>
        <w:t xml:space="preserve">MUST be deleted or rendered unrecoverable within six months of permit expiry, including any backups or redundant copies</w:t>
      </w:r>
      <w:r>
        <w:t xml:space="preserve">”</w:t>
      </w:r>
      <w:r>
        <w:t xml:space="preserve"> </w:t>
      </w:r>
      <w:r>
        <w:t xml:space="preserve">(TEHDAS2, 2026, Table 5.2, OPR-6).</w:t>
      </w:r>
    </w:p>
    <w:p>
      <w:pPr>
        <w:pStyle w:val="BodyText"/>
      </w:pPr>
      <w:r>
        <w:rPr>
          <w:iCs/>
          <w:i/>
        </w:rPr>
        <w:t xml:space="preserve">Commitment.</w:t>
      </w:r>
      <w:r>
        <w:t xml:space="preserve"> </w:t>
      </w:r>
      <m:oMath>
        <m:r>
          <m:t>c</m:t>
        </m:r>
        <m:d>
          <m:dPr>
            <m:begChr m:val="("/>
            <m:endChr m:val=")"/>
            <m:sepChr m:val=""/>
            <m:grow/>
          </m:dPr>
          <m:e>
            <m:r>
              <m:t>a</m:t>
            </m:r>
          </m:e>
        </m:d>
      </m:oMath>
      <w:r>
        <w:t xml:space="preserve"> </w:t>
      </w:r>
      <w:r>
        <w:t xml:space="preserve">= Commit(</w:t>
      </w:r>
      <m:oMath>
        <m:r>
          <m:t>p</m:t>
        </m:r>
        <m:d>
          <m:dPr>
            <m:begChr m:val="("/>
            <m:endChr m:val=")"/>
            <m:sepChr m:val=""/>
            <m:grow/>
          </m:dPr>
          <m:e>
            <m:r>
              <m:t>a</m:t>
            </m:r>
          </m:e>
        </m:d>
        <m:r>
          <m:rPr>
            <m:sty m:val="p"/>
          </m:rPr>
          <m:t>,</m:t>
        </m:r>
        <m:r>
          <m:t>r</m:t>
        </m:r>
        <m:d>
          <m:dPr>
            <m:begChr m:val="("/>
            <m:endChr m:val=")"/>
            <m:sepChr m:val=""/>
            <m:grow/>
          </m:dPr>
          <m:e>
            <m:r>
              <m:t>a</m:t>
            </m:r>
          </m:e>
        </m:d>
      </m:oMath>
      <w:r>
        <w:t xml:space="preserve">) with a per-record salt</w:t>
      </w:r>
      <w:r>
        <w:t xml:space="preserve"> </w:t>
      </w:r>
      <m:oMath>
        <m:r>
          <m:t>r</m:t>
        </m:r>
        <m:d>
          <m:dPr>
            <m:begChr m:val="("/>
            <m:endChr m:val=")"/>
            <m:sepChr m:val=""/>
            <m:grow/>
          </m:dPr>
          <m:e>
            <m:r>
              <m:t>a</m:t>
            </m:r>
          </m:e>
        </m:d>
      </m:oMath>
      <w:r>
        <w:t xml:space="preserve">. The salt is stored with the metadata until invalidation and is destroyed together with</w:t>
      </w:r>
      <w:r>
        <w:t xml:space="preserve"> </w:t>
      </w:r>
      <m:oMath>
        <m:r>
          <m:t>k</m:t>
        </m:r>
        <m:d>
          <m:dPr>
            <m:begChr m:val="("/>
            <m:endChr m:val=")"/>
            <m:sepChr m:val=""/>
            <m:grow/>
          </m:dPr>
          <m:e>
            <m:r>
              <m:t>a</m:t>
            </m:r>
          </m:e>
        </m:d>
      </m:oMath>
      <w:r>
        <w:t xml:space="preserve"> </w:t>
      </w:r>
      <w:r>
        <w:t xml:space="preserve">at</w:t>
      </w:r>
      <w:r>
        <w:t xml:space="preserve"> </w:t>
      </w:r>
      <m:oMath>
        <m:sSup>
          <m:e>
            <m:r>
              <m:t>t</m:t>
            </m:r>
          </m:e>
          <m:sup>
            <m:r>
              <m:t>I</m:t>
            </m:r>
          </m:sup>
        </m:sSup>
        <m:d>
          <m:dPr>
            <m:begChr m:val="("/>
            <m:endChr m:val=")"/>
            <m:sepChr m:val=""/>
            <m:grow/>
          </m:dPr>
          <m:e>
            <m:r>
              <m:t>a</m:t>
            </m:r>
          </m:e>
        </m:d>
      </m:oMath>
      <w:r>
        <w:t xml:space="preserve">. Before invalidation it lets an auditor open the commitment against the payload. After invalidation no opening can be checked, because the payload is no longer readable, while a retained salt would let anyone holding a candidate payload confirm a guess against</w:t>
      </w:r>
      <w:r>
        <w:t xml:space="preserve"> </w:t>
      </w:r>
      <m:oMath>
        <m:r>
          <m:t>c</m:t>
        </m:r>
        <m:d>
          <m:dPr>
            <m:begChr m:val="("/>
            <m:endChr m:val=")"/>
            <m:sepChr m:val=""/>
            <m:grow/>
          </m:dPr>
          <m:e>
            <m:r>
              <m:t>a</m:t>
            </m:r>
          </m:e>
        </m:d>
      </m:oMath>
      <w:r>
        <w:t xml:space="preserve"> </w:t>
      </w:r>
      <w:r>
        <w:t xml:space="preserve">(Section 4.9). Destroying the salt does not weaken binding, which is a property of the commitment value: no second payload can be opened against</w:t>
      </w:r>
      <w:r>
        <w:t xml:space="preserve"> </w:t>
      </w:r>
      <m:oMath>
        <m:r>
          <m:t>c</m:t>
        </m:r>
        <m:d>
          <m:dPr>
            <m:begChr m:val="("/>
            <m:endChr m:val=")"/>
            <m:sepChr m:val=""/>
            <m:grow/>
          </m:dPr>
          <m:e>
            <m:r>
              <m:t>a</m:t>
            </m:r>
          </m:e>
        </m:d>
      </m:oMath>
      <w:r>
        <w:t xml:space="preserve">, and after</w:t>
      </w:r>
      <w:r>
        <w:t xml:space="preserve"> </w:t>
      </w:r>
      <m:oMath>
        <m:sSup>
          <m:e>
            <m:r>
              <m:t>t</m:t>
            </m:r>
          </m:e>
          <m:sup>
            <m:r>
              <m:t>I</m:t>
            </m:r>
          </m:sup>
        </m:sSup>
        <m:d>
          <m:dPr>
            <m:begChr m:val="("/>
            <m:endChr m:val=")"/>
            <m:sepChr m:val=""/>
            <m:grow/>
          </m:dPr>
          <m:e>
            <m:r>
              <m:t>a</m:t>
            </m:r>
          </m:e>
        </m:d>
      </m:oMath>
      <w:r>
        <w:t xml:space="preserve"> </w:t>
      </w:r>
      <w:r>
        <w:t xml:space="preserve">no payload can be opened against it at all. A party that holds its own copy of the payload and must later prove that it corresponds to</w:t>
      </w:r>
      <w:r>
        <w:t xml:space="preserve"> </w:t>
      </w:r>
      <m:oMath>
        <m:r>
          <m:t>c</m:t>
        </m:r>
        <m:d>
          <m:dPr>
            <m:begChr m:val="("/>
            <m:endChr m:val=")"/>
            <m:sepChr m:val=""/>
            <m:grow/>
          </m:dPr>
          <m:e>
            <m:r>
              <m:t>a</m:t>
            </m:r>
          </m:e>
        </m:d>
      </m:oMath>
      <w:r>
        <w:t xml:space="preserve"> </w:t>
      </w:r>
      <w:r>
        <w:t xml:space="preserve">has to obtain and keep the opening before invalidation; the audit store does not keep one for it. The scheme must be hiding: an adversary holding</w:t>
      </w:r>
      <w:r>
        <w:t xml:space="preserve"> </w:t>
      </w:r>
      <m:oMath>
        <m:r>
          <m:t>c</m:t>
        </m:r>
        <m:d>
          <m:dPr>
            <m:begChr m:val="("/>
            <m:endChr m:val=")"/>
            <m:sepChr m:val=""/>
            <m:grow/>
          </m:dPr>
          <m:e>
            <m:r>
              <m:t>a</m:t>
            </m:r>
          </m:e>
        </m:d>
      </m:oMath>
      <w:r>
        <w:t xml:space="preserve"> </w:t>
      </w:r>
      <w:r>
        <w:t xml:space="preserve">and lacking</w:t>
      </w:r>
      <w:r>
        <w:t xml:space="preserve"> </w:t>
      </w:r>
      <m:oMath>
        <m:r>
          <m:t>r</m:t>
        </m:r>
        <m:d>
          <m:dPr>
            <m:begChr m:val="("/>
            <m:endChr m:val=")"/>
            <m:sepChr m:val=""/>
            <m:grow/>
          </m:dPr>
          <m:e>
            <m:r>
              <m:t>a</m:t>
            </m:r>
          </m:e>
        </m:d>
      </m:oMath>
      <w:r>
        <w:t xml:space="preserve"> </w:t>
      </w:r>
      <w:r>
        <w:t xml:space="preserve">must learn nothing about</w:t>
      </w:r>
      <w:r>
        <w:t xml:space="preserve"> </w:t>
      </w:r>
      <m:oMath>
        <m:r>
          <m:t>p</m:t>
        </m:r>
        <m:d>
          <m:dPr>
            <m:begChr m:val="("/>
            <m:endChr m:val=")"/>
            <m:sepChr m:val=""/>
            <m:grow/>
          </m:dPr>
          <m:e>
            <m:r>
              <m:t>a</m:t>
            </m:r>
          </m:e>
        </m:d>
      </m:oMath>
      <w:r>
        <w:t xml:space="preserve">. A bare unsalted hash of the payload does not satisfy this and must not be used, for the reason given in Section 4.9.</w:t>
      </w:r>
    </w:p>
    <w:p>
      <w:pPr>
        <w:pStyle w:val="BodyText"/>
      </w:pPr>
      <w:r>
        <w:rPr>
          <w:iCs/>
          <w:i/>
        </w:rPr>
        <w:t xml:space="preserve">The invalidation registry.</w:t>
      </w:r>
      <w:r>
        <w:t xml:space="preserve"> </w:t>
      </w:r>
      <w:r>
        <w:t xml:space="preserve">Invalidation entries are appended to the audit trail as first-class records. Each entry</w:t>
      </w:r>
      <w:r>
        <w:t xml:space="preserve"> </w:t>
      </w:r>
      <m:oMath>
        <m:r>
          <m:t>ι</m:t>
        </m:r>
        <m:d>
          <m:dPr>
            <m:begChr m:val="("/>
            <m:endChr m:val=")"/>
            <m:sepChr m:val=""/>
            <m:grow/>
          </m:dPr>
          <m:e>
            <m:r>
              <m:t>a</m:t>
            </m:r>
          </m:e>
        </m:d>
      </m:oMath>
      <w:r>
        <w:t xml:space="preserve"> </w:t>
      </w:r>
      <w:r>
        <w:t xml:space="preserve">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w:t>
      </w:r>
    </w:p>
    <w:p>
      <w:pPr>
        <w:pStyle w:val="BodyText"/>
      </w:pPr>
      <w:r>
        <w:rPr>
          <w:iCs/>
          <w:i/>
        </w:rPr>
        <w:t xml:space="preserve">Accumulator-based validity witnesses.</w:t>
      </w:r>
      <w:r>
        <w:t xml:space="preserve"> </w:t>
      </w:r>
      <w:r>
        <w:t xml:space="preserve">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theorems: Theorem 2 holds if validity is established by linear scan of the registry, and the accumulator makes that check succinct. The accumulator is specified but not implemented in the artefact (Section 6.1). Dynamic accumulators of the Camenisch and Lysyanskaya type also require a trusted accumulator manager holding a trapdoor, which adds a trust assumption stated in Section 4.9.</w:t>
      </w:r>
    </w:p>
    <w:p>
      <w:pPr>
        <w:pStyle w:val="BodyText"/>
      </w:pPr>
      <w:r>
        <w:rPr>
          <w:iCs/>
          <w:i/>
        </w:rPr>
        <w:t xml:space="preserve">The auditor’s view.</w:t>
      </w:r>
      <w:r>
        <w:t xml:space="preserve"> </w:t>
      </w:r>
      <w:r>
        <w:t xml:space="preserve">After invalidation, an external auditor examining record</w:t>
      </w:r>
      <w:r>
        <w:t xml:space="preserve"> </w:t>
      </w:r>
      <m:oMath>
        <m:r>
          <m:t>a</m:t>
        </m:r>
      </m:oMath>
      <w:r>
        <w:t xml:space="preserve"> </w:t>
      </w:r>
      <w:r>
        <w:t xml:space="preserve">can establish four things. The access event occurred, with all its accountability attributes, which follows from</w:t>
      </w:r>
      <w:r>
        <w:t xml:space="preserve"> </w:t>
      </w:r>
      <m:oMath>
        <m:r>
          <m:t>m</m:t>
        </m:r>
        <m:d>
          <m:dPr>
            <m:begChr m:val="("/>
            <m:endChr m:val=")"/>
            <m:sepChr m:val=""/>
            <m:grow/>
          </m:dPr>
          <m:e>
            <m:r>
              <m:t>a</m:t>
            </m:r>
          </m:e>
        </m:d>
      </m:oMath>
      <w:r>
        <w:t xml:space="preserve">. A specific payload was bound to that event, which follows from</w:t>
      </w:r>
      <w:r>
        <w:t xml:space="preserve"> </w:t>
      </w:r>
      <m:oMath>
        <m:r>
          <m:t>c</m:t>
        </m:r>
        <m:d>
          <m:dPr>
            <m:begChr m:val="("/>
            <m:endChr m:val=")"/>
            <m:sepChr m:val=""/>
            <m:grow/>
          </m:dPr>
          <m:e>
            <m:r>
              <m:t>a</m:t>
            </m:r>
          </m:e>
        </m:d>
      </m:oMath>
      <w:r>
        <w:t xml:space="preserve">. The payload was invalidated, and the auditor can see when, on what legal ground, and by whom, from</w:t>
      </w:r>
      <w:r>
        <w:t xml:space="preserve"> </w:t>
      </w:r>
      <m:oMath>
        <m:r>
          <m:t>ι</m:t>
        </m:r>
        <m:d>
          <m:dPr>
            <m:begChr m:val="("/>
            <m:endChr m:val=")"/>
            <m:sepChr m:val=""/>
            <m:grow/>
          </m:dPr>
          <m:e>
            <m:r>
              <m:t>a</m:t>
            </m:r>
          </m:e>
        </m:d>
      </m:oMath>
      <w:r>
        <w:t xml:space="preserve">. And the record’s current validity status is as claimed, which follows from the accumulator witness where that layer is used, and otherwise from a scan of the registry. What the auditor cannot do is read the payload. This is the intended state, and it is the difference between this mechanism and the practitioner crypto-shredding pattern reviewed in Chapter 2, Section 2.4: that pattern retains ciphertext and asserts that erasure occurred, whereas this mechanism produces a verifiable record of what was invalidated and under what authority.</w:t>
      </w:r>
    </w:p>
    <w:p>
      <w:pPr>
        <w:pStyle w:val="BodyText"/>
      </w:pPr>
      <w:r>
        <w:rPr>
          <w:iCs/>
          <w:i/>
        </w:rPr>
        <w:t xml:space="preserve">End of life at floor expiry.</w:t>
      </w:r>
      <w:r>
        <w:t xml:space="preserve"> </w:t>
      </w:r>
      <w:r>
        <w:t xml:space="preserve">The constraints of Section 4.4 govern the record’s behaviour through its retention window, but the window ends, and the model would be incomplete if it said nothing about what follows. After</w:t>
      </w:r>
      <w:r>
        <w:t xml:space="preserve"> </w:t>
      </w:r>
      <m:oMath>
        <m:r>
          <m:t>t</m:t>
        </m:r>
        <m:r>
          <m:rPr>
            <m:sty m:val="p"/>
          </m:rPr>
          <m:t>=</m:t>
        </m:r>
        <m:r>
          <m:t>t</m:t>
        </m:r>
        <m:d>
          <m:dPr>
            <m:begChr m:val="("/>
            <m:endChr m:val=")"/>
            <m:sepChr m:val=""/>
            <m:grow/>
          </m:dPr>
          <m:e>
            <m:r>
              <m:t>a</m:t>
            </m:r>
          </m:e>
        </m:d>
        <m:r>
          <m:rPr>
            <m:sty m:val="p"/>
          </m:rPr>
          <m:t>+</m:t>
        </m:r>
        <m:r>
          <m:t>F</m:t>
        </m:r>
        <m:d>
          <m:dPr>
            <m:begChr m:val="("/>
            <m:endChr m:val=")"/>
            <m:sepChr m:val=""/>
            <m:grow/>
          </m:dPr>
          <m:e>
            <m:r>
              <m:t>a</m:t>
            </m:r>
          </m:e>
        </m:d>
      </m:oMath>
      <w:r>
        <w:t xml:space="preserve">, the last month of the closed window on which C1 is defined, the retention obligation lapses, and with it the necessity that justified retaining</w:t>
      </w:r>
      <w:r>
        <w:t xml:space="preserve"> </w:t>
      </w:r>
      <m:oMath>
        <m:r>
          <m:t>m</m:t>
        </m:r>
        <m:d>
          <m:dPr>
            <m:begChr m:val="("/>
            <m:endChr m:val=")"/>
            <m:sepChr m:val=""/>
            <m:grow/>
          </m:dPr>
          <m:e>
            <m:r>
              <m:t>a</m:t>
            </m:r>
          </m:e>
        </m:d>
      </m:oMath>
      <w:r>
        <w:t xml:space="preserve"> </w:t>
      </w:r>
      <w:r>
        <w:t xml:space="preserve">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w:t>
      </w:r>
      <w:r>
        <w:t xml:space="preserve"> </w:t>
      </w:r>
      <m:oMath>
        <m:r>
          <m:t>t</m:t>
        </m:r>
        <m:d>
          <m:dPr>
            <m:begChr m:val="("/>
            <m:endChr m:val=")"/>
            <m:sepChr m:val=""/>
            <m:grow/>
          </m:dPr>
          <m:e>
            <m:r>
              <m:t>a</m:t>
            </m:r>
          </m:e>
        </m:d>
        <m:r>
          <m:rPr>
            <m:sty m:val="p"/>
          </m:rPr>
          <m:t>+</m:t>
        </m:r>
        <m:r>
          <m:t>F</m:t>
        </m:r>
        <m:d>
          <m:dPr>
            <m:begChr m:val="("/>
            <m:endChr m:val=")"/>
            <m:sepChr m:val=""/>
            <m:grow/>
          </m:dPr>
          <m:e>
            <m:r>
              <m:t>a</m:t>
            </m:r>
          </m:e>
        </m:d>
        <m:r>
          <m:rPr>
            <m:sty m:val="p"/>
          </m:rPr>
          <m:t>+</m:t>
        </m:r>
        <m:r>
          <m:t>1</m:t>
        </m:r>
      </m:oMath>
      <w:r>
        <w:t xml:space="preserve">, the record undergoes a second invalidation, in which the identifying fields of</w:t>
      </w:r>
      <w:r>
        <w:t xml:space="preserve"> </w:t>
      </w:r>
      <m:oMath>
        <m:r>
          <m:t>m</m:t>
        </m:r>
        <m:d>
          <m:dPr>
            <m:begChr m:val="("/>
            <m:endChr m:val=")"/>
            <m:sepChr m:val=""/>
            <m:grow/>
          </m:dPr>
          <m:e>
            <m:r>
              <m:t>a</m:t>
            </m:r>
          </m:e>
        </m:d>
      </m:oMath>
      <w:r>
        <w:t xml:space="preserve"> </w:t>
      </w:r>
      <w:r>
        <w:t xml:space="preserve">are destroyed, together with</w:t>
      </w:r>
      <w:r>
        <w:t xml:space="preserve"> </w:t>
      </w:r>
      <m:oMath>
        <m:r>
          <m:t>k</m:t>
        </m:r>
        <m:d>
          <m:dPr>
            <m:begChr m:val="("/>
            <m:endChr m:val=")"/>
            <m:sepChr m:val=""/>
            <m:grow/>
          </m:dPr>
          <m:e>
            <m:r>
              <m:t>a</m:t>
            </m:r>
          </m:e>
        </m:d>
      </m:oMath>
      <w:r>
        <w:t xml:space="preserve">, the salt</w:t>
      </w:r>
      <w:r>
        <w:t xml:space="preserve"> </w:t>
      </w:r>
      <m:oMath>
        <m:r>
          <m:t>r</m:t>
        </m:r>
        <m:d>
          <m:dPr>
            <m:begChr m:val="("/>
            <m:endChr m:val=")"/>
            <m:sepChr m:val=""/>
            <m:grow/>
          </m:dPr>
          <m:e>
            <m:r>
              <m:t>a</m:t>
            </m:r>
          </m:e>
        </m:d>
      </m:oMath>
      <w:r>
        <w:t xml:space="preserve"> </w:t>
      </w:r>
      <w:r>
        <w:t xml:space="preserve">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Section 4.9. Where a longer-running obligation applies to the same record (a national archival duty, or litigation hold) the terminal transition is deferred and the floor parameter</w:t>
      </w:r>
      <w:r>
        <w:t xml:space="preserve"> </w:t>
      </w:r>
      <m:oMath>
        <m:r>
          <m:t>F</m:t>
        </m:r>
        <m:d>
          <m:dPr>
            <m:begChr m:val="("/>
            <m:endChr m:val=")"/>
            <m:sepChr m:val=""/>
            <m:grow/>
          </m:dPr>
          <m:e>
            <m:r>
              <m:t>a</m:t>
            </m:r>
          </m:e>
        </m:d>
      </m:oMath>
      <w:r>
        <w:t xml:space="preserve"> </w:t>
      </w:r>
      <w:r>
        <w:t xml:space="preserve">is set to the longer period, which is the parameterisation the model already supports.</w:t>
      </w:r>
    </w:p>
    <w:p>
      <w:pPr>
        <w:pStyle w:val="BodyText"/>
      </w:pPr>
      <w:r>
        <w:rPr>
          <w:iCs/>
          <w:i/>
        </w:rPr>
        <w:t xml:space="preserve">Applying the mechanism to the two cases.</w:t>
      </w:r>
      <w:r>
        <w:t xml:space="preserve"> </w:t>
      </w:r>
      <w:r>
        <w:t xml:space="preserve">For the cross-border primary-use case, the mechanism operates at the audit repository of the National Contact Point, at the point where the ATNA audit record is written. 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w:t>
      </w:r>
      <w:r>
        <w:t xml:space="preserve"> </w:t>
      </w:r>
      <m:oMath>
        <m:sSub>
          <m:e>
            <m:r>
              <m:t>t</m:t>
            </m:r>
          </m:e>
          <m:sub>
            <m:r>
              <m:t>π</m:t>
            </m:r>
          </m:sub>
        </m:sSub>
        <m:d>
          <m:dPr>
            <m:begChr m:val="("/>
            <m:endChr m:val=")"/>
            <m:sepChr m:val=""/>
            <m:grow/>
          </m:dPr>
          <m:e>
            <m:r>
              <m:t>a</m:t>
            </m:r>
          </m:e>
        </m:d>
        <m:r>
          <m:rPr>
            <m:sty m:val="p"/>
          </m:rPr>
          <m:t>+</m:t>
        </m:r>
        <m:r>
          <m:t>6</m:t>
        </m:r>
      </m:oMath>
      <w:r>
        <w:t xml:space="preserve"> </w:t>
      </w:r>
      <w:r>
        <w:t xml:space="preserve">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w:t>
      </w:r>
      <w:r>
        <w:t xml:space="preserve"> </w:t>
      </w:r>
      <w:r>
        <w:t xml:space="preserve">“</w:t>
      </w:r>
      <w:r>
        <w:t xml:space="preserve">all processing operations</w:t>
      </w:r>
      <w:r>
        <w:t xml:space="preserve">”</w:t>
      </w:r>
      <w:r>
        <w:t xml:space="preserve"> </w:t>
      </w:r>
      <w:r>
        <w:t xml:space="preserve">after the ceiling also needs the subject link is an interpretive question this thesis cannot settle; Chapter 7, Section 7.4 puts it to the supervisory authority.</w:t>
      </w:r>
    </w:p>
    <w:bookmarkEnd w:id="73"/>
    <w:bookmarkStart w:id="74" w:name="residue-analysis"/>
    <w:p>
      <w:pPr>
        <w:pStyle w:val="Heading2"/>
      </w:pPr>
      <w:r>
        <w:t xml:space="preserve">4.9 Residue Analysis</w:t>
      </w:r>
    </w:p>
    <w:p>
      <w:pPr>
        <w:pStyle w:val="FirstParagraph"/>
      </w:pPr>
      <w:r>
        <w:t xml:space="preserve">Theorem 2 leaves a residue:</w:t>
      </w:r>
      <w:r>
        <w:t xml:space="preserve"> </w:t>
      </w:r>
      <m:oMath>
        <m:r>
          <m:t>m</m:t>
        </m:r>
        <m:d>
          <m:dPr>
            <m:begChr m:val="("/>
            <m:endChr m:val=")"/>
            <m:sepChr m:val=""/>
            <m:grow/>
          </m:dPr>
          <m:e>
            <m:r>
              <m:t>a</m:t>
            </m:r>
          </m:e>
        </m:d>
        <m:r>
          <m:rPr>
            <m:sty m:val="p"/>
          </m:rPr>
          <m:t>,</m:t>
        </m:r>
        <m:r>
          <m:t>c</m:t>
        </m:r>
        <m:d>
          <m:dPr>
            <m:begChr m:val="("/>
            <m:endChr m:val=")"/>
            <m:sepChr m:val=""/>
            <m:grow/>
          </m:dPr>
          <m:e>
            <m:r>
              <m:t>a</m:t>
            </m:r>
          </m:e>
        </m:d>
        <m:r>
          <m:rPr>
            <m:sty m:val="p"/>
          </m:rPr>
          <m:t>,</m:t>
        </m:r>
        <m:r>
          <m:t>ι</m:t>
        </m:r>
        <m:d>
          <m:dPr>
            <m:begChr m:val="("/>
            <m:endChr m:val=")"/>
            <m:sepChr m:val=""/>
            <m:grow/>
          </m:dPr>
          <m:e>
            <m:r>
              <m:t>a</m:t>
            </m:r>
          </m:e>
        </m:d>
      </m:oMath>
      <w:r>
        <w:t xml:space="preserve"> </w:t>
      </w:r>
      <w:r>
        <w:t xml:space="preserve">and, where the optional layer is used, the accumulator state. The salt</w:t>
      </w:r>
      <w:r>
        <w:t xml:space="preserve"> </w:t>
      </w:r>
      <m:oMath>
        <m:r>
          <m:t>r</m:t>
        </m:r>
        <m:d>
          <m:dPr>
            <m:begChr m:val="("/>
            <m:endChr m:val=")"/>
            <m:sepChr m:val=""/>
            <m:grow/>
          </m:dPr>
          <m:e>
            <m:r>
              <m:t>a</m:t>
            </m:r>
          </m:e>
        </m:d>
      </m:oMath>
      <w:r>
        <w:t xml:space="preserve">, the key</w:t>
      </w:r>
      <w:r>
        <w:t xml:space="preserve"> </w:t>
      </w:r>
      <m:oMath>
        <m:r>
          <m:t>k</m:t>
        </m:r>
        <m:d>
          <m:dPr>
            <m:begChr m:val="("/>
            <m:endChr m:val=")"/>
            <m:sepChr m:val=""/>
            <m:grow/>
          </m:dPr>
          <m:e>
            <m:r>
              <m:t>a</m:t>
            </m:r>
          </m:e>
        </m:d>
      </m:oMath>
      <w:r>
        <w:t xml:space="preserve"> </w:t>
      </w:r>
      <w:r>
        <w:t xml:space="preserve">and the ciphertext of</w:t>
      </w:r>
      <w:r>
        <w:t xml:space="preserve"> </w:t>
      </w:r>
      <m:oMath>
        <m:r>
          <m:t>p</m:t>
        </m:r>
        <m:d>
          <m:dPr>
            <m:begChr m:val="("/>
            <m:endChr m:val=")"/>
            <m:sepChr m:val=""/>
            <m:grow/>
          </m:dPr>
          <m:e>
            <m:r>
              <m:t>a</m:t>
            </m:r>
          </m:e>
        </m:d>
      </m:oMath>
      <w:r>
        <w:t xml:space="preserve"> </w:t>
      </w:r>
      <w:r>
        <w:t xml:space="preserve">are destroyed at invalidation (Section 4.8). Whether the mechanism is lawful depends on whether this residue sits on the correct side of the threshold at which data cease to be personal. This section performs that analysis, and it is included because Chapter 2 identified its absence as the fourth gap in the literature.</w:t>
      </w:r>
    </w:p>
    <w:p>
      <w:pPr>
        <w:pStyle w:val="BodyText"/>
      </w:pPr>
      <w:r>
        <w:rPr>
          <w:iCs/>
          <w:i/>
        </w:rPr>
        <w:t xml:space="preserve">The threat.</w:t>
      </w:r>
      <w:r>
        <w:t xml:space="preserve"> </w:t>
      </w:r>
      <w:r>
        <w:t xml:space="preserve">Finck’s analysis for the European Parliament establishes that hashed or encrypted data likely remain personal data under GDPR so long as re-identification remains possible (Finck, 2019; Finck, 2018). Applied to this mechanism, the threat is direct: if</w:t>
      </w:r>
      <w:r>
        <w:t xml:space="preserve"> </w:t>
      </w:r>
      <m:oMath>
        <m:r>
          <m:t>c</m:t>
        </m:r>
        <m:d>
          <m:dPr>
            <m:begChr m:val="("/>
            <m:endChr m:val=")"/>
            <m:sepChr m:val=""/>
            <m:grow/>
          </m:dPr>
          <m:e>
            <m:r>
              <m:t>a</m:t>
            </m:r>
          </m:e>
        </m:d>
      </m:oMath>
      <w:r>
        <w:t xml:space="preserve"> </w:t>
      </w:r>
      <w:r>
        <w:t xml:space="preserve">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rPr>
          <w:iCs/>
          <w:i/>
        </w:rPr>
        <w:t xml:space="preserve">The response.</w:t>
      </w:r>
      <w:r>
        <w:t xml:space="preserve"> </w:t>
      </w:r>
      <w:r>
        <w:t xml:space="preserve">This is why the hiding property is a requirement of the design and not an implementation preference. With a per-record salt</w:t>
      </w:r>
      <w:r>
        <w:t xml:space="preserve"> </w:t>
      </w:r>
      <m:oMath>
        <m:r>
          <m:t>r</m:t>
        </m:r>
        <m:d>
          <m:dPr>
            <m:begChr m:val="("/>
            <m:endChr m:val=")"/>
            <m:sepChr m:val=""/>
            <m:grow/>
          </m:dPr>
          <m:e>
            <m:r>
              <m:t>a</m:t>
            </m:r>
          </m:e>
        </m:d>
      </m:oMath>
      <w:r>
        <w:t xml:space="preserve"> </w:t>
      </w:r>
      <w:r>
        <w:t xml:space="preserve">of adequate length, confirming a guessed payload requires the salt; the commitment alone leaks nothing. Because the salt is destroyed with the key, no party can confirm a guessed payload against</w:t>
      </w:r>
      <w:r>
        <w:t xml:space="preserve"> </w:t>
      </w:r>
      <m:oMath>
        <m:r>
          <m:t>c</m:t>
        </m:r>
        <m:d>
          <m:dPr>
            <m:begChr m:val="("/>
            <m:endChr m:val=")"/>
            <m:sepChr m:val=""/>
            <m:grow/>
          </m:dPr>
          <m:e>
            <m:r>
              <m:t>a</m:t>
            </m:r>
          </m:e>
        </m:d>
      </m:oMath>
      <w:r>
        <w:t xml:space="preserve"> </w:t>
      </w:r>
      <w:r>
        <w:t xml:space="preserve">after invalidation unless it kept its own opening beforehand. What has been destroyed is both the ability to</w:t>
      </w:r>
      <w:r>
        <w:t xml:space="preserve"> </w:t>
      </w:r>
      <w:r>
        <w:rPr>
          <w:iCs/>
          <w:i/>
        </w:rPr>
        <w:t xml:space="preserve">recover</w:t>
      </w:r>
      <w:r>
        <w:t xml:space="preserve"> </w:t>
      </w:r>
      <w:r>
        <w:t xml:space="preserve">the payload, which depended on</w:t>
      </w:r>
      <w:r>
        <w:t xml:space="preserve"> </w:t>
      </w:r>
      <m:oMath>
        <m:r>
          <m:t>k</m:t>
        </m:r>
        <m:d>
          <m:dPr>
            <m:begChr m:val="("/>
            <m:endChr m:val=")"/>
            <m:sepChr m:val=""/>
            <m:grow/>
          </m:dPr>
          <m:e>
            <m:r>
              <m:t>a</m:t>
            </m:r>
          </m:e>
        </m:d>
      </m:oMath>
      <w:r>
        <w:t xml:space="preserve">, and the ability to confirm a guess about it from the audit store, which depended on</w:t>
      </w:r>
      <w:r>
        <w:t xml:space="preserve"> </w:t>
      </w:r>
      <m:oMath>
        <m:r>
          <m:t>r</m:t>
        </m:r>
        <m:d>
          <m:dPr>
            <m:begChr m:val="("/>
            <m:endChr m:val=")"/>
            <m:sepChr m:val=""/>
            <m:grow/>
          </m:dPr>
          <m:e>
            <m:r>
              <m:t>a</m:t>
            </m:r>
          </m:e>
        </m:d>
      </m:oMath>
      <w:r>
        <w:t xml:space="preserve">.</w:t>
      </w:r>
    </w:p>
    <w:p>
      <w:pPr>
        <w:pStyle w:val="BodyText"/>
      </w:pPr>
      <w:r>
        <w:rPr>
          <w:iCs/>
          <w:i/>
        </w:rPr>
        <w:t xml:space="preserve">The honest limit.</w:t>
      </w:r>
      <w:r>
        <w:t xml:space="preserve"> </w:t>
      </w:r>
      <w:r>
        <w:t xml:space="preserve">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pPr>
        <w:pStyle w:val="BodyText"/>
      </w:pPr>
      <w:r>
        <w:rPr>
          <w:iCs/>
          <w:i/>
        </w:rPr>
        <w:t xml:space="preserve">Why the mechanism is nonetheless defensible.</w:t>
      </w:r>
      <w:r>
        <w:t xml:space="preserve"> </w:t>
      </w:r>
      <w:r>
        <w:t xml:space="preserve">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Aikebaier’s (2026) systematisation formalises this correspondence, establishing an equivalence proposition between a Destruction-IND security notion and the Board’s unrecoverability criterion.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rPr>
          <w:iCs/>
          <w:i/>
        </w:rPr>
        <w:t xml:space="preserve">The trust assumptions, stated explicitly.</w:t>
      </w:r>
      <w:r>
        <w:t xml:space="preserve"> </w:t>
      </w:r>
      <w:r>
        <w:t xml:space="preserve">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bounded and worth stating precisely.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Chapter 6, Section 6.3 treats as the boundary of this contribution.</w:t>
      </w:r>
    </w:p>
    <w:p>
      <w:pPr>
        <w:pStyle w:val="BodyText"/>
      </w:pPr>
      <w:r>
        <w:rPr>
          <w:iCs/>
          <w:i/>
        </w:rPr>
        <w:t xml:space="preserve">The residual cryptographic risk.</w:t>
      </w:r>
      <w:r>
        <w:t xml:space="preserve"> </w:t>
      </w:r>
      <w:r>
        <w:t xml:space="preserve">Over a ten-year floor, the algorithmic-break horizon is a live concern rather than a formality: anything retained for a decade must be assumed to face cryptanalytic capability that does not exist when it is written. Deleting the ciphertext at invalidation (Section 4.8)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Chapter 6 rather than resolved here.</w:t>
      </w:r>
    </w:p>
    <w:bookmarkEnd w:id="74"/>
    <w:bookmarkStart w:id="75" w:name="rival-designs"/>
    <w:p>
      <w:pPr>
        <w:pStyle w:val="Heading2"/>
      </w:pPr>
      <w:r>
        <w:t xml:space="preserve">4.10 Rival Designs</w:t>
      </w:r>
    </w:p>
    <w:p>
      <w:pPr>
        <w:pStyle w:val="FirstParagraph"/>
      </w:pPr>
      <w:r>
        <w:t xml:space="preserve">A reviewer will propose alternatives. Six are treated here, and each is rejected for a stated reason rather than by assertion.</w:t>
      </w:r>
    </w:p>
    <w:p>
      <w:pPr>
        <w:pStyle w:val="BodyText"/>
      </w:pPr>
      <w:r>
        <w:rPr>
          <w:iCs/>
          <w:i/>
        </w:rPr>
        <w:t xml:space="preserve">Rival 1: Rely on the Article 17(3)(b) exemption and retain in full.</w:t>
      </w:r>
      <w:r>
        <w:t xml:space="preserve"> </w:t>
      </w:r>
      <w:r>
        <w:t xml:space="preserve">This is the dissolution argument answered in Chapter 2, Section 2.3 and Section 4.2 above. It fails on the necessity boundary: the exemption protects retention that the legal obligation requires, and Section 4.2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rPr>
          <w:iCs/>
          <w:i/>
        </w:rPr>
        <w:t xml:space="preserve">Rival 2: Anonymise the audit record instead.</w:t>
      </w:r>
      <w:r>
        <w:t xml:space="preserve"> </w:t>
      </w:r>
      <w:r>
        <w:t xml:space="preserve">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w:t>
      </w:r>
      <w:r>
        <w:t xml:space="preserve"> </w:t>
      </w:r>
      <w:r>
        <w:rPr>
          <w:iCs/>
          <w:i/>
        </w:rPr>
        <w:t xml:space="preserve">identifiable</w:t>
      </w:r>
      <w:r>
        <w:t xml:space="preserve"> </w:t>
      </w:r>
      <w:r>
        <w:t xml:space="preserve">in terms. Anonymisation satisfies C2 and C3 by violating C1.</w:t>
      </w:r>
    </w:p>
    <w:p>
      <w:pPr>
        <w:pStyle w:val="BodyText"/>
      </w:pPr>
      <w:r>
        <w:rPr>
          <w:iCs/>
          <w:i/>
        </w:rPr>
        <w:t xml:space="preserve">Rival 3: Minimise the payload at capture, so that nothing needs erasing.</w:t>
      </w:r>
      <w:r>
        <w:t xml:space="preserve"> </w:t>
      </w:r>
      <w:r>
        <w:t xml:space="preserve">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(Section 4.3).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version of the specification inspected requires logs to identify the actor and states no requirement for patient-level logging (TEHDAS2, 2026). Minimisation does not remove from the scope of Article 17 the payload the standard requires, which is the case Proposition L below shows no relocation or reduction of the log can escape.</w:t>
      </w:r>
    </w:p>
    <w:p>
      <w:pPr>
        <w:pStyle w:val="BodyText"/>
      </w:pPr>
      <w:r>
        <w:rPr>
          <w:iCs/>
          <w:i/>
        </w:rPr>
        <w:t xml:space="preserve">Rival 4: Delete the record and log the deletion.</w:t>
      </w:r>
      <w:r>
        <w:t xml:space="preserve"> </w:t>
      </w:r>
      <w:r>
        <w:t xml:space="preserve">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w:t>
      </w:r>
      <w:r>
        <w:t xml:space="preserve"> </w:t>
      </w:r>
      <w:r>
        <w:rPr>
          <w:iCs/>
          <w:i/>
        </w:rPr>
        <w:t xml:space="preserve">something</w:t>
      </w:r>
      <w:r>
        <w:t xml:space="preserve"> </w:t>
      </w:r>
      <w:r>
        <w:t xml:space="preserve">was deleted but not that the deleted item was the payload bound to that specific access event. The distinction matters in adversarial conditions. A controller who deletes records and logs deletions can conceal the substitution of one record for another; a controller bound to a surviving commitment cannot. The mechanism’s advantage over Rival 4 is precisely the verifiability that Chapter 2 identified as absent from the practitioner crypto-shredding pattern.</w:t>
      </w:r>
    </w:p>
    <w:p>
      <w:pPr>
        <w:pStyle w:val="BodyText"/>
      </w:pPr>
      <w:r>
        <w:rPr>
          <w:iCs/>
          <w:i/>
        </w:rPr>
        <w:t xml:space="preserve">Rival 5: Retain recoverable encrypted copies until the later date.</w:t>
      </w:r>
      <w:r>
        <w:t xml:space="preserve"> </w:t>
      </w:r>
      <w:r>
        <w:t xml:space="preserve">This is the resolution developed in the closest prior art, the DePaul retention-and-purging programme reviewed in Chapter 2, Section 2.4.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Section 4.9 applied in reverse. A copy whose key still exists is recoverable, and recoverable ciphertext held together with the means of decryption remains personal data under the threshold set out in Chapter 2, Section 2.3.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pPr>
      <w:r>
        <w:rPr>
          <w:iCs/>
          <w:i/>
        </w:rPr>
        <w:t xml:space="preserve">Rival 6: Move the logs out of the environment at permit closure.</w:t>
      </w:r>
      <w:r>
        <w:t xml:space="preserve"> </w:t>
      </w:r>
      <w:r>
        <w:t xml:space="preserve">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pPr>
        <w:pStyle w:val="BlockText"/>
      </w:pPr>
      <w:r>
        <w:rPr>
          <w:iCs/>
          <w:i/>
        </w:rPr>
        <w:t xml:space="preserve">Proposition L (location and right).</w:t>
      </w:r>
      <w:r>
        <w:t xml:space="preserve"> </w:t>
      </w:r>
      <w:r>
        <w:t xml:space="preserve">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Theorem 1.</w:t>
      </w:r>
    </w:p>
    <w:p>
      <w:pPr>
        <w:pStyle w:val="FirstParagraph"/>
      </w:pPr>
      <w:r>
        <w:rPr>
          <w:iCs/>
          <w:i/>
        </w:rPr>
        <w:t xml:space="preserve">Proof.</w:t>
      </w:r>
      <w:r>
        <w:t xml:space="preserve"> </w:t>
      </w:r>
      <w:r>
        <w:t xml:space="preserve">The ceiling quantifies over the location: after relocation the record is not in it, so the ceiling holds, and on the rival’s premise the floor is met at the new location. The right quantifies over the controller: Article 17(1) obliges the controller holding the data to erase them, and a controller receiving the record receives the obligation with it. Relocation therefore leaves C1 and C2 as they were, and the argument of Theorem 1 applies unchanged. ∎</w:t>
      </w:r>
    </w:p>
    <w:p>
      <w:pPr>
        <w:pStyle w:val="BodyText"/>
      </w:pPr>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Section 4.7 meets the ceiling without moving anything, and does so with the same mechanism that meets the right.</w:t>
      </w:r>
    </w:p>
    <w:p>
      <w:pPr>
        <w:pStyle w:val="BodyText"/>
      </w:pPr>
      <w:r>
        <w:rPr>
          <w:iCs/>
          <w:i/>
        </w:rPr>
        <w:t xml:space="preserve">The critique that is not a rival.</w:t>
      </w:r>
      <w:r>
        <w:t xml:space="preserve"> </w:t>
      </w:r>
      <w:r>
        <w:t xml:space="preserve">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Chapter 6 engages this critique at length rather than dismissing it.</w:t>
      </w:r>
    </w:p>
    <w:bookmarkEnd w:id="75"/>
    <w:bookmarkStart w:id="76" w:name="X51924fffb4499c77bcb597712556eecab7674b1"/>
    <w:p>
      <w:pPr>
        <w:pStyle w:val="Heading2"/>
      </w:pPr>
      <w:r>
        <w:t xml:space="preserve">4.11 Integration with the Norwegian Infrastructure</w:t>
      </w:r>
    </w:p>
    <w:p>
      <w:pPr>
        <w:pStyle w:val="FirstParagraph"/>
      </w:pPr>
      <w:r>
        <w:t xml:space="preserve">The mechanism is specified against the Norwegian infrastructure as verified in Chapter 2, Section 2.6, not against an idealisation of it.</w:t>
      </w:r>
    </w:p>
    <w:p>
      <w:pPr>
        <w:pStyle w:val="BodyText"/>
      </w:pPr>
      <w:r>
        <w:rPr>
          <w:iCs/>
          <w:i/>
        </w:rPr>
        <w:t xml:space="preserve">Primary use: the National Contact Point.</w:t>
      </w:r>
      <w:r>
        <w:t xml:space="preserve"> </w:t>
      </w:r>
      <w:r>
        <w:t xml:space="preserve">Norway’s NCPeH is in live pilot operation at the Bodø and Stjørdal emergency clinics, receiving patient summaries from Portugal, Czechia, and Finland, with expansion to further emergency clinics requested (Helsedirektoratet, 2026).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rPr>
          <w:iCs/>
          <w:i/>
        </w:rPr>
        <w:t xml:space="preserve">Secondary use: Helsedataservice and the Secure Processing Environments.</w:t>
      </w:r>
      <w:r>
        <w:t xml:space="preserve"> </w:t>
      </w:r>
      <w:r>
        <w:t xml:space="preserve">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w:t>
      </w:r>
    </w:p>
    <w:p>
      <w:pPr>
        <w:pStyle w:val="BodyText"/>
      </w:pPr>
      <w:r>
        <w:rPr>
          <w:iCs/>
          <w:i/>
        </w:rPr>
        <w:t xml:space="preserve">Compatibility with the national criteria.</w:t>
      </w:r>
      <w:r>
        <w:t xml:space="preserve"> </w:t>
      </w:r>
      <w:r>
        <w:t xml:space="preserve">The finalised Norwegian criteria for Secure Processing Environments require an information-security management system as mandatory, recommend ISO 27001 certification, and require eID-based authentication at defined assurance levels (SPUHiN, 2025).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Chapter 2’s third gap.</w:t>
      </w:r>
    </w:p>
    <w:p>
      <w:pPr>
        <w:pStyle w:val="BodyText"/>
      </w:pPr>
      <w:r>
        <w:rPr>
          <w:iCs/>
          <w:i/>
        </w:rPr>
        <w:t xml:space="preserve">Relation to the pending implementing acts.</w:t>
      </w:r>
      <w:r>
        <w:t xml:space="preserve"> </w:t>
      </w:r>
      <w:r>
        <w:t xml:space="preserve">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Chapter 6 treats the implications of this timing for the thesis’s policy relevance.</w:t>
      </w:r>
    </w:p>
    <w:bookmarkEnd w:id="76"/>
    <w:bookmarkStart w:id="77" w:name="summary"/>
    <w:p>
      <w:pPr>
        <w:pStyle w:val="Heading2"/>
      </w:pPr>
      <w:r>
        <w:t xml:space="preserve">4.12 Summary</w:t>
      </w:r>
    </w:p>
    <w:p>
      <w:pPr>
        <w:pStyle w:val="FirstParagraph"/>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the plaintext-verifiability semantics implicit in current practice the system is infeasible, generically so in the cross-border case and, critically, without any erasure request at all in the Secure Processing Environment case,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That trajectory, specified as Crypto-Erasure by Invalidation, retains metadata and a hiding commitment, and destroys the payload key at the earlier of the erasure deadline and the deletion ceiling. It appends the invalidation to the audit trail as a first-class, witnessed event. The salt and the payload ciphertext go with the key. At floor expiry it performs a terminal transition that destroys the identifying metadata, leaving a non-identifiable statistical residue, so that the record’s whole life cycle, not merely its retention window, is accounted for under the storage-limitation principle.</w:t>
      </w:r>
    </w:p>
    <w:p>
      <w:pPr>
        <w:pStyle w:val="BodyText"/>
      </w:pPr>
      <w:r>
        <w:t xml:space="preserve">The mechanism’s residue was analysed rather than assumed: it is pseudonymised rather than anonymous by the strict Norwegian standard, it is defensible under the erasure test the European Data Protection Board has articulated provided the threat model is documented, and its long-horizon cryptographic risk is real and recorded. The limitations bearing on this chapter, the informal proof standard and the conditionality on honest key destruction among them, are those stated canonically in Chapter 3, Section 3.7 and are not restated here. Five rival designs were considered and rejected on stated grounds, and the principal cost objection was acknowledged rather than dismissed. The integration analysis placed the mechanism at the two narrowest points of the Norwegian infrastructure at which it achieves its purpose, requiring nothing of the substrate that the finalised national criteria do not already require.</w:t>
      </w:r>
    </w:p>
    <w:p>
      <w:pPr>
        <w:pStyle w:val="BodyText"/>
      </w:pPr>
      <w:r>
        <w:t xml:space="preserve">Chapter 5 demonstrates both theorems executably, over synthetic records generated as described in Chapter 3.</w:t>
      </w:r>
    </w:p>
    <w:p>
      <w:r>
        <w:pict>
          <v:rect style="width:0;height:1.5pt" o:hralign="center" o:hrstd="t" o:hr="t"/>
        </w:pict>
      </w:r>
    </w:p>
    <w:bookmarkEnd w:id="77"/>
    <w:bookmarkEnd w:id="78"/>
    <w:bookmarkStart w:id="87" w:name="chapter-5.-demonstration"/>
    <w:p>
      <w:pPr>
        <w:pStyle w:val="Heading1"/>
      </w:pPr>
      <w:r>
        <w:t xml:space="preserve">Chapter 5. Demonstration</w:t>
      </w:r>
    </w:p>
    <w:p>
      <w:pPr>
        <w:pStyle w:val="FirstParagraph"/>
      </w:pPr>
      <w:r>
        <w:rPr>
          <w:iCs/>
          <w:i/>
        </w:rPr>
        <w:t xml:space="preserve">Every figure reported in this chapter was produced by the code listed in Appendix A, executed under seed 20260915. No number here was written before the code that produced it was run.</w:t>
      </w:r>
    </w:p>
    <w:p>
      <w:r>
        <w:pict>
          <v:rect style="width:0;height:1.5pt" o:hralign="center" o:hrstd="t" o:hr="t"/>
        </w:pict>
      </w:r>
    </w:p>
    <w:bookmarkStart w:id="79" w:name="purpose-and-claim"/>
    <w:p>
      <w:pPr>
        <w:pStyle w:val="Heading2"/>
      </w:pPr>
      <w:r>
        <w:t xml:space="preserve">5.1 Purpose and Claim</w:t>
      </w:r>
    </w:p>
    <w:p>
      <w:pPr>
        <w:pStyle w:val="FirstParagraph"/>
      </w:pPr>
      <w:r>
        <w:t xml:space="preserve">This chapter discharges Activity 4 of the design science cycle set out in Chapter 3, Section 3.2: demonstration. Its function is narrow and should be stated before the results, so that the results are not read as establishing more than they do.</w:t>
      </w:r>
    </w:p>
    <w:p>
      <w:pPr>
        <w:pStyle w:val="BodyText"/>
      </w:pPr>
      <w:r>
        <w:t xml:space="preserve">The chapter demonstrates that the two theorems of Chapter 4 hold on the instances examined. It does not verify them in the proof-assistant sense, it does not measure performance, and it does not deploy anything. Theorem 1 predicts that under plaintext-verifiability semantics the constraint system fails whenever an erasure deadline or a deletion-ceiling deadline falls inside a record’s retention window. Theorem 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1.2, which is the sharpest result in the thesis: that Secure Processing Environment access-log records become infeasible under plaintext semantics</w:t>
      </w:r>
      <w:r>
        <w:t xml:space="preserve"> </w:t>
      </w:r>
      <w:r>
        <w:rPr>
          <w:iCs/>
          <w:i/>
        </w:rPr>
        <w:t xml:space="preserve">without any erasure request at all</w:t>
      </w:r>
      <w:r>
        <w:t xml:space="preserve">, through the collision of the Article 73(1)(e) one-year retention floor with the Article 68(12) six-month deletion ceiling. If the demonstration produces no witnesses of this kind, the corollary is in trouble. It produces thirty-nine.</w:t>
      </w:r>
    </w:p>
    <w:bookmarkEnd w:id="79"/>
    <w:bookmarkStart w:id="80" w:name="implementation"/>
    <w:p>
      <w:pPr>
        <w:pStyle w:val="Heading2"/>
      </w:pPr>
      <w:r>
        <w:t xml:space="preserve">5.2 Implementation</w:t>
      </w:r>
    </w:p>
    <w:p>
      <w:pPr>
        <w:pStyle w:val="FirstParagraph"/>
      </w:pPr>
      <w:r>
        <w:t xml:space="preserve">The checker is a single Python module of 363 lines including documentation and the independent cross-check, of which 276 are non-blank, non-comment lines and the constraint-evaluation logic proper occupies approximately ninety. It depends only on the Python standard library:</w:t>
      </w:r>
      <w:r>
        <w:t xml:space="preserve"> </w:t>
      </w:r>
      <w:r>
        <w:rPr>
          <w:rStyle w:val="VerbatimChar"/>
        </w:rPr>
        <w:t xml:space="preserve">hashlib</w:t>
      </w:r>
      <w:r>
        <w:t xml:space="preserve"> </w:t>
      </w:r>
      <w:r>
        <w:t xml:space="preserve">for commitments,</w:t>
      </w:r>
      <w:r>
        <w:t xml:space="preserve"> </w:t>
      </w:r>
      <w:r>
        <w:rPr>
          <w:rStyle w:val="VerbatimChar"/>
        </w:rPr>
        <w:t xml:space="preserve">random</w:t>
      </w:r>
      <w:r>
        <w:t xml:space="preserve"> </w:t>
      </w:r>
      <w:r>
        <w:t xml:space="preserve">for seeded generation, and</w:t>
      </w:r>
      <w:r>
        <w:t xml:space="preserve"> </w:t>
      </w:r>
      <w:r>
        <w:rPr>
          <w:rStyle w:val="VerbatimChar"/>
        </w:rPr>
        <w:t xml:space="preserve">itertools</w:t>
      </w:r>
      <w:r>
        <w:t xml:space="preserve"> </w:t>
      </w:r>
      <w:r>
        <w:t xml:space="preserve">for the exhaustive cross-check. No cryptographic library, no solver, and no zero-knowledge proof system is used, consistent with the scope commitments of Chapter 1, Section 1.5.</w:t>
      </w:r>
    </w:p>
    <w:p>
      <w:pPr>
        <w:pStyle w:val="BodyText"/>
      </w:pPr>
      <w:r>
        <w:t xml:space="preserve">Four further modules accompany it, none of which alters anything the checker reports. Their line counts, and the full source of each, are given in Appendix A.</w:t>
      </w:r>
    </w:p>
    <w:p>
      <w:pPr>
        <w:pStyle w:val="BodyText"/>
      </w:pPr>
      <w:r>
        <w:rPr>
          <w:iCs/>
          <w:i/>
        </w:rPr>
        <w:t xml:space="preserve">Table 5.0a. The artefact as published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Lines</w:t>
            </w:r>
          </w:p>
        </w:tc>
        <w:tc>
          <w:tcPr/>
          <w:p>
            <w:pPr>
              <w:pStyle w:val="Compact"/>
              <w:jc w:val="left"/>
            </w:pPr>
            <w:r>
              <w:t xml:space="preserve">What it does</w:t>
            </w:r>
          </w:p>
        </w:tc>
        <w:tc>
          <w:tcPr/>
          <w:p>
            <w:pPr>
              <w:pStyle w:val="Compact"/>
              <w:jc w:val="left"/>
            </w:pPr>
            <w:r>
              <w:t xml:space="preserve">Reports a thesis figure?</w:t>
            </w:r>
          </w:p>
        </w:tc>
      </w:tr>
      <w:tr>
        <w:tc>
          <w:tcPr/>
          <w:p>
            <w:pPr>
              <w:pStyle w:val="Compact"/>
              <w:jc w:val="left"/>
            </w:pPr>
            <w:r>
              <w:rPr>
                <w:rStyle w:val="VerbatimChar"/>
              </w:rPr>
              <w:t xml:space="preserve">trf_checker.py</w:t>
            </w:r>
          </w:p>
        </w:tc>
        <w:tc>
          <w:tcPr/>
          <w:p>
            <w:pPr>
              <w:pStyle w:val="Compact"/>
              <w:jc w:val="left"/>
            </w:pPr>
            <w:r>
              <w:t xml:space="preserve">363</w:t>
            </w:r>
          </w:p>
        </w:tc>
        <w:tc>
          <w:tcPr/>
          <w:p>
            <w:pPr>
              <w:pStyle w:val="Compact"/>
              <w:jc w:val="left"/>
            </w:pPr>
            <w:r>
              <w:t xml:space="preserve">Constraint evaluation under both semantics, plus the independent exhaustive cross-check</w:t>
            </w:r>
          </w:p>
        </w:tc>
        <w:tc>
          <w:tcPr/>
          <w:p>
            <w:pPr>
              <w:pStyle w:val="Compact"/>
              <w:jc w:val="left"/>
            </w:pPr>
            <w:r>
              <w:t xml:space="preserve">Yes — Tables 5.1, 5.2a, 5.3</w:t>
            </w:r>
          </w:p>
        </w:tc>
      </w:tr>
      <w:tr>
        <w:tc>
          <w:tcPr/>
          <w:p>
            <w:pPr>
              <w:pStyle w:val="Compact"/>
              <w:jc w:val="left"/>
            </w:pPr>
            <w:r>
              <w:rPr>
                <w:rStyle w:val="VerbatimChar"/>
              </w:rPr>
              <w:t xml:space="preserve">synthea_layer.py</w:t>
            </w:r>
          </w:p>
        </w:tc>
        <w:tc>
          <w:tcPr/>
          <w:p>
            <w:pPr>
              <w:pStyle w:val="Compact"/>
              <w:jc w:val="left"/>
            </w:pPr>
            <w:r>
              <w:t xml:space="preserve">152</w:t>
            </w:r>
          </w:p>
        </w:tc>
        <w:tc>
          <w:tcPr/>
          <w:p>
            <w:pPr>
              <w:pStyle w:val="Compact"/>
              <w:jc w:val="left"/>
            </w:pPr>
            <w:r>
              <w:t xml:space="preserve">Substitutes real FHIR R4 payloads and compares every figure against the constructed-payload run</w:t>
            </w:r>
          </w:p>
        </w:tc>
        <w:tc>
          <w:tcPr/>
          <w:p>
            <w:pPr>
              <w:pStyle w:val="Compact"/>
              <w:jc w:val="left"/>
            </w:pPr>
            <w:r>
              <w:t xml:space="preserve">Yes — Table 5.4</w:t>
            </w:r>
          </w:p>
        </w:tc>
      </w:tr>
      <w:tr>
        <w:tc>
          <w:tcPr/>
          <w:p>
            <w:pPr>
              <w:pStyle w:val="Compact"/>
              <w:jc w:val="left"/>
            </w:pPr>
            <w:r>
              <w:rPr>
                <w:rStyle w:val="VerbatimChar"/>
              </w:rPr>
              <w:t xml:space="preserve">norwegian_layer.py</w:t>
            </w:r>
          </w:p>
        </w:tc>
        <w:tc>
          <w:tcPr/>
          <w:p>
            <w:pPr>
              <w:pStyle w:val="Compact"/>
              <w:jc w:val="left"/>
            </w:pPr>
            <w:r>
              <w:t xml:space="preserve">135</w:t>
            </w:r>
          </w:p>
        </w:tc>
        <w:tc>
          <w:tcPr/>
          <w:p>
            <w:pPr>
              <w:pStyle w:val="Compact"/>
              <w:jc w:val="left"/>
            </w:pPr>
            <w:r>
              <w:t xml:space="preserve">Three Norwegian record classes, varying only the floor, the pathway and the arrival of requests</w:t>
            </w:r>
          </w:p>
        </w:tc>
        <w:tc>
          <w:tcPr/>
          <w:p>
            <w:pPr>
              <w:pStyle w:val="Compact"/>
              <w:jc w:val="left"/>
            </w:pPr>
            <w:r>
              <w:t xml:space="preserve">No</w:t>
            </w:r>
          </w:p>
        </w:tc>
      </w:tr>
      <w:tr>
        <w:tc>
          <w:tcPr/>
          <w:p>
            <w:pPr>
              <w:pStyle w:val="Compact"/>
              <w:jc w:val="left"/>
            </w:pPr>
            <w:r>
              <w:rPr>
                <w:rStyle w:val="VerbatimChar"/>
              </w:rPr>
              <w:t xml:space="preserve">cross_sector_check.py</w:t>
            </w:r>
          </w:p>
        </w:tc>
        <w:tc>
          <w:tcPr/>
          <w:p>
            <w:pPr>
              <w:pStyle w:val="Compact"/>
              <w:jc w:val="left"/>
            </w:pPr>
            <w:r>
              <w:t xml:space="preserve">110</w:t>
            </w:r>
          </w:p>
        </w:tc>
        <w:tc>
          <w:tcPr/>
          <w:p>
            <w:pPr>
              <w:pStyle w:val="Compact"/>
              <w:jc w:val="left"/>
            </w:pPr>
            <w:r>
              <w:t xml:space="preserve">The politiregisterloven § 17 instance discussed in Chapter 6, Section 6.9</w:t>
            </w:r>
          </w:p>
        </w:tc>
        <w:tc>
          <w:tcPr/>
          <w:p>
            <w:pPr>
              <w:pStyle w:val="Compact"/>
              <w:jc w:val="left"/>
            </w:pPr>
            <w:r>
              <w:t xml:space="preserve">No</w:t>
            </w:r>
          </w:p>
        </w:tc>
      </w:tr>
      <w:tr>
        <w:tc>
          <w:tcPr/>
          <w:p>
            <w:pPr>
              <w:pStyle w:val="Compact"/>
              <w:jc w:val="left"/>
            </w:pPr>
            <w:r>
              <w:rPr>
                <w:rStyle w:val="VerbatimChar"/>
              </w:rPr>
              <w:t xml:space="preserve">app.py</w:t>
            </w:r>
          </w:p>
        </w:tc>
        <w:tc>
          <w:tcPr/>
          <w:p>
            <w:pPr>
              <w:pStyle w:val="Compact"/>
              <w:jc w:val="left"/>
            </w:pPr>
            <w:r>
              <w:t xml:space="preserve">526</w:t>
            </w:r>
          </w:p>
        </w:tc>
        <w:tc>
          <w:tcPr/>
          <w:p>
            <w:pPr>
              <w:pStyle w:val="Compact"/>
              <w:jc w:val="left"/>
            </w:pPr>
            <w:r>
              <w:t xml:space="preserve">Five-tab viewer over the artefact; never a source of results</w:t>
            </w:r>
          </w:p>
        </w:tc>
        <w:tc>
          <w:tcPr/>
          <w:p>
            <w:pPr>
              <w:pStyle w:val="Compact"/>
              <w:jc w:val="left"/>
            </w:pPr>
            <w:r>
              <w:t xml:space="preserve">No</w:t>
            </w:r>
          </w:p>
        </w:tc>
      </w:tr>
    </w:tbl>
    <w:p>
      <w:pPr>
        <w:pStyle w:val="BodyText"/>
      </w:pPr>
      <w:r>
        <w:t xml:space="preserve">Every command has a recorded console run committed beside it in the repository, one per command, so that a reader who executes a command and diffs the output against its recorded file can distinguish a changed file from a changed result. That distinction matters: if a figure in this chapter ever disagrees with the artefact, the question is which of the two moved, and the recorded runs answer it. The eight Synthea bundles the realism layer reads are committed with the code, so no regeneration is required to reproduce Table 5.4.</w:t>
      </w:r>
    </w:p>
    <w:p>
      <w:pPr>
        <w:pStyle w:val="BodyText"/>
      </w:pPr>
      <w:r>
        <w:t xml:space="preserve">Records are represented exactly as the model specifies. Each carries metadata</w:t>
      </w:r>
      <w:r>
        <w:t xml:space="preserve"> </w:t>
      </w:r>
      <w:r>
        <w:rPr>
          <w:rStyle w:val="VerbatimChar"/>
        </w:rPr>
        <w:t xml:space="preserve">m</w:t>
      </w:r>
      <w:r>
        <w:t xml:space="preserve"> </w:t>
      </w:r>
      <w:r>
        <w:t xml:space="preserve">containing the actor identifier, the national contact point, the patient pseudonym, the document category, the legal basis, and the outcome; a payload; a hiding commitment</w:t>
      </w:r>
      <w:r>
        <w:t xml:space="preserve"> </w:t>
      </w:r>
      <w:r>
        <w:rPr>
          <w:rStyle w:val="VerbatimChar"/>
        </w:rPr>
        <w:t xml:space="preserve">c = SHA-256(salt ‖ payload)</w:t>
      </w:r>
      <w:r>
        <w:t xml:space="preserve"> </w:t>
      </w:r>
      <w:r>
        <w:t xml:space="preserve">with a per-record sixteen-byte salt; a payload key</w:t>
      </w:r>
      <w:r>
        <w:t xml:space="preserve"> </w:t>
      </w:r>
      <w:r>
        <w:rPr>
          <w:rStyle w:val="VerbatimChar"/>
        </w:rPr>
        <w:t xml:space="preserve">k</w:t>
      </w:r>
      <w:r>
        <w:t xml:space="preserve">; a creation month</w:t>
      </w:r>
      <w:r>
        <w:t xml:space="preserve"> </w:t>
      </w:r>
      <w:r>
        <w:rPr>
          <w:rStyle w:val="VerbatimChar"/>
        </w:rPr>
        <w:t xml:space="preserve">t_a</w:t>
      </w:r>
      <w:r>
        <w:t xml:space="preserve">; a floor parameter</w:t>
      </w:r>
      <w:r>
        <w:t xml:space="preserve"> </w:t>
      </w:r>
      <w:r>
        <w:rPr>
          <w:rStyle w:val="VerbatimChar"/>
        </w:rPr>
        <w:t xml:space="preserve">F</w:t>
      </w:r>
      <w:r>
        <w:t xml:space="preserve">; and a pathway marker. Key destruction is modelled as irreversible removal of the key reference from the record’s state, 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Chapter 4 absorbed into one parameterised constraint:</w:t>
      </w:r>
    </w:p>
    <w:p>
      <w:pPr>
        <w:numPr>
          <w:ilvl w:val="0"/>
          <w:numId w:val="1005"/>
        </w:numPr>
        <w:pStyle w:val="Compact"/>
      </w:pPr>
      <w:r>
        <w:rPr>
          <w:iCs/>
          <w:i/>
        </w:rPr>
        <w:t xml:space="preserve">Cross-border audit records</w:t>
      </w:r>
      <w:r>
        <w:t xml:space="preserve">,</w:t>
      </w:r>
      <w:r>
        <w:t xml:space="preserve"> </w:t>
      </w:r>
      <w:r>
        <w:rPr>
          <w:rStyle w:val="VerbatimChar"/>
        </w:rPr>
        <w:t xml:space="preserve">F = 120</w:t>
      </w:r>
      <w:r>
        <w:t xml:space="preserve"> </w:t>
      </w:r>
      <w:r>
        <w:t xml:space="preserve">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w:t>
      </w:r>
    </w:p>
    <w:p>
      <w:pPr>
        <w:numPr>
          <w:ilvl w:val="0"/>
          <w:numId w:val="1005"/>
        </w:numPr>
        <w:pStyle w:val="Compact"/>
      </w:pPr>
      <w:r>
        <w:rPr>
          <w:iCs/>
          <w:i/>
        </w:rPr>
        <w:t xml:space="preserve">Secure Processing Environment access-log records</w:t>
      </w:r>
      <w:r>
        <w:t xml:space="preserve">,</w:t>
      </w:r>
      <w:r>
        <w:t xml:space="preserve"> </w:t>
      </w:r>
      <w:r>
        <w:rPr>
          <w:rStyle w:val="VerbatimChar"/>
        </w:rPr>
        <w:t xml:space="preserve">F = 12</w:t>
      </w:r>
      <w:r>
        <w:t xml:space="preserve"> </w:t>
      </w:r>
      <w:r>
        <w:t xml:space="preserve">months, secondary pathway. Each carries a permit expiry at a uniformly distributed one to twelve months after creation. Erasure requests arrive with probability 0.25.</w:t>
      </w:r>
    </w:p>
    <w:p>
      <w:pPr>
        <w:pStyle w:val="FirstParagraph"/>
      </w:pPr>
      <w:r>
        <w:t xml:space="preserve">One hundred records of each class are generated, matching the population scale fixed in Chapter 3, Section 3.5. Seed 20260915 is fixed and reported; the run is deterministic and reproduces identically.</w:t>
      </w:r>
    </w:p>
    <w:p>
      <w:pPr>
        <w:pStyle w:val="BodyText"/>
      </w:pPr>
      <w:r>
        <w:rPr>
          <w:iCs/>
          <w:i/>
        </w:rPr>
        <w:t xml:space="preserve">Table 5.0. Generation parameters (complete)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Cross-border audit</w:t>
            </w:r>
          </w:p>
        </w:tc>
        <w:tc>
          <w:tcPr/>
          <w:p>
            <w:pPr>
              <w:pStyle w:val="Compact"/>
              <w:jc w:val="left"/>
            </w:pPr>
            <w:r>
              <w:t xml:space="preserve">SPE access log</w:t>
            </w:r>
          </w:p>
        </w:tc>
      </w:tr>
      <w:tr>
        <w:tc>
          <w:tcPr/>
          <w:p>
            <w:pPr>
              <w:pStyle w:val="Compact"/>
              <w:jc w:val="left"/>
            </w:pPr>
            <w:r>
              <w:t xml:space="preserve">Records generated</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Retention floor</w:t>
            </w:r>
            <w:r>
              <w:t xml:space="preserve"> </w:t>
            </w:r>
            <w:r>
              <w:rPr>
                <w:iCs/>
                <w:i/>
              </w:rPr>
              <w:t xml:space="preserve">F</w:t>
            </w:r>
          </w:p>
        </w:tc>
        <w:tc>
          <w:tcPr/>
          <w:p>
            <w:pPr>
              <w:pStyle w:val="Compact"/>
              <w:jc w:val="left"/>
            </w:pPr>
            <w:r>
              <w:t xml:space="preserve">120 months (eHDSI baseline)</w:t>
            </w:r>
          </w:p>
        </w:tc>
        <w:tc>
          <w:tcPr/>
          <w:p>
            <w:pPr>
              <w:pStyle w:val="Compact"/>
              <w:jc w:val="left"/>
            </w:pPr>
            <w:r>
              <w:t xml:space="preserve">12 months (Art 73(1)(e))</w:t>
            </w:r>
          </w:p>
        </w:tc>
      </w:tr>
      <w:tr>
        <w:tc>
          <w:tcPr/>
          <w:p>
            <w:pPr>
              <w:pStyle w:val="Compact"/>
              <w:jc w:val="left"/>
            </w:pPr>
            <w:r>
              <w:t xml:space="preserve">Pathway</w:t>
            </w:r>
            <w:r>
              <w:t xml:space="preserve"> </w:t>
            </w:r>
            <m:oMath>
              <m:r>
                <m:t>σ</m:t>
              </m:r>
            </m:oMath>
          </w:p>
        </w:tc>
        <w:tc>
          <w:tcPr/>
          <w:p>
            <w:pPr>
              <w:pStyle w:val="Compact"/>
              <w:jc w:val="left"/>
            </w:pPr>
            <w:r>
              <w:t xml:space="preserve">primary</w:t>
            </w:r>
          </w:p>
        </w:tc>
        <w:tc>
          <w:tcPr/>
          <w:p>
            <w:pPr>
              <w:pStyle w:val="Compact"/>
              <w:jc w:val="left"/>
            </w:pPr>
            <w:r>
              <w:t xml:space="preserve">secondary</w:t>
            </w:r>
          </w:p>
        </w:tc>
      </w:tr>
      <w:tr>
        <w:tc>
          <w:tcPr/>
          <w:p>
            <w:pPr>
              <w:pStyle w:val="Compact"/>
              <w:jc w:val="left"/>
            </w:pPr>
            <w:r>
              <w:t xml:space="preserve">Creation month</w:t>
            </w:r>
            <w:r>
              <w:t xml:space="preserve"> </w:t>
            </w:r>
            <w:r>
              <w:rPr>
                <w:iCs/>
                <w:i/>
              </w:rPr>
              <w:t xml:space="preserve">t_a</w:t>
            </w:r>
          </w:p>
        </w:tc>
        <w:tc>
          <w:tcPr/>
          <w:p>
            <w:pPr>
              <w:pStyle w:val="Compact"/>
              <w:jc w:val="left"/>
            </w:pPr>
            <w:r>
              <w:t xml:space="preserve">uniform [0, 11]</w:t>
            </w:r>
          </w:p>
        </w:tc>
        <w:tc>
          <w:tcPr/>
          <w:p>
            <w:pPr>
              <w:pStyle w:val="Compact"/>
              <w:jc w:val="left"/>
            </w:pPr>
            <w:r>
              <w:t xml:space="preserve">uniform [0, 11]</w:t>
            </w:r>
          </w:p>
        </w:tc>
      </w:tr>
      <w:tr>
        <w:tc>
          <w:tcPr/>
          <w:p>
            <w:pPr>
              <w:pStyle w:val="Compact"/>
              <w:jc w:val="left"/>
            </w:pPr>
            <w:r>
              <w:t xml:space="preserve">Erasure-request probability</w:t>
            </w:r>
          </w:p>
        </w:tc>
        <w:tc>
          <w:tcPr/>
          <w:p>
            <w:pPr>
              <w:pStyle w:val="Compact"/>
              <w:jc w:val="left"/>
            </w:pPr>
            <w:r>
              <w:t xml:space="preserve">0.40</w:t>
            </w:r>
          </w:p>
        </w:tc>
        <w:tc>
          <w:tcPr/>
          <w:p>
            <w:pPr>
              <w:pStyle w:val="Compact"/>
              <w:jc w:val="left"/>
            </w:pPr>
            <w:r>
              <w:t xml:space="preserve">0.25</w:t>
            </w:r>
          </w:p>
        </w:tc>
      </w:tr>
      <w:tr>
        <w:tc>
          <w:tcPr/>
          <w:p>
            <w:pPr>
              <w:pStyle w:val="Compact"/>
              <w:jc w:val="left"/>
            </w:pPr>
            <w:r>
              <w:t xml:space="preserve">Erasure offset from</w:t>
            </w:r>
            <w:r>
              <w:t xml:space="preserve"> </w:t>
            </w:r>
            <w:r>
              <w:rPr>
                <w:iCs/>
                <w:i/>
              </w:rPr>
              <w:t xml:space="preserve">t_a</w:t>
            </w:r>
          </w:p>
        </w:tc>
        <w:tc>
          <w:tcPr/>
          <w:p>
            <w:pPr>
              <w:pStyle w:val="Compact"/>
              <w:jc w:val="left"/>
            </w:pPr>
            <w:r>
              <w:t xml:space="preserve">uniform [1, 130] months</w:t>
            </w:r>
          </w:p>
        </w:tc>
        <w:tc>
          <w:tcPr/>
          <w:p>
            <w:pPr>
              <w:pStyle w:val="Compact"/>
              <w:jc w:val="left"/>
            </w:pPr>
            <w:r>
              <w:t xml:space="preserve">uniform [1, 18] months</w:t>
            </w:r>
          </w:p>
        </w:tc>
      </w:tr>
      <w:tr>
        <w:tc>
          <w:tcPr/>
          <w:p>
            <w:pPr>
              <w:pStyle w:val="Compact"/>
              <w:jc w:val="left"/>
            </w:pPr>
            <w:r>
              <w:t xml:space="preserve">Permit expiry</w:t>
            </w:r>
            <w:r>
              <w:t xml:space="preserve"> </w:t>
            </w:r>
            <w:r>
              <w:rPr>
                <w:iCs/>
                <w:i/>
              </w:rPr>
              <w:t xml:space="preserve">t_π</w:t>
            </w:r>
          </w:p>
        </w:tc>
        <w:tc>
          <w:tcPr/>
          <w:p>
            <w:pPr>
              <w:pStyle w:val="Compact"/>
              <w:jc w:val="left"/>
            </w:pPr>
            <w:r>
              <w:t xml:space="preserve">not applicable</w:t>
            </w:r>
          </w:p>
        </w:tc>
        <w:tc>
          <w:tcPr/>
          <w:p>
            <w:pPr>
              <w:pStyle w:val="Compact"/>
              <w:jc w:val="left"/>
            </w:pPr>
            <w:r>
              <w:rPr>
                <w:iCs/>
                <w:i/>
              </w:rPr>
              <w:t xml:space="preserve">t_a</w:t>
            </w:r>
            <w:r>
              <w:t xml:space="preserve"> </w:t>
            </w:r>
            <w:r>
              <w:t xml:space="preserve">+ uniform [1, 12] months</w:t>
            </w:r>
          </w:p>
        </w:tc>
      </w:tr>
      <w:tr>
        <w:tc>
          <w:tcPr/>
          <w:p>
            <w:pPr>
              <w:pStyle w:val="Compact"/>
              <w:jc w:val="left"/>
            </w:pPr>
            <w:r>
              <w:t xml:space="preserve">Response period</w:t>
            </w:r>
            <w:r>
              <w:t xml:space="preserve"> </w:t>
            </w:r>
            <m:oMath>
              <m:r>
                <m:t>δ</m:t>
              </m:r>
            </m:oMath>
          </w:p>
        </w:tc>
        <w:tc>
          <w:tcPr/>
          <w:p>
            <w:pPr>
              <w:pStyle w:val="Compact"/>
              <w:jc w:val="left"/>
            </w:pPr>
            <w:r>
              <w:t xml:space="preserve">1 month (GDPR Art 12(3))</w:t>
            </w:r>
          </w:p>
        </w:tc>
        <w:tc>
          <w:tcPr/>
          <w:p>
            <w:pPr>
              <w:pStyle w:val="Compact"/>
              <w:jc w:val="left"/>
            </w:pPr>
            <w:r>
              <w:t xml:space="preserve">1 month</w:t>
            </w:r>
          </w:p>
        </w:tc>
      </w:tr>
      <w:tr>
        <w:tc>
          <w:tcPr/>
          <w:p>
            <w:pPr>
              <w:pStyle w:val="Compact"/>
              <w:jc w:val="left"/>
            </w:pPr>
            <w:r>
              <w:t xml:space="preserve">Deletion ceiling</w:t>
            </w:r>
          </w:p>
        </w:tc>
        <w:tc>
          <w:tcPr/>
          <w:p>
            <w:pPr>
              <w:pStyle w:val="Compact"/>
              <w:jc w:val="left"/>
            </w:pPr>
            <w:r>
              <w:t xml:space="preserve">not applicable</w:t>
            </w:r>
          </w:p>
        </w:tc>
        <w:tc>
          <w:tcPr/>
          <w:p>
            <w:pPr>
              <w:pStyle w:val="Compact"/>
              <w:jc w:val="left"/>
            </w:pPr>
            <w:r>
              <w:t xml:space="preserve">6 months (Art 68(12))</w:t>
            </w:r>
          </w:p>
        </w:tc>
      </w:tr>
    </w:tbl>
    <w:p>
      <w:pPr>
        <w:pStyle w:val="BodyText"/>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w:t>
      </w:r>
      <w:r>
        <w:t xml:space="preserve"> </w:t>
      </w:r>
      <w:r>
        <w:rPr>
          <w:rStyle w:val="VerbatimChar"/>
        </w:rPr>
        <w:t xml:space="preserve">java -jar synthea.jar -s 20260915 -cs 20260915 -p 100</w:t>
      </w:r>
      <w:r>
        <w:t xml:space="preserve"> </w:t>
      </w:r>
      <w:r>
        <w:t xml:space="preserve">and yielding 98 usable bundles. The generator was run with</w:t>
      </w:r>
      <w:r>
        <w:t xml:space="preserve"> </w:t>
      </w:r>
      <w:r>
        <w:rPr>
          <w:rStyle w:val="VerbatimChar"/>
        </w:rPr>
        <w:t xml:space="preserve">--generate.only_alive_patients=true</w:t>
      </w:r>
      <w:r>
        <w:t xml:space="preserv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against 35 bytes for the constructed strings used during development. Section 5.7 reports the comparison between the two.</w:t>
      </w:r>
    </w:p>
    <w:bookmarkEnd w:id="80"/>
    <w:bookmarkStart w:id="81" w:name="results-under-semantics-i"/>
    <w:p>
      <w:pPr>
        <w:pStyle w:val="Heading2"/>
      </w:pPr>
      <w:r>
        <w:t xml:space="preserve">5.3 Results under Semantics I</w:t>
      </w:r>
    </w:p>
    <w:p>
      <w:pPr>
        <w:pStyle w:val="FirstParagraph"/>
      </w:pPr>
      <w:r>
        <w:t xml:space="preserve">Under plaintext-verifiability semantics,</w:t>
      </w:r>
      <w:r>
        <w:t xml:space="preserve"> </w:t>
      </w:r>
      <m:oMath>
        <m:r>
          <m:t>V</m:t>
        </m:r>
        <m:d>
          <m:dPr>
            <m:begChr m:val="("/>
            <m:endChr m:val=")"/>
            <m:sepChr m:val=""/>
            <m:grow/>
          </m:dPr>
          <m:e>
            <m:r>
              <m:t>a</m:t>
            </m:r>
            <m:r>
              <m:rPr>
                <m:sty m:val="p"/>
              </m:rPr>
              <m:t>,</m:t>
            </m:r>
            <m:r>
              <m:t>t</m:t>
            </m:r>
          </m:e>
        </m:d>
        <m:r>
          <m:rPr>
            <m:sty m:val="p"/>
          </m:rPr>
          <m:t>=</m:t>
        </m:r>
        <m:r>
          <m:t>α</m:t>
        </m:r>
        <m:d>
          <m:dPr>
            <m:begChr m:val="("/>
            <m:endChr m:val=")"/>
            <m:sepChr m:val=""/>
            <m:grow/>
          </m:dPr>
          <m:e>
            <m:r>
              <m:t>a</m:t>
            </m:r>
            <m:r>
              <m:rPr>
                <m:sty m:val="p"/>
              </m:rPr>
              <m:t>,</m:t>
            </m:r>
            <m:r>
              <m:t>t</m:t>
            </m:r>
          </m:e>
        </m:d>
      </m:oMath>
      <w:r>
        <w:t xml:space="preserve">, so constraint C1 requires the payload to remain accessible throughout the retention window while C2 and C3 require it to become inaccessible from their respective deadlines. The checker reports every month at which both are required at once.</w:t>
      </w:r>
    </w:p>
    <w:p>
      <w:pPr>
        <w:pStyle w:val="BodyText"/>
      </w:pPr>
      <w:r>
        <w:rPr>
          <w:iCs/>
          <w:i/>
        </w:rPr>
        <w:t xml:space="preserve">Table 5.1. Violations under Semantics I (seed 20260915, n = 200)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Record class</w:t>
            </w:r>
          </w:p>
        </w:tc>
        <w:tc>
          <w:tcPr/>
          <w:p>
            <w:pPr>
              <w:pStyle w:val="Compact"/>
              <w:jc w:val="left"/>
            </w:pPr>
            <w:r>
              <w:t xml:space="preserve">Records</w:t>
            </w:r>
          </w:p>
        </w:tc>
        <w:tc>
          <w:tcPr/>
          <w:p>
            <w:pPr>
              <w:pStyle w:val="Compact"/>
              <w:jc w:val="left"/>
            </w:pPr>
            <w:r>
              <w:t xml:space="preserve">With ≥1 violation</w:t>
            </w:r>
          </w:p>
        </w:tc>
        <w:tc>
          <w:tcPr/>
          <w:p>
            <w:pPr>
              <w:pStyle w:val="Compact"/>
              <w:jc w:val="left"/>
            </w:pPr>
            <w:r>
              <w:t xml:space="preserve">Share</w:t>
            </w:r>
          </w:p>
        </w:tc>
      </w:tr>
      <w:tr>
        <w:tc>
          <w:tcPr/>
          <w:p>
            <w:pPr>
              <w:pStyle w:val="Compact"/>
              <w:jc w:val="left"/>
            </w:pPr>
            <w:r>
              <w:t xml:space="preserve">Cross-border audit (F = 120)</w:t>
            </w:r>
          </w:p>
        </w:tc>
        <w:tc>
          <w:tcPr/>
          <w:p>
            <w:pPr>
              <w:pStyle w:val="Compact"/>
              <w:jc w:val="left"/>
            </w:pPr>
            <w:r>
              <w:t xml:space="preserve">100</w:t>
            </w:r>
          </w:p>
        </w:tc>
        <w:tc>
          <w:tcPr/>
          <w:p>
            <w:pPr>
              <w:pStyle w:val="Compact"/>
              <w:jc w:val="left"/>
            </w:pPr>
            <w:r>
              <w:t xml:space="preserve">37</w:t>
            </w:r>
          </w:p>
        </w:tc>
        <w:tc>
          <w:tcPr/>
          <w:p>
            <w:pPr>
              <w:pStyle w:val="Compact"/>
              <w:jc w:val="left"/>
            </w:pPr>
            <w:r>
              <w:t xml:space="preserve">37%</w:t>
            </w:r>
          </w:p>
        </w:tc>
      </w:tr>
      <w:tr>
        <w:tc>
          <w:tcPr/>
          <w:p>
            <w:pPr>
              <w:pStyle w:val="Compact"/>
              <w:jc w:val="left"/>
            </w:pPr>
            <w:r>
              <w:t xml:space="preserve">SPE access log (F = 12)</w:t>
            </w:r>
          </w:p>
        </w:tc>
        <w:tc>
          <w:tcPr/>
          <w:p>
            <w:pPr>
              <w:pStyle w:val="Compact"/>
              <w:jc w:val="left"/>
            </w:pPr>
            <w:r>
              <w:t xml:space="preserve">100</w:t>
            </w:r>
          </w:p>
        </w:tc>
        <w:tc>
          <w:tcPr/>
          <w:p>
            <w:pPr>
              <w:pStyle w:val="Compact"/>
              <w:jc w:val="left"/>
            </w:pPr>
            <w:r>
              <w:t xml:space="preserve">53</w:t>
            </w:r>
          </w:p>
        </w:tc>
        <w:tc>
          <w:tcPr/>
          <w:p>
            <w:pPr>
              <w:pStyle w:val="Compact"/>
              <w:jc w:val="left"/>
            </w:pPr>
            <w:r>
              <w:t xml:space="preserve">53%</w:t>
            </w:r>
          </w:p>
        </w:tc>
      </w:tr>
      <w:tr>
        <w:tc>
          <w:tcPr/>
          <w:p>
            <w:pPr>
              <w:pStyle w:val="Compact"/>
              <w:jc w:val="left"/>
            </w:pPr>
            <w:r>
              <w:rPr>
                <w:bCs/>
                <w:b/>
              </w:rPr>
              <w:t xml:space="preserve">Total</w:t>
            </w:r>
          </w:p>
        </w:tc>
        <w:tc>
          <w:tcPr/>
          <w:p>
            <w:pPr>
              <w:pStyle w:val="Compact"/>
              <w:jc w:val="left"/>
            </w:pPr>
            <w:r>
              <w:rPr>
                <w:bCs/>
                <w:b/>
              </w:rPr>
              <w:t xml:space="preserve">200</w:t>
            </w:r>
          </w:p>
        </w:tc>
        <w:tc>
          <w:tcPr/>
          <w:p>
            <w:pPr>
              <w:pStyle w:val="Compact"/>
              <w:jc w:val="left"/>
            </w:pPr>
            <w:r>
              <w:rPr>
                <w:bCs/>
                <w:b/>
              </w:rPr>
              <w:t xml:space="preserve">90</w:t>
            </w:r>
          </w:p>
        </w:tc>
        <w:tc>
          <w:tcPr/>
          <w:p>
            <w:pPr>
              <w:pStyle w:val="Compact"/>
              <w:jc w:val="left"/>
            </w:pPr>
            <w:r>
              <w:rPr>
                <w:bCs/>
                <w:b/>
              </w:rPr>
              <w:t xml:space="preserve">45%</w:t>
            </w:r>
          </w:p>
        </w:tc>
      </w:tr>
    </w:tbl>
    <w:p>
      <w:pPr>
        <w:pStyle w:val="BodyText"/>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pPr>
      <w:r>
        <w:t xml:space="preserve">Three features of this table require comment, and the third is the one that matters.</w:t>
      </w:r>
    </w:p>
    <w:p>
      <w:pPr>
        <w:pStyle w:val="BodyText"/>
      </w:pPr>
      <w:r>
        <w:t xml:space="preserve">First, the violation rate is not one hundred per cent, and this is the correct behaviour rather than a weakness of the result. The rate itself should not be read as an estimate of real frequency, for a reason stated in Chapter 3, Section 3.7: the generator treats every erasure request as valid, whereas in practice many would be lawfully refused under Article 17(3), so real erasure-driven collision rates would be lower than those shown here. Theorem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theorem excludes. The checker therefore reproduces the theorem’s conditional structure exactly, including its boundary.</w:t>
      </w:r>
    </w:p>
    <w:p>
      <w:pPr>
        <w:pStyle w:val="BodyText"/>
      </w:pPr>
      <w:r>
        <w:t xml:space="preserve">Second, the witnesses are specific and inspectable, which is the property Chapter 3 required of this component. Three examples, verbatim from the run:</w:t>
      </w:r>
    </w:p>
    <w:p>
      <w:pPr>
        <w:pStyle w:val="BlockText"/>
      </w:pPr>
      <w:r>
        <w:t xml:space="preserve">C1 requires V=1 (⇒ α=1) at t=116 within [11,131]; C2 requires α=0 from t=116</w:t>
      </w:r>
      <w:r>
        <w:t xml:space="preserve"> </w:t>
      </w:r>
      <w:r>
        <w:t xml:space="preserve">C1 requires V=1 (⇒ α=1) at t=120 within [4,124]; C2 requires α=0 from t=120</w:t>
      </w:r>
      <w:r>
        <w:t xml:space="preserve"> </w:t>
      </w:r>
      <w:r>
        <w:t xml:space="preserve">C1 requires V=1 (⇒ α=1) at t=41 within [0,120]; C2 requires α=0 from t=41</w:t>
      </w:r>
    </w:p>
    <w:p>
      <w:pPr>
        <w:pStyle w:val="FirstParagraph"/>
      </w:pPr>
      <w:r>
        <w:t xml:space="preserve">Each names the record, the collision month, the two constraints in conflict, and the window within which the conflict arises. A reader who doubts Theorem 1 can take any of these lines and check the arithmetic by hand.</w:t>
      </w:r>
    </w:p>
    <w:p>
      <w:pPr>
        <w:pStyle w:val="BodyText"/>
      </w:pPr>
      <w:r>
        <w:t xml:space="preserve">Third, and most consequentially, the Secure Processing Environment class violates at a higher rate than the cross-border class, fifty-three per cent against thirty-seven, despite receiving erasure requests at a</w:t>
      </w:r>
      <w:r>
        <w:t xml:space="preserve"> </w:t>
      </w:r>
      <w:r>
        <w:rPr>
          <w:iCs/>
          <w:i/>
        </w:rPr>
        <w:t xml:space="preserve">lower</w:t>
      </w:r>
      <w:r>
        <w:t xml:space="preserve"> </w:t>
      </w:r>
      <w:r>
        <w:t xml:space="preserve">probability. The mechanism behind the inversion should be stated plainly, because an examiner’s first reaction will be that the secondary pathway simply carries more constraints. That reaction is correct, and it is the point. Every SPE record faces the Article 68(12) ceiling by construction, while only forty per cent of cross-border records ever face any second constraint at all; the decomposition bears this out, with 49 of the SPE violations structural and only 4 request-driven, against all 37 cross-border violations being request-driven. The inversion is therefore not a sampling accident but the direct signature of a collision that the secondary pathway inherits from Regulation (EU) 2025/327 alone, without any data-subject action. Section 5.4 isolates it.</w:t>
      </w:r>
    </w:p>
    <w:bookmarkEnd w:id="81"/>
    <w:bookmarkStart w:id="82" w:name="Xa78c7cc063bc28a699e62b8492f8426c0d63645"/>
    <w:p>
      <w:pPr>
        <w:pStyle w:val="Heading2"/>
      </w:pPr>
      <w:r>
        <w:t xml:space="preserve">5.4 Corollary 1.2: Infeasibility Without an Erasure Request</w:t>
      </w:r>
    </w:p>
    <w:p>
      <w:pPr>
        <w:pStyle w:val="FirstParagraph"/>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rPr>
          <w:iCs/>
          <w:i/>
        </w:rPr>
        <w:t xml:space="preserve">Thirty-nine of them are infeasible under Semantics I. That is exactly half of the records with no erasure request.</w:t>
      </w:r>
    </w:p>
    <w:p>
      <w:pPr>
        <w:pStyle w:val="BodyText"/>
      </w:pPr>
      <w:r>
        <w:t xml:space="preserve">The witnesses, verbatim:</w:t>
      </w:r>
    </w:p>
    <w:p>
      <w:pPr>
        <w:pStyle w:val="BlockText"/>
      </w:pPr>
      <w:r>
        <w:t xml:space="preserve">rid=100: t_a=7, permit expires t_pi=10 → C3 from t=16, C1 to t=19 | collision at t=16</w:t>
      </w:r>
      <w:r>
        <w:t xml:space="preserve"> </w:t>
      </w:r>
      <w:r>
        <w:t xml:space="preserve">rid=103: t_a=7, permit expires t_pi=10 → C3 from t=16, C1 to t=19 | collision at t=16</w:t>
      </w:r>
      <w:r>
        <w:t xml:space="preserve"> </w:t>
      </w:r>
      <w:r>
        <w:t xml:space="preserve">rid=104: t_a=3, permit expires t_pi=4 → C3 from t=10, C1 to t=15 | collision at t=10</w:t>
      </w:r>
    </w:p>
    <w:p>
      <w:pPr>
        <w:pStyle w:val="FirstParagraph"/>
      </w:pPr>
      <w:r>
        <w:t xml:space="preserve">Take the first. The access-log record is created in month seven. Article 73(1)(e) requires the identifiable log to remain verifiable until month nineteen. The data permit expires in month ten, so Article 68(12) requires personal data to be gone from the environment by month sixteen. Months sixteen through nineteen are therefore months in which the same regulation requires the same environment both to retain an identifiable access log and to hold no personal data. No data subject has exercised any right. No deployment baseline is involved. No synthesis across instruments of differing legal weight has occurred. On the reading of Article 68(12) adopted in Chapter 4, Section 4.6, the conflict is internal to Regulation (EU) 2025/327. Under the narrower reading canvassed there, these thirty-nine witnesses lapse and the secondary-use collisions reduce to the nine records in this population whose erasure requests fall inside the retention window (four that collide with C2 only and five that also collide with C3; twenty-two records received requests in all); Theorem 1, Corollary 1.1, and every Semantics II result are unaffected.</w:t>
      </w:r>
    </w:p>
    <w:p>
      <w:pPr>
        <w:pStyle w:val="BodyText"/>
      </w:pPr>
      <w:r>
        <w:t xml:space="preserve">The fifty per cent figure has a straightforward structural explanation, and stating it guards against reading the number as more precise than it is. The collision occurs when</w:t>
      </w:r>
      <w:r>
        <w:t xml:space="preserve"> </w:t>
      </w:r>
      <m:oMath>
        <m:sSub>
          <m:e>
            <m:r>
              <m:t>t</m:t>
            </m:r>
          </m:e>
          <m:sub>
            <m:r>
              <m:t>π</m:t>
            </m:r>
          </m:sub>
        </m:sSub>
        <m:r>
          <m:rPr>
            <m:sty m:val="p"/>
          </m:rPr>
          <m:t>+</m:t>
        </m:r>
        <m:r>
          <m:t>6</m:t>
        </m:r>
        <m:r>
          <m:rPr>
            <m:sty m:val="p"/>
          </m:rPr>
          <m:t>≤</m:t>
        </m:r>
        <m:sSub>
          <m:e>
            <m:r>
              <m:t>t</m:t>
            </m:r>
          </m:e>
          <m:sub>
            <m:r>
              <m:t>a</m:t>
            </m:r>
          </m:sub>
        </m:sSub>
        <m:r>
          <m:rPr>
            <m:sty m:val="p"/>
          </m:rPr>
          <m:t>+</m:t>
        </m:r>
        <m:r>
          <m:t>12</m:t>
        </m:r>
      </m:oMath>
      <w:r>
        <w:t xml:space="preserve">, that is when the permit runs six months or less. Permit lengths were drawn uniformly from one to twelve months, so half the draws fall at or below six. The figure is therefore a direct consequence of the permit-length distribution and is not an empirical estimate of how often this occurs in Norwegian practice. What the demonstration establishes is that the collision arises under ordinary parameters rather than contrived ones.</w:t>
      </w:r>
    </w:p>
    <w:p>
      <w:pPr>
        <w:pStyle w:val="BodyText"/>
      </w:pPr>
      <w:r>
        <w:t xml:space="preserve">The obvious attack on this figure is that the twelve-month horizon was chosen to produce it. The response is structural: the collision rate scales as</w:t>
      </w:r>
      <w:r>
        <w:t xml:space="preserve"> </w:t>
      </w:r>
      <m:oMath>
        <m:r>
          <m:t>6</m:t>
        </m:r>
        <m:r>
          <m:rPr>
            <m:sty m:val="p"/>
          </m:rPr>
          <m:t>/</m:t>
        </m:r>
        <m:sSub>
          <m:e>
            <m:r>
              <m:t>π</m:t>
            </m:r>
          </m:e>
          <m:sub>
            <m:r>
              <m:rPr>
                <m:sty m:val="p"/>
              </m:rPr>
              <m:t>max</m:t>
            </m:r>
          </m:sub>
        </m:sSub>
      </m:oMath>
      <w:r>
        <w:t xml:space="preserve"> </w:t>
      </w:r>
      <w:r>
        <w:t xml:space="preserve">under a uniform permit horizon, so a longer horizon attenuates the rate without altering the existence of the collision, which Theorem 1 establishes independently of any distribution. The twelve-month horizon models the remaining permit duration at the moment an access event is logged, not total project length, and a record created late in a multi-year permit has a short remaining horizon regardless of the project’s overall size. No figure in this chapter depends on the rate; the thesis’s claim is that the collision occurs, not that it occurs with any particular frequency.</w:t>
      </w:r>
    </w:p>
    <w:bookmarkEnd w:id="82"/>
    <w:bookmarkStart w:id="83" w:name="independent-cross-check"/>
    <w:p>
      <w:pPr>
        <w:pStyle w:val="Heading2"/>
      </w:pPr>
      <w:r>
        <w:t xml:space="preserve">5.5 Independent Cross-Check</w:t>
      </w:r>
    </w:p>
    <w:p>
      <w:pPr>
        <w:pStyle w:val="FirstParagraph"/>
      </w:pPr>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w:t>
      </w:r>
      <w:r>
        <w:t xml:space="preserve"> </w:t>
      </w:r>
      <w:r>
        <w:rPr>
          <w:iCs/>
          <w:i/>
        </w:rPr>
        <w:t xml:space="preserve">any</w:t>
      </w:r>
      <w:r>
        <w:t xml:space="preserve"> </w:t>
      </w:r>
      <w:r>
        <w:t xml:space="preserve">assignment satisfies C1 under Semantics I together with C2 and C3.</w:t>
      </w:r>
    </w:p>
    <w:p>
      <w:pPr>
        <w:pStyle w:val="BodyText"/>
      </w:pPr>
      <w:r>
        <w:rPr>
          <w:iCs/>
          <w:i/>
        </w:rPr>
        <w:t xml:space="preserve">Table 5.2. Exhaustive search over</w:t>
      </w:r>
      <w:r>
        <w:rPr>
          <w:iCs/>
          <w:i/>
        </w:rPr>
        <w:t xml:space="preserve"> </w:t>
      </w:r>
      <m:oMath>
        <m:r>
          <m:t>α</m:t>
        </m:r>
      </m:oMath>
      <w:r>
        <w:rPr>
          <w:iCs/>
          <w:i/>
        </w:rPr>
        <w:t xml:space="preserve"> </w:t>
      </w:r>
      <w:r>
        <w:rPr>
          <w:iCs/>
          <w:i/>
        </w:rPr>
        <w:t xml:space="preserve">assignments (horizon = 14 months)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Feasible assignment exists?</w:t>
            </w:r>
          </w:p>
        </w:tc>
      </w:tr>
      <w:tr>
        <w:tc>
          <w:tcPr/>
          <w:p>
            <w:pPr>
              <w:pStyle w:val="Compact"/>
              <w:jc w:val="left"/>
            </w:pPr>
            <w:r>
              <w:t xml:space="preserve">SPE, no erasure request, permit 3 months</w:t>
            </w:r>
          </w:p>
        </w:tc>
        <w:tc>
          <w:tcPr/>
          <w:p>
            <w:pPr>
              <w:pStyle w:val="Compact"/>
              <w:jc w:val="left"/>
            </w:pPr>
            <w:r>
              <w:rPr>
                <w:bCs/>
                <w:b/>
              </w:rPr>
              <w:t xml:space="preserve">False</w:t>
            </w:r>
          </w:p>
        </w:tc>
      </w:tr>
      <w:tr>
        <w:tc>
          <w:tcPr/>
          <w:p>
            <w:pPr>
              <w:pStyle w:val="Compact"/>
              <w:jc w:val="left"/>
            </w:pPr>
            <w:r>
              <w:t xml:space="preserve">SPE, erasure request at t = 2</w:t>
            </w:r>
          </w:p>
        </w:tc>
        <w:tc>
          <w:tcPr/>
          <w:p>
            <w:pPr>
              <w:pStyle w:val="Compact"/>
              <w:jc w:val="left"/>
            </w:pPr>
            <w:r>
              <w:rPr>
                <w:bCs/>
                <w:b/>
              </w:rPr>
              <w:t xml:space="preserve">False</w:t>
            </w:r>
          </w:p>
        </w:tc>
      </w:tr>
      <w:tr>
        <w:tc>
          <w:tcPr/>
          <w:p>
            <w:pPr>
              <w:pStyle w:val="Compact"/>
              <w:jc w:val="left"/>
            </w:pPr>
            <w:r>
              <w:t xml:space="preserve">Cross-border (floor scaled to 12 for tractability), erasure at t = 4</w:t>
            </w:r>
          </w:p>
        </w:tc>
        <w:tc>
          <w:tcPr/>
          <w:p>
            <w:pPr>
              <w:pStyle w:val="Compact"/>
              <w:jc w:val="left"/>
            </w:pPr>
            <w:r>
              <w:rPr>
                <w:bCs/>
                <w:b/>
              </w:rPr>
              <w:t xml:space="preserve">False</w:t>
            </w:r>
          </w:p>
        </w:tc>
      </w:tr>
      <w:tr>
        <w:tc>
          <w:tcPr/>
          <w:p>
            <w:pPr>
              <w:pStyle w:val="Compact"/>
              <w:jc w:val="left"/>
            </w:pPr>
            <w:r>
              <w:t xml:space="preserve">Control: no erasure request, no permit expiry</w:t>
            </w:r>
          </w:p>
        </w:tc>
        <w:tc>
          <w:tcPr/>
          <w:p>
            <w:pPr>
              <w:pStyle w:val="Compact"/>
              <w:jc w:val="left"/>
            </w:pPr>
            <w:r>
              <w:rPr>
                <w:bCs/>
                <w:b/>
              </w:rPr>
              <w:t xml:space="preserve">True</w:t>
            </w:r>
          </w:p>
        </w:tc>
      </w:tr>
    </w:tbl>
    <w:p>
      <w:pPr>
        <w:pStyle w:val="BodyText"/>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Section 4.4, so it guards against implementation error in the checker and not against error in the model.</w:t>
      </w:r>
    </w:p>
    <w:p>
      <w:pPr>
        <w:pStyle w:val="BodyText"/>
      </w:pPr>
      <w:r>
        <w:t xml:space="preserve">The cross-border floor is scaled from one hundred and twenty months to twelve for this check, because exhaustive search over 2¹²⁰ assignments is not computable. The scaling does not affect the logic: Theorem 1’s argument depends on the deadline falling inside the window, not on the window’s length, and the scaled case preserves that relation. This substitution is noted rather than hidden, and it is the one place in the demonstration where a parameter was altered for tractability.</w:t>
      </w:r>
    </w:p>
    <w:bookmarkEnd w:id="83"/>
    <w:bookmarkStart w:id="84" w:name="Xe2dc593a3f377e7dce9f3c8387f34e12ea9558b"/>
    <w:p>
      <w:pPr>
        <w:pStyle w:val="Heading2"/>
      </w:pPr>
      <w:r>
        <w:t xml:space="preserve">5.5a Witness at the Extended Response Period</w:t>
      </w:r>
    </w:p>
    <w:p>
      <w:pPr>
        <w:pStyle w:val="FirstParagraph"/>
      </w:pPr>
      <w:r>
        <w:t xml:space="preserve">Chapter 4, Section 4.4 sets the erasure response period</w:t>
      </w:r>
      <w:r>
        <w:t xml:space="preserve"> </w:t>
      </w:r>
      <m:oMath>
        <m:r>
          <m:t>δ</m:t>
        </m:r>
      </m:oMath>
      <w:r>
        <w:t xml:space="preserve"> </w:t>
      </w:r>
      <w:r>
        <w:t xml:space="preserve">from Article 12(3) GDPR, which allows the controller one month from receipt and permits extension by a further two months for complex or numerous requests. The theorems are stated for arbitrary finite</w:t>
      </w:r>
      <w:r>
        <w:t xml:space="preserve"> </w:t>
      </w:r>
      <m:oMath>
        <m:r>
          <m:t>δ</m:t>
        </m:r>
      </m:oMath>
      <w:r>
        <w:t xml:space="preserve">, and the model admits</w:t>
      </w:r>
      <w:r>
        <w:t xml:space="preserve"> </w:t>
      </w:r>
      <m:oMath>
        <m:r>
          <m:t>δ</m:t>
        </m:r>
        <m:r>
          <m:rPr>
            <m:sty m:val="p"/>
          </m:rPr>
          <m:t>=</m:t>
        </m:r>
        <m:r>
          <m:t>3</m:t>
        </m:r>
      </m:oMath>
      <w:r>
        <w:t xml:space="preserve">. That claim is witnessed rather than asserted.</w:t>
      </w:r>
    </w:p>
    <w:p>
      <w:pPr>
        <w:pStyle w:val="BodyText"/>
      </w:pPr>
      <w:r>
        <w:rPr>
          <w:iCs/>
          <w:i/>
        </w:rPr>
        <w:t xml:space="preserve">Table 5.2a. Results at</w:t>
      </w:r>
      <w:r>
        <w:rPr>
          <w:iCs/>
          <w:i/>
        </w:rPr>
        <w:t xml:space="preserve"> </w:t>
      </w:r>
      <m:oMath>
        <m:r>
          <m:t>δ</m:t>
        </m:r>
        <m:r>
          <m:rPr>
            <m:sty m:val="p"/>
          </m:rPr>
          <m:t>=</m:t>
        </m:r>
        <m:r>
          <m:t>1</m:t>
        </m:r>
      </m:oMath>
      <w:r>
        <w:rPr>
          <w:iCs/>
          <w:i/>
        </w:rPr>
        <w:t xml:space="preserve"> </w:t>
      </w:r>
      <w:r>
        <w:rPr>
          <w:iCs/>
          <w:i/>
        </w:rPr>
        <w:t xml:space="preserve">and</w:t>
      </w:r>
      <w:r>
        <w:rPr>
          <w:iCs/>
          <w:i/>
        </w:rPr>
        <w:t xml:space="preserve"> </w:t>
      </w:r>
      <m:oMath>
        <m:r>
          <m:t>δ</m:t>
        </m:r>
        <m:r>
          <m:rPr>
            <m:sty m:val="p"/>
          </m:rPr>
          <m:t>=</m:t>
        </m:r>
        <m:r>
          <m:t>3</m:t>
        </m:r>
      </m:oMath>
      <w:r>
        <w:rPr>
          <w:iCs/>
          <w:i/>
        </w:rPr>
        <w:t xml:space="preserve"> </w:t>
      </w:r>
      <w:r>
        <w:rPr>
          <w:iCs/>
          <w:i/>
        </w:rPr>
        <w:t xml:space="preserve">(seed 20260915, n = 200)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m:oMath>
              <m:r>
                <m:t>δ</m:t>
              </m:r>
              <m:r>
                <m:rPr>
                  <m:sty m:val="p"/>
                </m:rPr>
                <m:t>=</m:t>
              </m:r>
              <m:r>
                <m:t>1</m:t>
              </m:r>
            </m:oMath>
          </w:p>
        </w:tc>
        <w:tc>
          <w:tcPr/>
          <w:p>
            <w:pPr>
              <w:pStyle w:val="Compact"/>
              <w:jc w:val="left"/>
            </w:pPr>
            <m:oMath>
              <m:r>
                <m:t>δ</m:t>
              </m:r>
              <m:r>
                <m:rPr>
                  <m:sty m:val="p"/>
                </m:rPr>
                <m:t>=</m:t>
              </m:r>
              <m:r>
                <m:t>3</m:t>
              </m:r>
            </m:oMath>
          </w:p>
        </w:tc>
      </w:tr>
      <w:tr>
        <w:tc>
          <w:tcPr/>
          <w:p>
            <w:pPr>
              <w:pStyle w:val="Compact"/>
              <w:jc w:val="left"/>
            </w:pPr>
            <w:r>
              <w:t xml:space="preserve">Semantics I: records with violation</w:t>
            </w:r>
          </w:p>
        </w:tc>
        <w:tc>
          <w:tcPr/>
          <w:p>
            <w:pPr>
              <w:pStyle w:val="Compact"/>
              <w:jc w:val="left"/>
            </w:pPr>
            <w:r>
              <w:t xml:space="preserve">90</w:t>
            </w:r>
          </w:p>
        </w:tc>
        <w:tc>
          <w:tcPr/>
          <w:p>
            <w:pPr>
              <w:pStyle w:val="Compact"/>
              <w:jc w:val="left"/>
            </w:pPr>
            <w:r>
              <w:t xml:space="preserve">89</w:t>
            </w:r>
          </w:p>
        </w:tc>
      </w:tr>
      <w:tr>
        <w:tc>
          <w:tcPr/>
          <w:p>
            <w:pPr>
              <w:pStyle w:val="Compact"/>
              <w:jc w:val="left"/>
            </w:pPr>
            <w:r>
              <w:t xml:space="preserve">Semantics I: total violations</w:t>
            </w:r>
          </w:p>
        </w:tc>
        <w:tc>
          <w:tcPr/>
          <w:p>
            <w:pPr>
              <w:pStyle w:val="Compact"/>
              <w:jc w:val="left"/>
            </w:pPr>
            <w:r>
              <w:t xml:space="preserve">95</w:t>
            </w:r>
          </w:p>
        </w:tc>
        <w:tc>
          <w:tcPr/>
          <w:p>
            <w:pPr>
              <w:pStyle w:val="Compact"/>
              <w:jc w:val="left"/>
            </w:pPr>
            <w:r>
              <w:t xml:space="preserve">94</w:t>
            </w:r>
          </w:p>
        </w:tc>
      </w:tr>
      <w:tr>
        <w:tc>
          <w:tcPr/>
          <w:p>
            <w:pPr>
              <w:pStyle w:val="Compact"/>
              <w:jc w:val="left"/>
            </w:pPr>
            <w:r>
              <w:t xml:space="preserve">Corollary 1.2 witnesses</w:t>
            </w:r>
          </w:p>
        </w:tc>
        <w:tc>
          <w:tcPr/>
          <w:p>
            <w:pPr>
              <w:pStyle w:val="Compact"/>
              <w:jc w:val="left"/>
            </w:pPr>
            <w:r>
              <w:t xml:space="preserve">39</w:t>
            </w:r>
          </w:p>
        </w:tc>
        <w:tc>
          <w:tcPr/>
          <w:p>
            <w:pPr>
              <w:pStyle w:val="Compact"/>
              <w:jc w:val="left"/>
            </w:pPr>
            <w:r>
              <w:t xml:space="preserve">39</w:t>
            </w:r>
          </w:p>
        </w:tc>
      </w:tr>
      <w:tr>
        <w:tc>
          <w:tcPr/>
          <w:p>
            <w:pPr>
              <w:pStyle w:val="Compact"/>
              <w:jc w:val="left"/>
            </w:pPr>
            <w:r>
              <w:t xml:space="preserve">Records invalidated</w:t>
            </w:r>
          </w:p>
        </w:tc>
        <w:tc>
          <w:tcPr/>
          <w:p>
            <w:pPr>
              <w:pStyle w:val="Compact"/>
              <w:jc w:val="left"/>
            </w:pPr>
            <w:r>
              <w:t xml:space="preserve">138</w:t>
            </w:r>
          </w:p>
        </w:tc>
        <w:tc>
          <w:tcPr/>
          <w:p>
            <w:pPr>
              <w:pStyle w:val="Compact"/>
              <w:jc w:val="left"/>
            </w:pPr>
            <w:r>
              <w:t xml:space="preserve">138</w:t>
            </w:r>
          </w:p>
        </w:tc>
      </w:tr>
      <w:tr>
        <w:tc>
          <w:tcPr/>
          <w:p>
            <w:pPr>
              <w:pStyle w:val="Compact"/>
              <w:jc w:val="left"/>
            </w:pPr>
            <w:r>
              <w:t xml:space="preserve">Semantics II: records with violation</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Semantics II: total violations</w:t>
            </w:r>
          </w:p>
        </w:tc>
        <w:tc>
          <w:tcPr/>
          <w:p>
            <w:pPr>
              <w:pStyle w:val="Compact"/>
              <w:jc w:val="left"/>
            </w:pPr>
            <w:r>
              <w:t xml:space="preserve">0</w:t>
            </w:r>
          </w:p>
        </w:tc>
        <w:tc>
          <w:tcPr/>
          <w:p>
            <w:pPr>
              <w:pStyle w:val="Compact"/>
              <w:jc w:val="left"/>
            </w:pPr>
            <w:r>
              <w:t xml:space="preserve">0</w:t>
            </w:r>
          </w:p>
        </w:tc>
      </w:tr>
    </w:tbl>
    <w:p>
      <w:pPr>
        <w:pStyle w:val="BodyText"/>
      </w:pPr>
      <w:r>
        <w:t xml:space="preserve">Extending the response period moves one record out of violation under Semantics I, which is the expected behaviour: a longer deadline pushes one erasure collision past the end of its retention window, and Theorem 1 excludes exactly that case. Everything else is unchanged. The Corollary 1.2 count is identical because those collisions arise from the deletion ceiling rather than from any erasure request, and so do not involve</w:t>
      </w:r>
      <w:r>
        <w:t xml:space="preserve"> </w:t>
      </w:r>
      <m:oMath>
        <m:r>
          <m:t>δ</m:t>
        </m:r>
      </m:oMath>
      <w:r>
        <w:t xml:space="preserve"> </w:t>
      </w:r>
      <w:r>
        <w:t xml:space="preserve">at all. Semantics II yields zero violations at both settings, as Theorem 2 requires for any finite</w:t>
      </w:r>
      <w:r>
        <w:t xml:space="preserve"> </w:t>
      </w:r>
      <m:oMath>
        <m:r>
          <m:t>δ</m:t>
        </m:r>
      </m:oMath>
      <w:r>
        <w:t xml:space="preserve">.</w:t>
      </w:r>
    </w:p>
    <w:p>
      <w:pPr>
        <w:pStyle w:val="BodyText"/>
      </w:pPr>
      <w:r>
        <w:t xml:space="preserve">The run is reproduced with</w:t>
      </w:r>
      <w:r>
        <w:t xml:space="preserve"> </w:t>
      </w:r>
      <w:r>
        <w:rPr>
          <w:rStyle w:val="VerbatimChar"/>
        </w:rPr>
        <w:t xml:space="preserve">python3 trf_checker.py --delta-witness</w:t>
      </w:r>
      <w:r>
        <w:t xml:space="preserve">.</w:t>
      </w:r>
    </w:p>
    <w:bookmarkEnd w:id="84"/>
    <w:bookmarkStart w:id="85" w:name="results-under-semantics-ii"/>
    <w:p>
      <w:pPr>
        <w:pStyle w:val="Heading2"/>
      </w:pPr>
      <w:r>
        <w:t xml:space="preserve">5.6 Results under Semantics II</w:t>
      </w:r>
    </w:p>
    <w:p>
      <w:pPr>
        <w:pStyle w:val="FirstParagraph"/>
      </w:pPr>
      <w:r>
        <w:t xml:space="preserve">The invalidation trajectory from the constructive proof of Theorem 2 was then applied to every record: destroy the payload key at</w:t>
      </w:r>
      <w:r>
        <w:t xml:space="preserve"> </w:t>
      </w:r>
      <m:oMath>
        <m:sSup>
          <m:e>
            <m:r>
              <m:t>t</m:t>
            </m:r>
          </m:e>
          <m:sup>
            <m:r>
              <m:t>I</m:t>
            </m:r>
          </m:sup>
        </m:sSup>
        <m:r>
          <m:rPr>
            <m:sty m:val="p"/>
          </m:rPr>
          <m:t>=</m:t>
        </m:r>
        <m:r>
          <m:rPr>
            <m:sty m:val="p"/>
          </m:rPr>
          <m:t>min</m:t>
        </m:r>
        <m:d>
          <m:dPr>
            <m:begChr m:val="("/>
            <m:endChr m:val=")"/>
            <m:sepChr m:val=""/>
            <m:grow/>
          </m:dPr>
          <m:e>
            <m:sSub>
              <m:e>
                <m:r>
                  <m:t>t</m:t>
                </m:r>
              </m:e>
              <m:sub>
                <m:r>
                  <m:t>r</m:t>
                </m:r>
              </m:sub>
            </m:sSub>
            <m:r>
              <m:rPr>
                <m:sty m:val="p"/>
              </m:rPr>
              <m:t>+</m:t>
            </m:r>
            <m:r>
              <m:t>δ</m:t>
            </m:r>
            <m:r>
              <m:rPr>
                <m:sty m:val="p"/>
              </m:rPr>
              <m:t>,</m:t>
            </m:r>
            <m:r>
              <m:t> </m:t>
            </m:r>
            <m:sSub>
              <m:e>
                <m:r>
                  <m:t>t</m:t>
                </m:r>
              </m:e>
              <m:sub>
                <m:r>
                  <m:t>π</m:t>
                </m:r>
              </m:sub>
            </m:sSub>
            <m:r>
              <m:rPr>
                <m:sty m:val="p"/>
              </m:rPr>
              <m:t>+</m:t>
            </m:r>
            <m:r>
              <m:t>6</m:t>
            </m:r>
          </m:e>
        </m:d>
      </m:oMath>
      <w:r>
        <w:t xml:space="preserve">, destroy the salt with it, append an invalidation entry recording the month, the legal ground, and the authorising actor, and retain metadata and commitment unchanged.</w:t>
      </w:r>
    </w:p>
    <w:p>
      <w:pPr>
        <w:pStyle w:val="BodyText"/>
      </w:pPr>
      <w:r>
        <w:rPr>
          <w:iCs/>
          <w:i/>
        </w:rPr>
        <w:t xml:space="preserve">Table 5.3. Results under Semantics II (same 200 records, same seed)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Records invalidated</w:t>
            </w:r>
          </w:p>
        </w:tc>
        <w:tc>
          <w:tcPr/>
          <w:p>
            <w:pPr>
              <w:pStyle w:val="Compact"/>
              <w:jc w:val="left"/>
            </w:pPr>
            <w:r>
              <w:t xml:space="preserve">138 / 200</w:t>
            </w:r>
          </w:p>
        </w:tc>
      </w:tr>
      <w:tr>
        <w:tc>
          <w:tcPr/>
          <w:p>
            <w:pPr>
              <w:pStyle w:val="Compact"/>
              <w:jc w:val="left"/>
            </w:pPr>
            <w:r>
              <w:t xml:space="preserve">— on ground GDPR Article 17(1)</w:t>
            </w:r>
          </w:p>
        </w:tc>
        <w:tc>
          <w:tcPr/>
          <w:p>
            <w:pPr>
              <w:pStyle w:val="Compact"/>
              <w:jc w:val="left"/>
            </w:pPr>
            <w:r>
              <w:t xml:space="preserve">52</w:t>
            </w:r>
          </w:p>
        </w:tc>
      </w:tr>
      <w:tr>
        <w:tc>
          <w:tcPr/>
          <w:p>
            <w:pPr>
              <w:pStyle w:val="Compact"/>
              <w:jc w:val="left"/>
            </w:pPr>
            <w:r>
              <w:t xml:space="preserve">— on ground EHDS Article 68(12)</w:t>
            </w:r>
          </w:p>
        </w:tc>
        <w:tc>
          <w:tcPr/>
          <w:p>
            <w:pPr>
              <w:pStyle w:val="Compact"/>
              <w:jc w:val="left"/>
            </w:pPr>
            <w:r>
              <w:t xml:space="preserve">86</w:t>
            </w:r>
          </w:p>
        </w:tc>
      </w:tr>
      <w:tr>
        <w:tc>
          <w:tcPr/>
          <w:p>
            <w:pPr>
              <w:pStyle w:val="Compact"/>
              <w:jc w:val="left"/>
            </w:pPr>
            <w:r>
              <w:t xml:space="preserve">Records with ≥1 constraint violation</w:t>
            </w:r>
          </w:p>
        </w:tc>
        <w:tc>
          <w:tcPr/>
          <w:p>
            <w:pPr>
              <w:pStyle w:val="Compact"/>
              <w:jc w:val="left"/>
            </w:pPr>
            <w:r>
              <w:rPr>
                <w:bCs/>
                <w:b/>
              </w:rPr>
              <w:t xml:space="preserve">0 / 200</w:t>
            </w:r>
          </w:p>
        </w:tc>
      </w:tr>
      <w:tr>
        <w:tc>
          <w:tcPr/>
          <w:p>
            <w:pPr>
              <w:pStyle w:val="Compact"/>
              <w:jc w:val="left"/>
            </w:pPr>
            <w:r>
              <w:t xml:space="preserve">Total constraint violations</w:t>
            </w:r>
          </w:p>
        </w:tc>
        <w:tc>
          <w:tcPr/>
          <w:p>
            <w:pPr>
              <w:pStyle w:val="Compact"/>
              <w:jc w:val="left"/>
            </w:pPr>
            <w:r>
              <w:rPr>
                <w:bCs/>
                <w:b/>
              </w:rPr>
              <w:t xml:space="preserve">0</w:t>
            </w:r>
          </w:p>
        </w:tc>
      </w:tr>
    </w:tbl>
    <w:p>
      <w:pPr>
        <w:pStyle w:val="BodyText"/>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Section 5.4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BlockText"/>
      </w:pPr>
      <w:r>
        <w:t xml:space="preserve">metadata intact : True — actor=HP-026, ncp=NO, outcome=success</w:t>
      </w:r>
      <w:r>
        <w:t xml:space="preserve"> </w:t>
      </w:r>
      <w:r>
        <w:t xml:space="preserve">commitment c(a) : 11087780fd192c8fdaa237081ee0bb11…</w:t>
      </w:r>
      <w:r>
        <w:t xml:space="preserve"> </w:t>
      </w:r>
      <w:r>
        <w:t xml:space="preserve">payload key k(a) : None ← destroyed</w:t>
      </w:r>
      <w:r>
        <w:t xml:space="preserve"> </w:t>
      </w:r>
      <w:r>
        <w:t xml:space="preserve">invalidation ι(a) : month=16, ground=EHDS Art 68(12)</w:t>
      </w:r>
      <w:r>
        <w:t xml:space="preserve"> </w:t>
      </w:r>
      <w:r>
        <w:t xml:space="preserve">payload readable? : False</w:t>
      </w:r>
    </w:p>
    <w:p>
      <w:pPr>
        <w:pStyle w:val="FirstParagraph"/>
      </w:pPr>
      <w:r>
        <w:t xml:space="preserve">This is the state the mechanism is designed to produce, and it is worth reading against what Semantics I would have demanded. The access event is fully established: which health professional, at which contact point, with what outcome. The binding to a specific payload survives in the commitment. The invalidation is itself a logged, grounded, attributed event rather than a silent absence. And the payload is unreadable, at month nineteen as at month sixteen. An auditor examining this record learns everything accountability requires and nothing the erasure obligation forbids.</w:t>
      </w:r>
    </w:p>
    <w:bookmarkEnd w:id="85"/>
    <w:bookmarkStart w:id="86" w:name="X118c29104845627cee32a0e9a3002454d83401c"/>
    <w:p>
      <w:pPr>
        <w:pStyle w:val="Heading2"/>
      </w:pPr>
      <w:r>
        <w:t xml:space="preserve">5.7 What the Demonstration Establishes, and What It Does Not</w:t>
      </w:r>
    </w:p>
    <w:p>
      <w:pPr>
        <w:pStyle w:val="FirstParagraph"/>
      </w:pPr>
      <w:r>
        <w:rPr>
          <w:iCs/>
          <w:i/>
        </w:rPr>
        <w:t xml:space="preserve">Established.</w:t>
      </w:r>
      <w:r>
        <w:t xml:space="preserve"> </w:t>
      </w:r>
      <w:r>
        <w:t xml:space="preserve">Both theorems hold on all two hundred generated instances. Theorem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examines. The invalidation trajectory eliminates every violation without introducing any.</w:t>
      </w:r>
    </w:p>
    <w:p>
      <w:pPr>
        <w:pStyle w:val="BodyText"/>
      </w:pPr>
      <w:r>
        <w:rPr>
          <w:iCs/>
          <w:i/>
        </w:rPr>
        <w:t xml:space="preserve">Not established, and not claimed.</w:t>
      </w:r>
      <w:r>
        <w:t xml:space="preserve"> </w:t>
      </w:r>
      <w:r>
        <w:t xml:space="preserve">The demonstration does not prove the theorems for all instances; it checks them on the instances generated under one seed, and the exhaustive cross-check covers four small cases rather than the general result. The proofs in Chapter 4,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the limitation that Chapter 2 drew from the secure-deletion literature and that Chapter 6 engages.</w:t>
      </w:r>
    </w:p>
    <w:p>
      <w:pPr>
        <w:pStyle w:val="BodyText"/>
      </w:pPr>
      <w:r>
        <w:rPr>
          <w:iCs/>
          <w:i/>
        </w:rPr>
        <w:t xml:space="preserve">How the tables should be read.</w:t>
      </w:r>
      <w:r>
        <w:t xml:space="preserve"> </w:t>
      </w:r>
      <w:r>
        <w:t xml:space="preserve">The Semantics II result of Table 5.3 holds by construction: the checker derives payload accessibility from the same invalidation month that the trajectory of Theorem 2 prescribes, so zero violations is the expected outcome, and a failure would expose an implementation error and not a modelling error. The violation rates of Table 5.1 are functions of the generator parameters in Table 5.0 and are not estimates of real frequency.</w:t>
      </w:r>
    </w:p>
    <w:p>
      <w:pPr>
        <w:pStyle w:val="BodyText"/>
      </w:pPr>
      <w:r>
        <w:rPr>
          <w:iCs/>
          <w:i/>
        </w:rPr>
        <w:t xml:space="preserve">Payload provenance, tested rather than assumed.</w:t>
      </w:r>
      <w:r>
        <w:t xml:space="preserve"> </w:t>
      </w:r>
      <w:r>
        <w:t xml:space="preserve">Chapter 3, Section 3.6 specifies a realism layer feeding Synthea-generated records into the checker. That layer was built and executed, and its result is reported here because it bears on how much the demonstration’s 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35 bytes to 1,006. All two hundred commitments change, confirming that the payloads genuinely differ.</w:t>
      </w:r>
    </w:p>
    <w:p>
      <w:pPr>
        <w:pStyle w:val="BodyText"/>
      </w:pPr>
      <w:r>
        <w:rPr>
          <w:iCs/>
          <w:i/>
        </w:rPr>
        <w:t xml:space="preserve">Table 5.4. Constructed against Synthea-generated payloads (same seed, same timings)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Constructed</w:t>
            </w:r>
          </w:p>
        </w:tc>
        <w:tc>
          <w:tcPr/>
          <w:p>
            <w:pPr>
              <w:pStyle w:val="Compact"/>
              <w:jc w:val="left"/>
            </w:pPr>
            <w:r>
              <w:t xml:space="preserve">Synthea</w:t>
            </w:r>
          </w:p>
        </w:tc>
      </w:tr>
      <w:tr>
        <w:tc>
          <w:tcPr/>
          <w:p>
            <w:pPr>
              <w:pStyle w:val="Compact"/>
              <w:jc w:val="left"/>
            </w:pPr>
            <w:r>
              <w:t xml:space="preserve">Semantics I: records with violation</w:t>
            </w:r>
          </w:p>
        </w:tc>
        <w:tc>
          <w:tcPr/>
          <w:p>
            <w:pPr>
              <w:pStyle w:val="Compact"/>
              <w:jc w:val="left"/>
            </w:pPr>
            <w:r>
              <w:t xml:space="preserve">90</w:t>
            </w:r>
          </w:p>
        </w:tc>
        <w:tc>
          <w:tcPr/>
          <w:p>
            <w:pPr>
              <w:pStyle w:val="Compact"/>
              <w:jc w:val="left"/>
            </w:pPr>
            <w:r>
              <w:t xml:space="preserve">90</w:t>
            </w:r>
          </w:p>
        </w:tc>
      </w:tr>
      <w:tr>
        <w:tc>
          <w:tcPr/>
          <w:p>
            <w:pPr>
              <w:pStyle w:val="Compact"/>
              <w:jc w:val="left"/>
            </w:pPr>
            <w:r>
              <w:t xml:space="preserve">Semantics I: total violations</w:t>
            </w:r>
          </w:p>
        </w:tc>
        <w:tc>
          <w:tcPr/>
          <w:p>
            <w:pPr>
              <w:pStyle w:val="Compact"/>
              <w:jc w:val="left"/>
            </w:pPr>
            <w:r>
              <w:t xml:space="preserve">95</w:t>
            </w:r>
          </w:p>
        </w:tc>
        <w:tc>
          <w:tcPr/>
          <w:p>
            <w:pPr>
              <w:pStyle w:val="Compact"/>
              <w:jc w:val="left"/>
            </w:pPr>
            <w:r>
              <w:t xml:space="preserve">95</w:t>
            </w:r>
          </w:p>
        </w:tc>
      </w:tr>
      <w:tr>
        <w:tc>
          <w:tcPr/>
          <w:p>
            <w:pPr>
              <w:pStyle w:val="Compact"/>
              <w:jc w:val="left"/>
            </w:pPr>
            <w:r>
              <w:t xml:space="preserve">Corollary 1.2 witnesses (no erasure request)</w:t>
            </w:r>
          </w:p>
        </w:tc>
        <w:tc>
          <w:tcPr/>
          <w:p>
            <w:pPr>
              <w:pStyle w:val="Compact"/>
              <w:jc w:val="left"/>
            </w:pPr>
            <w:r>
              <w:t xml:space="preserve">39</w:t>
            </w:r>
          </w:p>
        </w:tc>
        <w:tc>
          <w:tcPr/>
          <w:p>
            <w:pPr>
              <w:pStyle w:val="Compact"/>
              <w:jc w:val="left"/>
            </w:pPr>
            <w:r>
              <w:t xml:space="preserve">39</w:t>
            </w:r>
          </w:p>
        </w:tc>
      </w:tr>
      <w:tr>
        <w:tc>
          <w:tcPr/>
          <w:p>
            <w:pPr>
              <w:pStyle w:val="Compact"/>
              <w:jc w:val="left"/>
            </w:pPr>
            <w:r>
              <w:t xml:space="preserve">Records invalidated</w:t>
            </w:r>
          </w:p>
        </w:tc>
        <w:tc>
          <w:tcPr/>
          <w:p>
            <w:pPr>
              <w:pStyle w:val="Compact"/>
              <w:jc w:val="left"/>
            </w:pPr>
            <w:r>
              <w:t xml:space="preserve">138</w:t>
            </w:r>
          </w:p>
        </w:tc>
        <w:tc>
          <w:tcPr/>
          <w:p>
            <w:pPr>
              <w:pStyle w:val="Compact"/>
              <w:jc w:val="left"/>
            </w:pPr>
            <w:r>
              <w:t xml:space="preserve">138</w:t>
            </w:r>
          </w:p>
        </w:tc>
      </w:tr>
      <w:tr>
        <w:tc>
          <w:tcPr/>
          <w:p>
            <w:pPr>
              <w:pStyle w:val="Compact"/>
              <w:jc w:val="left"/>
            </w:pPr>
            <w:r>
              <w:t xml:space="preserve">Semantics II: records with violation</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Semantics II: total violations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Commitments differing between runs</w:t>
            </w:r>
          </w:p>
        </w:tc>
        <w:tc>
          <w:tcPr/>
          <w:p>
            <w:pPr>
              <w:pStyle w:val="Compact"/>
              <w:jc w:val="left"/>
            </w:pPr>
            <w:r>
              <w:t xml:space="preserve">—</w:t>
            </w:r>
          </w:p>
        </w:tc>
        <w:tc>
          <w:tcPr/>
          <w:p>
            <w:pPr>
              <w:pStyle w:val="Compact"/>
              <w:jc w:val="left"/>
            </w:pPr>
            <w:r>
              <w:t xml:space="preserve">200 / 200</w:t>
            </w:r>
          </w:p>
        </w:tc>
      </w:tr>
    </w:tbl>
    <w:p>
      <w:pPr>
        <w:pStyle w:val="BodyText"/>
      </w:pPr>
      <w:r>
        <w:t xml:space="preserve">Every reported figure is identical while every commitment differs. This is the expected result and the model would be defective if it were otherwise: no constraint in the TRF Model reads the content of a payload, so the results are functions of timing and accessibility alone. The value of running the comparison rather than asserting the invariance is that a reader can see the claim tested against a case where the inputs demonstrably changed.</w:t>
      </w:r>
    </w:p>
    <w:p>
      <w:pPr>
        <w:pStyle w:val="BodyText"/>
      </w:pPr>
      <w:r>
        <w:t xml:space="preserve">The invariance was tested a second time against a different cohort size, because a result that held only at one cohort size would be weaker than it appears. 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Neither the size of the cohort nor the frequency with which payloads repeat affects any reported figure, which is the strongest form in which the payload-independence claim can be made from execution.</w:t>
      </w:r>
    </w:p>
    <w:p>
      <w:pPr>
        <w:pStyle w:val="BodyText"/>
      </w:pPr>
      <w:r>
        <w:t xml:space="preserve">One limitation of the generated cohort is carried forward. Synthea’s default export conforms to US Core profiles with United States demographics and care patterns, not to the Norwegian basisprofiler (HL7 Norway, 2025). The FHIR version matches Norway’s, the resource structure is genuine, and the invariance result above establishes that the mismatch cannot affect any figure in this chapter. But no claim of Norwegian clinical representativeness is made for the records. The thesis’s Norwegian grounding rests on the infrastructure analysis of Chapter 4, Section 4.11 rather than on the synthetic population.</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r>
        <w:t xml:space="preserve">The artefact is publicly available, which converts the reproducibility claim from an assertion into something a reader can test while reading. The source repository and a hosted demonstration are listed in Appendix A. The hosted application executes the same unmodified source and verifies, at the point of execution, that its run reproduces the figures reported in this chapter; it reports a failure notice rather than results if it does not. No claim in this thesis depends on the hosted application remaining available, and the repository, not the hosting, is the artefact.</w:t>
      </w:r>
    </w:p>
    <w:p>
      <w:pPr>
        <w:pStyle w:val="BodyText"/>
      </w:pPr>
      <w:r>
        <w:t xml:space="preserve">The demonstration therefore supports precisely the claim Chapter 1 made for it: the artefact behaves as specified, and the specification’s central results are checkable by a reader who declines to take the proofs on trust.</w:t>
      </w:r>
    </w:p>
    <w:p>
      <w:r>
        <w:pict>
          <v:rect style="width:0;height:1.5pt" o:hralign="center" o:hrstd="t" o:hr="t"/>
        </w:pict>
      </w:r>
    </w:p>
    <w:bookmarkEnd w:id="86"/>
    <w:bookmarkEnd w:id="87"/>
    <w:bookmarkStart w:id="100" w:name="chapter-6.-discussion"/>
    <w:p>
      <w:pPr>
        <w:pStyle w:val="Heading1"/>
      </w:pPr>
      <w:r>
        <w:t xml:space="preserve">Chapter 6. Discussion</w:t>
      </w:r>
    </w:p>
    <w:p>
      <w:r>
        <w:pict>
          <v:rect style="width:0;height:1.5pt" o:hralign="center" o:hrstd="t" o:hr="t"/>
        </w:pict>
      </w:r>
    </w:p>
    <w:bookmarkStart w:id="88" w:name="what-the-thesis-establishes"/>
    <w:p>
      <w:pPr>
        <w:pStyle w:val="Heading2"/>
      </w:pPr>
      <w:r>
        <w:t xml:space="preserve">6.1 What the Thesis Establishes</w:t>
      </w:r>
    </w:p>
    <w:p>
      <w:pPr>
        <w:pStyle w:val="FirstParagraph"/>
      </w:pPr>
      <w:r>
        <w:t xml:space="preserve">Before the limitations, the claim. Stating it precisely is what makes the limitations affordable.</w:t>
      </w:r>
    </w:p>
    <w:p>
      <w:pPr>
        <w:pStyle w:val="BodyText"/>
      </w:pPr>
      <w:r>
        <w:t xml:space="preserve">The thesis establishes that the conflict between audit-retention floors and the obligations to erase is not a property of the obligations but of an assumption about what satisfies them. Under the semantics implicit in audit systems designed before the right to erasure existed,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Chapter 4 proves both results; Chapter 5 witnesses them executably, and a separately written exhaustive search confirms that under the first semantics no assignment of payload accessibility whatsoever could succeed.</w:t>
      </w:r>
    </w:p>
    <w:p>
      <w:pPr>
        <w:pStyle w:val="BodyText"/>
      </w:pPr>
      <w:r>
        <w:t xml:space="preserve">The request-driven form of the conflict cannot be escaped by moving the record. A deletion ceiling anchored to a location yields to relocation, but the right to erasure attaches to whichever controller holds the data (Chapter 4, Section 4.10, Proposition L). Cryptographic invalidation is therefore necessary where a data subject’s request meets a retention floor, and in the cross-border pathway that is every request arriving inside the ten-year window, because the patient-discovery transaction puts the patient’s identifying query into the audit record by design.</w:t>
      </w:r>
    </w:p>
    <w:p>
      <w:pPr>
        <w:pStyle w:val="BodyText"/>
      </w:pPr>
      <w:r>
        <w:t xml:space="preserve">The sharpest instance is narrower, and rests on one contestable interpretive step. Article 73(1)(e) requires identifiable logs of access to and activity in a Secure Processing Environment to be kept for at least one year. Article 68(12) requires</w:t>
      </w:r>
      <w:r>
        <w:t xml:space="preserve"> </w:t>
      </w:r>
      <w:r>
        <w:t xml:space="preserve">“</w:t>
      </w:r>
      <w:r>
        <w:t xml:space="preserve">the electronic health data within the secure processing environment</w:t>
      </w:r>
      <w:r>
        <w:t xml:space="preserve">”</w:t>
      </w:r>
      <w:r>
        <w:t xml:space="preserve"> </w:t>
      </w:r>
      <w:r>
        <w:t xml:space="preserve">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Chapter 4, Section 4.6 sets out the grounds on both sides. Chapter 5 produced thirty-nine witnesses of this collision in the model, in a population of one hundred Secure Processing Environment records, and the same conditions produced ninety infeasible records across the full population of two hundred when the cross-border audit floor is included.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pPr>
        <w:pStyle w:val="BodyText"/>
      </w:pPr>
      <w:r>
        <w:t xml:space="preserve">Finally, the thesis specifies the mechanism that the feasibility proof exhibits: per-record keys, hiding commitments, invalidation entries carrying month, legal ground, and authorising actor, and a terminal transition at floor expiry that discharges the storage-limitation obligation on the metadata itself. Two clarifications of status belong here. The terminal transition of Section 4.8 is likewise specified but not implemented in the checker. The specification also provides for accumulator-based validity witnesses, which are an efficiency and verifiability layer rather than a component of either theorem, since Theorem 2 holds if validity is established by linear scan. They are specified but not implemented: the demonstration of Chapter 5 exercises keys, commitments, and invalidation entries, and no accumulator was built or run.</w:t>
      </w:r>
    </w:p>
    <w:p>
      <w:pPr>
        <w:pStyle w:val="BodyText"/>
      </w:pPr>
      <w:r>
        <w:t xml:space="preserve">What follows engages the objections to all of this in the order of their seriousness.</w:t>
      </w:r>
    </w:p>
    <w:bookmarkEnd w:id="88"/>
    <w:bookmarkStart w:id="89" w:name="the-authority-problem"/>
    <w:p>
      <w:pPr>
        <w:pStyle w:val="Heading2"/>
      </w:pPr>
      <w:r>
        <w:t xml:space="preserve">6.2 The Authority Problem</w:t>
      </w:r>
    </w:p>
    <w:p>
      <w:pPr>
        <w:pStyle w:val="FirstParagraph"/>
      </w:pPr>
      <w:r>
        <w:t xml:space="preserve">The most serious objection to this thesis is not technical, and it has not been raised by any reviewer of the work. 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does, and the argument is a good one. Article 17(3)(b) protects only processing that is</w:t>
      </w:r>
      <w:r>
        <w:t xml:space="preserve"> </w:t>
      </w:r>
      <w:r>
        <w:rPr>
          <w:iCs/>
          <w:i/>
        </w:rPr>
        <w:t xml:space="preserve">necessary</w:t>
      </w:r>
      <w:r>
        <w:t xml:space="preserve"> </w:t>
      </w:r>
      <w:r>
        <w:t xml:space="preserve">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r>
        <w:t xml:space="preserve">The consequence must be stated without softening. If a supervisory authority takes the view that Article 73(1)(e)’s requirement of</w:t>
      </w:r>
      <w:r>
        <w:t xml:space="preserve"> </w:t>
      </w:r>
      <w:r>
        <w:t xml:space="preserve">“</w:t>
      </w:r>
      <w:r>
        <w:t xml:space="preserve">identifiable logs</w:t>
      </w:r>
      <w:r>
        <w:t xml:space="preserve">”</w:t>
      </w:r>
      <w:r>
        <w:t xml:space="preserve"> </w:t>
      </w:r>
      <w:r>
        <w:t xml:space="preserve">entails logs whose subject matter remains readable, then Theorem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w:t>
      </w:r>
      <w:r>
        <w:t xml:space="preserve"> </w:t>
      </w:r>
      <w:r>
        <w:rPr>
          <w:iCs/>
          <w:i/>
        </w:rPr>
        <w:t xml:space="preserve">dissolvable in principle</w:t>
      </w:r>
      <w:r>
        <w:t xml:space="preserve"> </w:t>
      </w:r>
      <w:r>
        <w:t xml:space="preserve">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Article 73(1)(e) and Article 68(12) are in irreconcilable conflict and one must simply be disapplied: an outcome a supervisory authority is unlikely to prefer to a reading under which both can be honoured.</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w:t>
      </w:r>
      <w:r>
        <w:t xml:space="preserve"> </w:t>
      </w:r>
      <w:r>
        <w:rPr>
          <w:iCs/>
          <w:i/>
        </w:rPr>
        <w:t xml:space="preserve">documented threat model</w:t>
      </w:r>
      <w:r>
        <w:t xml:space="preserve"> </w:t>
      </w:r>
      <w:r>
        <w:t xml:space="preserve">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w:t>
      </w:r>
    </w:p>
    <w:p>
      <w:pPr>
        <w:pStyle w:val="BodyText"/>
      </w:pPr>
      <w:r>
        <w:t xml:space="preserve">Third, the question is decidable by asking. Chapter 7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either reading. The provision is framed by location rather than provenance, which supports the broad reading; its object is electronic health data, which confines that reading to logs kept at patient-record granularity; and its placement within the data-permit article supports the narrower construction. What makes this tolerable rather than fatal is that the dependency is confined: Corollary 1.2 stands or falls with it, and nothing else in the thesis does. The same request, addressed to the authorities responsible for EHDS incorporation, could reasonably carry this one alongside it.</w:t>
      </w:r>
    </w:p>
    <w:bookmarkEnd w:id="89"/>
    <w:bookmarkStart w:id="90" w:name="Xded207afce20f277dc3fb975fe95ea550887e42"/>
    <w:p>
      <w:pPr>
        <w:pStyle w:val="Heading2"/>
      </w:pPr>
      <w:r>
        <w:t xml:space="preserve">6.3 Key Destruction and the Limits of Assurance</w:t>
      </w:r>
    </w:p>
    <w:p>
      <w:pPr>
        <w:pStyle w:val="FirstParagraph"/>
      </w:pPr>
      <w:r>
        <w:t xml:space="preserve">The second objection is the one the thesis has carried since Chapter 2, and it is the honest 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pPr>
      <w:r>
        <w:t xml:space="preserve">The thesis’s response is to be precise about what the invalidation entry is. It is an</w:t>
      </w:r>
      <w:r>
        <w:t xml:space="preserve"> </w:t>
      </w:r>
      <w:r>
        <w:rPr>
          <w:iCs/>
          <w:i/>
        </w:rPr>
        <w:t xml:space="preserve">attested</w:t>
      </w:r>
      <w:r>
        <w:t xml:space="preserve"> </w:t>
      </w:r>
      <w:r>
        <w:t xml:space="preserve">record of destruction, not a</w:t>
      </w:r>
      <w:r>
        <w:t xml:space="preserve"> </w:t>
      </w:r>
      <w:r>
        <w:rPr>
          <w:iCs/>
          <w:i/>
        </w:rPr>
        <w:t xml:space="preserve">proof</w:t>
      </w:r>
      <w:r>
        <w:t xml:space="preserve"> </w:t>
      </w:r>
      <w:r>
        <w:t xml:space="preserve">of it. The entry records that a named actor destroyed a named key at a named month on a named legal ground, and binds that claim into an append-only audit trail alongside a commitment to the destroyed key’s identifier. An auditor can establish that the claim was made, by whom, and when; an auditor cannot establish that the claim is true. The difference between attestation and proof is the boundary of this contribution.</w:t>
      </w:r>
    </w:p>
    <w:p>
      <w:pPr>
        <w:pStyle w:val="BodyText"/>
      </w:pPr>
      <w:r>
        <w:t xml:space="preserve">That boundary is where an active research programme sits, and naming it locates the thesis honestly within the field rather than overstating its reach.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w:t>
      </w:r>
      <w:r>
        <w:t xml:space="preserve"> </w:t>
      </w:r>
      <w:r>
        <w:rPr>
          <w:iCs/>
          <w:i/>
        </w:rPr>
        <w:t xml:space="preserve">public verifiability</w:t>
      </w:r>
      <w:r>
        <w:t xml:space="preserve">, enabling parties other than the originator to verify such a certificate, as an open problem (Broadbent &amp; Islam, 2020). Were public verifiability of deletion certificates achieved, the invalidation entry specified in Chapter 4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so an auditor cannot even establish</w:t>
      </w:r>
      <w:r>
        <w:t xml:space="preserve"> </w:t>
      </w:r>
      <w:r>
        <w:rPr>
          <w:iCs/>
          <w:i/>
        </w:rPr>
        <w:t xml:space="preserve">what</w:t>
      </w:r>
      <w:r>
        <w:t xml:space="preserve"> </w:t>
      </w:r>
      <w:r>
        <w:t xml:space="preserve">was destroyed. The mechanism does not solve the assurance problem. It does improve on every available alternative with respect to it.</w:t>
      </w:r>
    </w:p>
    <w:bookmarkEnd w:id="90"/>
    <w:bookmarkStart w:id="91" w:name="the-cost-objection"/>
    <w:p>
      <w:pPr>
        <w:pStyle w:val="Heading2"/>
      </w:pPr>
      <w:r>
        <w:t xml:space="preserve">6.4 The Cost Objection</w:t>
      </w:r>
    </w:p>
    <w:p>
      <w:pPr>
        <w:pStyle w:val="FirstParagraph"/>
      </w:pPr>
      <w:r>
        <w:t xml:space="preserve">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Chapter 4 requires per-record key granularity, and Section 4.8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w:t>
      </w:r>
      <w:r>
        <w:t xml:space="preserve"> </w:t>
      </w:r>
      <w:r>
        <w:rPr>
          <w:iCs/>
          <w:i/>
        </w:rPr>
        <w:t xml:space="preserve">who may read</w:t>
      </w:r>
      <w:r>
        <w:t xml:space="preserve"> </w:t>
      </w:r>
      <w:r>
        <w:t xml:space="preserve">data; they do not cause data to cease to be readable. Against Article 68(12), which requires that personal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bookmarkEnd w:id="91"/>
    <w:bookmarkStart w:id="92" w:name="scalability"/>
    <w:p>
      <w:pPr>
        <w:pStyle w:val="Heading2"/>
      </w:pPr>
      <w:r>
        <w:t xml:space="preserve">6.5 Scalability</w:t>
      </w:r>
    </w:p>
    <w:p>
      <w:pPr>
        <w:pStyle w:val="FirstParagraph"/>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volumes.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Section 6.4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Chapter 4, Section 4.8 specifies the accumulator as a verifiability and efficiency layer rather than a component of either theorem: an implementation that finds witness maintenance too costly at its volume can establish validity by scanning the invalidation registry, losing succinctness and retaining correctness.</w:t>
      </w:r>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bookmarkEnd w:id="92"/>
    <w:bookmarkStart w:id="93" w:name="X44fba077a1d6c8b053ceb66fb0b4946e89febc8"/>
    <w:p>
      <w:pPr>
        <w:pStyle w:val="Heading2"/>
      </w:pPr>
      <w:r>
        <w:t xml:space="preserve">6.6 Evaluation Design and the Role of Stakeholder Assessment</w:t>
      </w:r>
    </w:p>
    <w:p>
      <w:pPr>
        <w:pStyle w:val="FirstParagraph"/>
      </w:pPr>
      <w:r>
        <w:t xml:space="preserve">The evaluation reported in this thesis is analytical, and Section 3.7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Section 6.2 identifies as carrying Corollary 1.2. Questionnaire item A2 asks whether attested key destruction is sufficient without hardware-backed proof, which is the boundary Section 6.3 describes. And items O1 to O4 address the operational burden that Section 6.4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Chapter 3, Section 3.8: doing so would process personal data about identifiable professionals, require notification to Sikt, and require revision of the scope and ethics statements that are accurate for the thesis as submitted. Its execution is the immediate next step identified in Chapter 7, Section 7.5, and the findings would feed back into the design cycle rather than being appended to it, revising the trust model of Chapter 4, Section 4.9, the residue analysis, and the direction of the next iteration.</w:t>
      </w:r>
    </w:p>
    <w:bookmarkEnd w:id="93"/>
    <w:bookmarkStart w:id="94" w:name="Xb09e9d760b9049b450198be4ab64b306a64bdc7"/>
    <w:p>
      <w:pPr>
        <w:pStyle w:val="Heading2"/>
      </w:pPr>
      <w:r>
        <w:t xml:space="preserve">6.7 Synthetic Data and the Limits of the Demonstration</w:t>
      </w:r>
    </w:p>
    <w:p>
      <w:pPr>
        <w:pStyle w:val="FirstParagraph"/>
      </w:pPr>
      <w:r>
        <w:t xml:space="preserve">Chapter 3 specified a two-layer sandbox: a feasibility checker carrying the load-bearing claim, and a realism layer feeding it Synthea-generated FHIR records. Both were built and both were run, and the result of running the second is more informative than its mere existence.</w:t>
      </w:r>
    </w:p>
    <w:p>
      <w:pPr>
        <w:pStyle w:val="BodyText"/>
      </w:pPr>
      <w:r>
        <w:t xml:space="preserve">Substituting real FHIR R4 resources for constructed payload strings changed every commitment in the population, all two hundred, and changed no reported figure whatsoever. Mean payload size rose from thirty-five bytes to one thousand and six. Violations, witnesses, invalidation counts, and grounds were identical. This is the expected outcome and the model would be defective otherwise, since no constraint in the TRF Model reads payload content; the value of running the comparison rather than asserting the invariance is that the claim was tested against a case where the inputs demonstrably moved.</w:t>
      </w:r>
    </w:p>
    <w:p>
      <w:pPr>
        <w:pStyle w:val="BodyText"/>
      </w:pPr>
      <w:r>
        <w:t xml:space="preserve">Two limitations of the generated cohort are carried forward rather than resolved.</w:t>
      </w:r>
    </w:p>
    <w:p>
      <w:pPr>
        <w:pStyle w:val="BodyText"/>
      </w:pPr>
      <w:r>
        <w:t xml:space="preserve">Synthea’s default export conforms to the US Core implementation guide, with United States demographic, geographic, and care-pattern parameters. The FHIR version matches the version the Norwegian basisprofiler constrain, and the resource structure is genuine, but the profiles are not Norwegian and no claim of Norwegian clinical representativeness is made for the records. The invariance result establishes that this cannot affect any figure, and the thesis’s Norwegian grounding rests on the infrastructure analysis of Chapter 4, Section 4.11 rather than on the synthetic population. Had the thesis made epidemiological or clinical claims, this limitation would be disqualifying; because its claims concern the behaviour of audit records under constraint, it is not.</w:t>
      </w:r>
    </w:p>
    <w:p>
      <w:pPr>
        <w:pStyle w:val="BodyText"/>
      </w:pPr>
      <w:r>
        <w:t xml:space="preserve">Synthea’s validity has itself been assessed. Chen and colleagues found the generator reliable in modelling demographics and the probability of services being offered, and limited in modelling heterogeneous outcomes following intervention and regional variation in care quality (Chen, Chun, Patel, Chiang, &amp; James, 2019). The same reasoning applies: the limitations are in dimensions this thesis does not use.</w:t>
      </w:r>
    </w:p>
    <w:p>
      <w:pPr>
        <w:pStyle w:val="BodyText"/>
      </w:pPr>
      <w:r>
        <w:t xml:space="preserve">The deeper limitation is that a demonstration over generated instances is not a proof over all instances. The general claims rest on the arguments in Chapter 4, and those arguments are informal rather than machine-checked. The executable check and the exhaustive cross-check reduce the probability that an error in the proofs has gone unnoticed; they do not eliminate it.</w:t>
      </w:r>
    </w:p>
    <w:bookmarkEnd w:id="94"/>
    <w:bookmarkStart w:id="95" w:name="implications-for-practice-and-policy"/>
    <w:p>
      <w:pPr>
        <w:pStyle w:val="Heading2"/>
      </w:pPr>
      <w:r>
        <w:t xml:space="preserve">6.8 Implications for Practice and Policy</w:t>
      </w:r>
    </w:p>
    <w:p>
      <w:pPr>
        <w:pStyle w:val="FirstParagraph"/>
      </w:pPr>
      <w:r>
        <w:t xml:space="preserve">The timing argument is the strongest claim to practical relevance this thesis makes, and it is worth stating with the calendar in front of it.</w:t>
      </w:r>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this thesis characterises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were finalised through the SPUHiN process after a public hearing running from July to October 2025, and are positioned explicitly as a national reference basis pending the Union implementing act (SPUHiN, 2025). The finalised compliance checklists, as inspected, address information-security management, identity assurance, and access governance. They grade an information-security management system as mandatory and ISO 27001 certification as recommended, and require eID-based authentication at defined assurance levels. No requirement addressing the reconciliation of retention with erasure and deletion appears among them. This is an absence observed in the published checklists rather than established against the full deliverable, which remains on the verification register; the claim is stated at that strength deliberately.</w:t>
      </w:r>
    </w:p>
    <w:p>
      <w:pPr>
        <w:pStyle w:val="BodyText"/>
      </w:pPr>
      <w:r>
        <w:t xml:space="preserve">The corrected picture of Norwegian cross-border operations reinforces rather than weakens this. Norway’s National Contact Point is in live pilot operation at the Bodø and Stjørdal emergency clinics, connected to Portugal, Czechia, and Finland, with the Directorate’s own portfolio reporting noting that no relevant patients had yet presented for the solution to be used in practice (Helsedirektoratet, 2026). 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w:t>
      </w:r>
      <w:r>
        <w:t xml:space="preserve"> </w:t>
      </w:r>
      <w:r>
        <w:rPr>
          <w:iCs/>
          <w:i/>
        </w:rPr>
        <w:t xml:space="preserve">what was invalidated, when, on what legal ground, and by whom</w:t>
      </w:r>
      <w:r>
        <w:t xml:space="preserve"> </w:t>
      </w:r>
      <w:r>
        <w:t xml:space="preserve">as a first-class audit event costs little and converts an unexplained absence into an accountable one.</w:t>
      </w:r>
    </w:p>
    <w:p>
      <w:pPr>
        <w:pStyle w:val="BodyText"/>
      </w:pPr>
      <w:r>
        <w:t xml:space="preserve">For TEHDAS2 and its successors, whose Secure Processing Environment specifications published during 2026 define minimum capabilities and the interoperability baseline for federating environments, the collision is presently unaddressed in guidance that treats deletion at permit closure as an operational service.</w:t>
      </w:r>
    </w:p>
    <w:p>
      <w:pPr>
        <w:pStyle w:val="BodyText"/>
      </w:pPr>
      <w:r>
        <w:t xml:space="preserve">A word of restraint is owed here. This thesis is a Master’s dissertation proposing a design, not a regulatory impact assessment. The policy implications above are offered as an argument to the bodies concerned, not as advice they are obliged to weigh, and their force depends entirely on the authority question of Section 6.2 being resolved favourably.</w:t>
      </w:r>
    </w:p>
    <w:bookmarkEnd w:id="95"/>
    <w:bookmarkStart w:id="96" w:name="theoretical-implications"/>
    <w:p>
      <w:pPr>
        <w:pStyle w:val="Heading2"/>
      </w:pPr>
      <w:r>
        <w:t xml:space="preserve">6.9 Theoretical Implications</w:t>
      </w:r>
    </w:p>
    <w:p>
      <w:pPr>
        <w:pStyle w:val="FirstParagraph"/>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2022); its application here is what is new, and the applicability of the formulation beyond health data is an open question the thesis does not settle. The structure (one or more floors, a subject-triggered right, a ceiling) is not obviously specific to health. Section 6.9a tests that expectation against a statute outside health and returns a negative result which revises it: what matters is not that a floor and a ceiling coexist but where the ceiling is anchored. Financial record-keeping under MiFID II remains a candidate instance on that revised test, flagged for future analysis rather than established: the practitioner literature reviewed in Chapter 2 treats that setting as a floor-against-right conflict, and whether any ceiling analogous to Article 68(12) operates there is a question this thesis has not investigated.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Sections 6.2 and 6.3 attached. The fourth open problem on the same list, composition with zero-knowledge selective disclosure, is a problem this thesis creates rather than solves, and Chapter 7 treats it accordingly.</w:t>
      </w:r>
    </w:p>
    <w:bookmarkEnd w:id="96"/>
    <w:bookmarkStart w:id="97" w:name="X07932d8e32c76e9ed117ddf61fe9b04769bcab2"/>
    <w:p>
      <w:pPr>
        <w:pStyle w:val="Heading2"/>
      </w:pPr>
      <w:r>
        <w:t xml:space="preserve">6.9a Where the Ceiling Is Anchored: a Cross-Sector Test</w:t>
      </w:r>
    </w:p>
    <w:p>
      <w:pPr>
        <w:pStyle w:val="FirstParagraph"/>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w:t>
      </w:r>
      <w:r>
        <w:t xml:space="preserve"> </w:t>
      </w:r>
      <w:r>
        <w:rPr>
          <w:iCs/>
          <w:i/>
        </w:rPr>
        <w:t xml:space="preserve">Opplysninger om bruk av systemet skal registreres og lagres i minst 1 år og slettes senest etter 3 år</w:t>
      </w:r>
      <w:r>
        <w:t xml:space="preserve"> </w:t>
      </w:r>
      <w:r>
        <w:t xml:space="preserve">(Politiregisterloven,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w:t>
      </w:r>
      <w:r>
        <w:t xml:space="preserve"> </w:t>
      </w:r>
      <w:r>
        <w:rPr>
          <w:bCs/>
          <w:b/>
        </w:rPr>
        <w:t xml:space="preserve">none</w:t>
      </w:r>
      <w:r>
        <w:t xml:space="preserve"> </w:t>
      </w:r>
      <w:r>
        <w:t xml:space="preserve">arose without an erasure request. Under Semantics II there were no violations at all, and every record was invalidated at its scheduled month. The module that produces this is listed in full at Appendix A, Section A.9c, and its console output at Section A.14.</w:t>
      </w:r>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pPr>
      <w:r>
        <w:t xml:space="preserve">Article 68(12) behaves differently for a structural reason rather than a numerical one.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Theorem 1 characterises, and Corollary 1.2 is the case where it happens with no erasure request present at all.</w:t>
      </w:r>
    </w:p>
    <w:p>
      <w:pPr>
        <w:pStyle w:val="BodyText"/>
      </w:pPr>
      <w:r>
        <w:t xml:space="preserve">This sharpens the contribution and narrows it at the same time. It suggests that the diagnostic question for any candidate instance is not whether a floor and a ceiling both exist, which is common, but whether they are anchored to the same event, which is not.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Chapter 4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ceiling from a single origin does not produce it.</w:t>
      </w:r>
    </w:p>
    <w:bookmarkEnd w:id="97"/>
    <w:bookmarkStart w:id="98" w:name="boundaries-as-contribution"/>
    <w:p>
      <w:pPr>
        <w:pStyle w:val="Heading2"/>
      </w:pPr>
      <w:r>
        <w:t xml:space="preserve">6.10 Boundaries as Contribution</w:t>
      </w:r>
    </w:p>
    <w:p>
      <w:pPr>
        <w:pStyle w:val="FirstParagraph"/>
      </w:pPr>
      <w:r>
        <w:t xml:space="preserve">An unusual amount of this thesis consists of statements about what it does not do. That is a deliberate methodological position and not an apology, and it is worth defending explicitly because an examiner may read it either way.</w:t>
      </w:r>
    </w:p>
    <w:p>
      <w:pPr>
        <w:pStyle w:val="BodyText"/>
      </w:pPr>
      <w:r>
        <w:t xml:space="preserve">The first version of this project, abandoned in May 2026, made broader claims than it could support, as the Declaration of Originality records. The breadth of those claims was what made them fragile: a claim to have done six things fails if any one of them fails.</w:t>
      </w:r>
    </w:p>
    <w:p>
      <w:pPr>
        <w:pStyle w:val="BodyText"/>
      </w:pPr>
      <w:r>
        <w:t xml:space="preserve">The rebuilt thesis makes one bounded claim and prices every limitation into it in advance. The proofs are informal, not machine-checked. The demonstration covers generated instances under one seed, not all instances. Key destruction is simulated in program state and says nothing about deployment assurance. The synthetic records carry US Core profiles, not Norwegian ones. The cryptographic primitives are established technique, not novel construction. The closest prior art is a patent claiming key-expiry selection for retention-purge conflicts, disclosed and distinguished rather than omitted. The interpretive move at the centre of the thesis is an argument without authority behind it.</w:t>
      </w:r>
    </w:p>
    <w:p>
      <w:pPr>
        <w:pStyle w:val="BodyText"/>
      </w:pPr>
      <w:r>
        <w:t xml:space="preserve">Each of those concessions costs nothing, because none of them was ever claimed. That is the practical value of a narrow claim, and it is the methodological lesson of the rebuild: a contribution that states its boundaries can be checked at those boundaries and found sound, whereas a contribution that does not can only be found wanting.</w:t>
      </w:r>
    </w:p>
    <w:bookmarkEnd w:id="98"/>
    <w:bookmarkStart w:id="99" w:name="summary-1"/>
    <w:p>
      <w:pPr>
        <w:pStyle w:val="Heading2"/>
      </w:pPr>
      <w:r>
        <w:t xml:space="preserve">6.11 Summary</w:t>
      </w:r>
    </w:p>
    <w:p>
      <w:pPr>
        <w:pStyle w:val="FirstParagraph"/>
      </w:pPr>
      <w:r>
        <w:t xml:space="preserve">The thesis establishes a collision internal to the European Health Data Space Regulation, proves that it follows from an assumption about verifiability rather than from the obligations themselves, exhibits the mechanism that dissolves it, and demonstrates both results executably with an independent cross-check.</w:t>
      </w:r>
    </w:p>
    <w:p>
      <w:pPr>
        <w:pStyle w:val="BodyText"/>
      </w:pPr>
      <w:r>
        <w:t xml:space="preserve">Its principal vulnerability is that the interpretive move at its centre has no regulatory authority behind it, and resolving that is the most valuable next step available. Its honest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Chapter 7 draws the conclusions and states the work that follows.</w:t>
      </w:r>
    </w:p>
    <w:p>
      <w:r>
        <w:pict>
          <v:rect style="width:0;height:1.5pt" o:hralign="center" o:hrstd="t" o:hr="t"/>
        </w:pict>
      </w:r>
    </w:p>
    <w:bookmarkEnd w:id="99"/>
    <w:bookmarkEnd w:id="100"/>
    <w:bookmarkStart w:id="107" w:name="chapter-7.-conclusion"/>
    <w:p>
      <w:pPr>
        <w:pStyle w:val="Heading1"/>
      </w:pPr>
      <w:r>
        <w:t xml:space="preserve">Chapter 7. Conclusion</w:t>
      </w:r>
    </w:p>
    <w:p>
      <w:r>
        <w:pict>
          <v:rect style="width:0;height:1.5pt" o:hralign="center" o:hrstd="t" o:hr="t"/>
        </w:pict>
      </w:r>
    </w:p>
    <w:bookmarkStart w:id="101" w:name="the-problem-and-the-answer"/>
    <w:p>
      <w:pPr>
        <w:pStyle w:val="Heading2"/>
      </w:pPr>
      <w:r>
        <w:t xml:space="preserve">7.1 The Problem and the Answer</w:t>
      </w:r>
    </w:p>
    <w:p>
      <w:pPr>
        <w:pStyle w:val="FirstParagraph"/>
      </w:pPr>
      <w:r>
        <w:t xml:space="preserve">This thesis began from a conflict that the European Health Data Space Regulation does not resolve. Cross-border health data exchange generates audit records subject to retention floors: ten years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no guidance addresses their interaction, and the technical specifications 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personal-data payload. The model has three constraint types, being a parameterised retention floor, an erasure deadline, and a deletion ceiling, and it makes the semantics of</w:t>
      </w:r>
      <w:r>
        <w:t xml:space="preserve"> </w:t>
      </w:r>
      <w:r>
        <w:rPr>
          <w:iCs/>
          <w:i/>
        </w:rPr>
        <w:t xml:space="preserve">verifiability</w:t>
      </w:r>
      <w:r>
        <w:t xml:space="preserve"> </w:t>
      </w:r>
      <w:r>
        <w:t xml:space="preserve">an explicit parameter rather than an unexamined assumption.</w:t>
      </w:r>
    </w:p>
    <w:p>
      <w:pPr>
        <w:pStyle w:val="BodyText"/>
      </w:pPr>
      <w:r>
        <w:t xml:space="preserve">It proved two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w:t>
      </w:r>
    </w:p>
    <w:p>
      <w:pPr>
        <w:pStyle w:val="BodyText"/>
      </w:pPr>
      <w:r>
        <w:t xml:space="preserve">It specified the mechanism that the second proof exhibits. Crypto-Erasure by Invalidation retains event metadata and a hiding commitment, and destroys the per-record payload key at the earlier of the erasure deadline and the deletion ceiling. It appends the invalidation to the audit trail as a first-class event carrying its month, legal ground, and authorising actor. At floor expiry it performs a terminal transition that destroys the identifying metadata and leaves a non-identifiable statistical residue.</w:t>
      </w:r>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 and that predates the right to erasure.</w:t>
      </w:r>
    </w:p>
    <w:bookmarkEnd w:id="101"/>
    <w:bookmarkStart w:id="102" w:name="contributions"/>
    <w:p>
      <w:pPr>
        <w:pStyle w:val="Heading2"/>
      </w:pPr>
      <w:r>
        <w:t xml:space="preserve">7.2 Contributions</w:t>
      </w:r>
    </w:p>
    <w:p>
      <w:pPr>
        <w:pStyle w:val="FirstParagraph"/>
      </w:pPr>
      <w:r>
        <w:t xml:space="preserve">Four contributions are claimed, each bounded.</w:t>
      </w:r>
    </w:p>
    <w:p>
      <w:pPr>
        <w:pStyle w:val="BodyText"/>
      </w:pPr>
      <w:r>
        <w:rPr>
          <w:iCs/>
          <w:i/>
        </w:rPr>
        <w:t xml:space="preserve">A formal characterisation of the tri-lateral retention conflict.</w:t>
      </w:r>
      <w:r>
        <w:t xml:space="preserve"> </w:t>
      </w:r>
      <w:r>
        <w:t xml:space="preserve">The general method of treating legal compliance as a satisfiability problem is established (Feng, Marsso, Sabetzadeh, &amp; Chechik, 2022)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r>
        <w:rPr>
          <w:iCs/>
          <w:i/>
        </w:rPr>
        <w:t xml:space="preserve">Two feasibility results with an executable witness.</w:t>
      </w:r>
      <w:r>
        <w:t xml:space="preserve"> </w:t>
      </w:r>
      <w:r>
        <w:t xml:space="preserve">Theorem 1 establishes infeasibility under the status-quo semantics; Theorem 2 establishes satisfiability under the alternative and exhibits the trajectory that achieves it. Both were demonstrated over two hundred records, producing ninety infeasible records and ninety-five violations under the first semantics and none under the second, with a separately written exhaustive search confirming that under the first semantics no assignment of payload accessibility whatsoever succeeds. The proofs are informal and the demonstration covers generated instances; neither is presented as more.</w:t>
      </w:r>
    </w:p>
    <w:p>
      <w:pPr>
        <w:pStyle w:val="BodyText"/>
      </w:pPr>
      <w:r>
        <w:rPr>
          <w:iCs/>
          <w:i/>
        </w:rPr>
        <w:t xml:space="preserve">A mechanism specification with its residue analysed.</w:t>
      </w:r>
      <w:r>
        <w:t xml:space="preserve"> </w:t>
      </w:r>
      <w:r>
        <w:t xml:space="preserve">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The residue it leaves is characterised honestly as pseudonymised rather than anonymous by the Norwegian threshold, and designed to the corridor that the European Data Protection Board’s finalised Guidelines 02/2025 establish.</w:t>
      </w:r>
    </w:p>
    <w:p>
      <w:pPr>
        <w:pStyle w:val="BodyText"/>
      </w:pPr>
      <w:r>
        <w:rPr>
          <w:iCs/>
          <w:i/>
        </w:rPr>
        <w:t xml:space="preserve">An integration analysis against verified Norwegian infrastructure.</w:t>
      </w:r>
      <w:r>
        <w:t xml:space="preserve"> </w:t>
      </w:r>
      <w:r>
        <w:t xml:space="preserve">The mechanism is placed at the two narrowest points at which it achieves its purpose: the audit-repository step of the MyHealth@EU transmission flow, and the access-logging boundary of a Secure Processing Environment. It requires of the substrate nothing that the finalised national criteria do not already demand. That constraint was derived from the documented fragmentation of Norwegian practice rather than assumed.</w:t>
      </w:r>
    </w:p>
    <w:bookmarkEnd w:id="102"/>
    <w:bookmarkStart w:id="103" w:name="what-the-thesis-does-not-establish"/>
    <w:p>
      <w:pPr>
        <w:pStyle w:val="Heading2"/>
      </w:pPr>
      <w:r>
        <w:t xml:space="preserve">7.3 What the Thesis Does Not Establish</w:t>
      </w:r>
    </w:p>
    <w:p>
      <w:pPr>
        <w:pStyle w:val="FirstParagraph"/>
      </w:pPr>
      <w:r>
        <w:t xml:space="preserve">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 because each was priced into the claim before the claim was made and a conclusion that re-enumerates them adds length rather than candour.</w:t>
      </w:r>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is the honest statement of where this thesis is weakest.</w:t>
      </w:r>
    </w:p>
    <w:bookmarkEnd w:id="103"/>
    <w:bookmarkStart w:id="104" w:name="the-two-open-questions-of-authority"/>
    <w:p>
      <w:pPr>
        <w:pStyle w:val="Heading2"/>
      </w:pPr>
      <w:r>
        <w:t xml:space="preserve">7.4 The Two Open Questions of Authority</w:t>
      </w:r>
    </w:p>
    <w:p>
      <w:pPr>
        <w:pStyle w:val="FirstParagraph"/>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w:t>
      </w:r>
      <w:r>
        <w:t xml:space="preserve"> </w:t>
      </w:r>
      <w:r>
        <w:t xml:space="preserve">“</w:t>
      </w:r>
      <w:r>
        <w:t xml:space="preserve">identifiable logs</w:t>
      </w:r>
      <w:r>
        <w:t xml:space="preserve">”</w:t>
      </w:r>
      <w:r>
        <w:t xml:space="preserve"> </w:t>
      </w:r>
      <w:r>
        <w:t xml:space="preserve">in Article 73(1)(e) as requiring logs whose subject matter remains readable, Theorem 2 remains true of the model and inert in practice.</w:t>
      </w:r>
    </w:p>
    <w:p>
      <w:pPr>
        <w:pStyle w:val="BodyText"/>
      </w:pPr>
      <w:r>
        <w:t xml:space="preserve">The second concerns scope. Article 68(12) requires</w:t>
      </w:r>
      <w:r>
        <w:t xml:space="preserve"> </w:t>
      </w:r>
      <w:r>
        <w:t xml:space="preserve">“</w:t>
      </w:r>
      <w:r>
        <w:t xml:space="preserve">the electronic health data within the secure processing environment</w:t>
      </w:r>
      <w:r>
        <w:t xml:space="preserve">”</w:t>
      </w:r>
      <w:r>
        <w:t xml:space="preserve"> </w:t>
      </w:r>
      <w:r>
        <w:t xml:space="preserve">to be deleted within six months of permit expiry. On the broad reading, which takes the provision’s scope from its location, it reaches access logs kept at patient-record granularity, whose subject fields are data concerning health. The competing construction, supported by the provision’s placement within the data-permit article, confines it to the permitted dataset. Chapter 4, Section 4.6 shows that Corollary 1.2 stands or falls with this question and that nothing else in the thesis does. A related question remains open on either reading: whether auditing</w:t>
      </w:r>
      <w:r>
        <w:t xml:space="preserve"> </w:t>
      </w:r>
      <w:r>
        <w:t xml:space="preserve">“</w:t>
      </w:r>
      <w:r>
        <w:t xml:space="preserve">all processing operations</w:t>
      </w:r>
      <w:r>
        <w:t xml:space="preserve">”</w:t>
      </w:r>
      <w:r>
        <w:t xml:space="preserve"> </w:t>
      </w:r>
      <w:r>
        <w:t xml:space="preserve">after the ceiling needs the subject link, or only the accessor fields that the Joint Action’s specification requires every log to carry.</w:t>
      </w:r>
    </w:p>
    <w:p>
      <w:pPr>
        <w:pStyle w:val="BodyText"/>
      </w:pPr>
      <w: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bookmarkEnd w:id="104"/>
    <w:bookmarkStart w:id="105" w:name="future-work"/>
    <w:p>
      <w:pPr>
        <w:pStyle w:val="Heading2"/>
      </w:pPr>
      <w:r>
        <w:t xml:space="preserve">7.5 Future Work</w:t>
      </w:r>
    </w:p>
    <w:p>
      <w:pPr>
        <w:pStyle w:val="FirstParagraph"/>
      </w:pPr>
      <w:r>
        <w:t xml:space="preserve">Four lines follow, the first immediate and the remainder in ascending order of difficulty.</w:t>
      </w:r>
    </w:p>
    <w:p>
      <w:pPr>
        <w:pStyle w:val="BodyText"/>
      </w:pPr>
      <w:r>
        <w:rPr>
          <w:iCs/>
          <w:i/>
        </w:rPr>
        <w:t xml:space="preserve">Execution of the expert evaluation.</w:t>
      </w:r>
      <w:r>
        <w:t xml:space="preserve"> </w:t>
      </w:r>
      <w:r>
        <w:t xml:space="preserve">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Section 7.4, this is the shortest route from the present contribution to a validated one.</w:t>
      </w:r>
    </w:p>
    <w:p>
      <w:pPr>
        <w:pStyle w:val="BodyText"/>
      </w:pPr>
      <w:r>
        <w:rPr>
          <w:iCs/>
          <w:i/>
        </w:rPr>
        <w:t xml:space="preserve">Selective disclosure of invalidation completeness.</w:t>
      </w:r>
      <w:r>
        <w:t xml:space="preserve"> </w:t>
      </w:r>
      <w:r>
        <w:t xml:space="preserve">The mechanism creates a problem it does not solve. When a data subject exercises Article 17, every record relating to them is invalidated, and an auditor should be able to confirm that</w:t>
      </w:r>
      <w:r>
        <w:t xml:space="preserve"> </w:t>
      </w:r>
      <w:r>
        <w:rPr>
          <w:iCs/>
          <w:i/>
        </w:rPr>
        <w:t xml:space="preserve">all</w:t>
      </w:r>
      <w:r>
        <w:t xml:space="preserve"> </w:t>
      </w:r>
      <w:r>
        <w:t xml:space="preserve">of them were. But identifying which records those are reveals the subject’s cross-border care history, which is precisely what the erasure was meant to protect. Proving completeness of invalidation without revealing the invalidated set is a zero-knowledge problem, and it corresponds to the fourth of the five open problems identified by Aikebaier (2026), composition with zero-knowledge selective disclosure. This is where succinct arguments become necessary rather than decorative. The project name carried by this work originates in an earlier design that assumed zero-knowledge machinery would enforce the retention conflict; the analysis showed it unnecessary there, and shows it unavoidable here.</w:t>
      </w:r>
    </w:p>
    <w:p>
      <w:pPr>
        <w:pStyle w:val="BodyText"/>
      </w:pPr>
      <w:r>
        <w:rPr>
          <w:iCs/>
          <w:i/>
        </w:rPr>
        <w:t xml:space="preserve">Public verifiability of deletion certificates.</w:t>
      </w:r>
      <w:r>
        <w:t xml:space="preserve"> </w:t>
      </w:r>
      <w:r>
        <w:t xml:space="preserve">The boundary identified in Chapter 6, Section 6.3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rPr>
          <w:iCs/>
          <w:i/>
        </w:rPr>
        <w:t xml:space="preserve">Generalisation beyond health data.</w:t>
      </w:r>
      <w:r>
        <w:t xml:space="preserve"> </w:t>
      </w:r>
      <w:r>
        <w:t xml:space="preserve">The structure the model captures (one or more retention floors, a subject-triggered erasure right, and a deletion ceiling) is not obviously specific to health. Whether other regulated sectors present genuine tri-lateral instances, as distinct from the bi-lateral floor-against-right conflicts documented in financial record-keeping, is a question this thesis has flagged rather than investigated. Establishing that the formulation transfers, or that it does not, would determine whether the contribution is a result about one regulation or a method for a class of them.</w:t>
      </w:r>
    </w:p>
    <w:bookmarkEnd w:id="105"/>
    <w:bookmarkStart w:id="106" w:name="closing"/>
    <w:p>
      <w:pPr>
        <w:pStyle w:val="Heading2"/>
      </w:pPr>
      <w:r>
        <w:t xml:space="preserve">7.6 Closing</w:t>
      </w:r>
    </w:p>
    <w:p>
      <w:pPr>
        <w:pStyle w:val="FirstParagraph"/>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finalised after public hearing, 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Every limitation was stated before it was found. The two places where the argument outruns its authority are named rather than concealed, and the means of settling them is a letter rather than a research programme.</w:t>
      </w:r>
    </w:p>
    <w:p>
      <w:pPr>
        <w:pStyle w:val="BodyText"/>
      </w:pPr>
      <w:r>
        <w:t xml:space="preserve">That is the thesis. What remains is to ask the questions it cannot answer itself.</w:t>
      </w:r>
    </w:p>
    <w:p>
      <w:r>
        <w:pict>
          <v:rect style="width:0;height:1.5pt" o:hralign="center" o:hrstd="t" o:hr="t"/>
        </w:pict>
      </w:r>
    </w:p>
    <w:bookmarkEnd w:id="106"/>
    <w:bookmarkEnd w:id="107"/>
    <w:bookmarkStart w:id="108" w:name="references"/>
    <w:p>
      <w:pPr>
        <w:pStyle w:val="Heading1"/>
      </w:pPr>
      <w:r>
        <w:t xml:space="preserve">References</w:t>
      </w:r>
    </w:p>
    <w:p>
      <w:pPr>
        <w:pStyle w:val="FirstParagraph"/>
      </w:pPr>
      <w:r>
        <w:t xml:space="preserve">Aikebaier, Y. (2026).</w:t>
      </w:r>
      <w:r>
        <w:t xml:space="preserve"> </w:t>
      </w:r>
      <w:r>
        <w:rPr>
          <w:iCs/>
          <w:i/>
        </w:rPr>
        <w:t xml:space="preserve">SoK: Cryptographic erasure on public ledgers: Application-layer architectures, key-lifecycle adversaries, and GDPR Art. 17 equivalence</w:t>
      </w:r>
      <w:r>
        <w:t xml:space="preserve"> </w:t>
      </w:r>
      <w:r>
        <w:t xml:space="preserve">(Cryptology ePrint Archive, Paper 2026/1109). Nexum Ledger Ltd. https://eprint.iacr.org/2026/1109 [Preprint; not peer-reviewed]</w:t>
      </w:r>
    </w:p>
    <w:p>
      <w:pPr>
        <w:pStyle w:val="BodyText"/>
      </w:pPr>
      <w:r>
        <w:t xml:space="preserve">Albalwy, F. (2026). Zero-knowledge-based policy enforcement for privacy-preserving cross-institutional health data sharing on blockchain.</w:t>
      </w:r>
      <w:r>
        <w:t xml:space="preserve"> </w:t>
      </w:r>
      <w:r>
        <w:rPr>
          <w:iCs/>
          <w:i/>
        </w:rPr>
        <w:t xml:space="preserve">Systems</w:t>
      </w:r>
      <w:r>
        <w:t xml:space="preserve">,</w:t>
      </w:r>
      <w:r>
        <w:t xml:space="preserve"> </w:t>
      </w:r>
      <w:r>
        <w:rPr>
          <w:iCs/>
          <w:i/>
        </w:rPr>
        <w:t xml:space="preserve">14</w:t>
      </w:r>
      <w:r>
        <w:t xml:space="preserve">(4), 385. https://doi.org/10.3390/systems14040385</w:t>
      </w:r>
    </w:p>
    <w:p>
      <w:pPr>
        <w:pStyle w:val="BodyText"/>
      </w:pPr>
      <w:r>
        <w:t xml:space="preserve">Bai, T., Hu, Y., He, J., Fan, H., &amp; An, Z. (2022). Health-zkIDM: A healthcare identity system based on Fabric blockchain and zero-knowledge proof.</w:t>
      </w:r>
      <w:r>
        <w:t xml:space="preserve"> </w:t>
      </w:r>
      <w:r>
        <w:rPr>
          <w:iCs/>
          <w:i/>
        </w:rPr>
        <w:t xml:space="preserve">Sensors</w:t>
      </w:r>
      <w:r>
        <w:t xml:space="preserve">,</w:t>
      </w:r>
      <w:r>
        <w:t xml:space="preserve"> </w:t>
      </w:r>
      <w:r>
        <w:rPr>
          <w:iCs/>
          <w:i/>
        </w:rPr>
        <w:t xml:space="preserve">22</w:t>
      </w:r>
      <w:r>
        <w:t xml:space="preserve">(20), 7716. https://doi.org/10.3390/s22207716</w:t>
      </w:r>
    </w:p>
    <w:p>
      <w:pPr>
        <w:pStyle w:val="BodyText"/>
      </w:pPr>
      <w:r>
        <w:t xml:space="preserve">Belen-Saglam, R., Altuncu, E., Lu, Y., &amp; Li, S. (2023). A systematic literature review of the tension between the GDPR and public blockchain systems.</w:t>
      </w:r>
      <w:r>
        <w:t xml:space="preserve"> </w:t>
      </w:r>
      <w:r>
        <w:rPr>
          <w:iCs/>
          <w:i/>
        </w:rPr>
        <w:t xml:space="preserve">Blockchain: Research and Applications</w:t>
      </w:r>
      <w:r>
        <w:t xml:space="preserve">,</w:t>
      </w:r>
      <w:r>
        <w:t xml:space="preserve"> </w:t>
      </w:r>
      <w:r>
        <w:rPr>
          <w:iCs/>
          <w:i/>
        </w:rPr>
        <w:t xml:space="preserve">4</w:t>
      </w:r>
      <w:r>
        <w:t xml:space="preserve">(2), 100129. https://doi.org/10.1016/j.bcra.2023.100129</w:t>
      </w:r>
    </w:p>
    <w:p>
      <w:pPr>
        <w:pStyle w:val="BodyText"/>
      </w:pPr>
      <w:r>
        <w:t xml:space="preserve">Benaloh, J., &amp; de Mare, M. (1994). One-way accumulators: A decentralized alternative to digital signatures. In T. Helleseth (Ed.),</w:t>
      </w:r>
      <w:r>
        <w:t xml:space="preserve"> </w:t>
      </w:r>
      <w:r>
        <w:rPr>
          <w:iCs/>
          <w:i/>
        </w:rPr>
        <w:t xml:space="preserve">Advances in Cryptology — EUROCRYPT ’93</w:t>
      </w:r>
      <w:r>
        <w:t xml:space="preserve"> </w:t>
      </w:r>
      <w:r>
        <w:t xml:space="preserve">(LNCS 765, pp. 274–285). Springer. https://doi.org/10.1007/3-540-48285-7_24</w:t>
      </w:r>
    </w:p>
    <w:p>
      <w:pPr>
        <w:pStyle w:val="BodyText"/>
      </w:pPr>
      <w:r>
        <w:t xml:space="preserve">Berngaard. (2024).</w:t>
      </w:r>
      <w:r>
        <w:t xml:space="preserve"> </w:t>
      </w:r>
      <w:r>
        <w:rPr>
          <w:iCs/>
          <w:i/>
        </w:rPr>
        <w:t xml:space="preserve">Ivaretar din teknologiske tjeneste kravet til innebygd personvern?</w:t>
      </w:r>
      <w:r>
        <w:t xml:space="preserve"> </w:t>
      </w:r>
      <w:r>
        <w:t xml:space="preserve">[Legal commentary]. Advokatfirmaet Berngaard. https://www.berngaard.no/aktuelt/ivaretar-deres-teknologiske-tjeneste-kravene-til-innebygd-personvern-etter-gdpr-gwd56</w:t>
      </w:r>
    </w:p>
    <w:p>
      <w:pPr>
        <w:pStyle w:val="BodyText"/>
      </w:pPr>
      <w:r>
        <w:t xml:space="preserve">Broadbent, A., &amp; Islam, R. (2020). Quantum encryption with certified deletion. In</w:t>
      </w:r>
      <w:r>
        <w:t xml:space="preserve"> </w:t>
      </w:r>
      <w:r>
        <w:rPr>
          <w:iCs/>
          <w:i/>
        </w:rPr>
        <w:t xml:space="preserve">Theory of Cryptography (TCC 2020)</w:t>
      </w:r>
      <w:r>
        <w:t xml:space="preserve"> </w:t>
      </w:r>
      <w:r>
        <w:t xml:space="preserve">(LNCS 12552, pp. 92–122). Springer. https://doi.org/10.1007/978-3-030-64381-2_4</w:t>
      </w:r>
    </w:p>
    <w:p>
      <w:pPr>
        <w:pStyle w:val="BodyText"/>
      </w:pPr>
      <w:r>
        <w:t xml:space="preserve">Brunner, S., Johannessen, A., García-Torres, J., Çatak, F. Ö., Meinich-Bache, Ø., Rettedal, S., &amp; Engan, K. (2025). Consent-driven, semi-automated data collection during birth and newborn resuscitation: Insights from the NewbornTime study.</w:t>
      </w:r>
      <w:r>
        <w:t xml:space="preserve"> </w:t>
      </w:r>
      <w:r>
        <w:rPr>
          <w:iCs/>
          <w:i/>
        </w:rPr>
        <w:t xml:space="preserve">PLOS Digital Health</w:t>
      </w:r>
      <w:r>
        <w:t xml:space="preserve">. https://doi.org/10.1371/journal.pdig.0000730</w:t>
      </w:r>
    </w:p>
    <w:p>
      <w:pPr>
        <w:pStyle w:val="BodyText"/>
      </w:pPr>
      <w:r>
        <w:t xml:space="preserve">Bursuc, S., Gil-Pons, R., Mauw, S., &amp; Trujillo-Rasua, R. (2024).</w:t>
      </w:r>
      <w:r>
        <w:t xml:space="preserve"> </w:t>
      </w:r>
      <w:r>
        <w:rPr>
          <w:iCs/>
          <w:i/>
        </w:rPr>
        <w:t xml:space="preserve">Software-based memory erasure with relaxed isolation requirements</w:t>
      </w:r>
      <w:r>
        <w:t xml:space="preserve"> </w:t>
      </w:r>
      <w:r>
        <w:t xml:space="preserve">(Extended version). arXiv. https://arxiv.org/abs/2401.06626 [Published version: 37th IEEE Computer Security Foundations Symposium (CSF 2024), Enschede, 8–12 July 2024]</w:t>
      </w:r>
    </w:p>
    <w:p>
      <w:pPr>
        <w:pStyle w:val="BodyText"/>
      </w:pPr>
      <w:r>
        <w:t xml:space="preserve">Camenisch, J., &amp; Lysyanskaya, A. (2002). Dynamic accumulators and application to efficient revocation of anonymous credentials. In</w:t>
      </w:r>
      <w:r>
        <w:t xml:space="preserve"> </w:t>
      </w:r>
      <w:r>
        <w:rPr>
          <w:iCs/>
          <w:i/>
        </w:rPr>
        <w:t xml:space="preserve">Advances in Cryptology — CRYPTO 2002</w:t>
      </w:r>
      <w:r>
        <w:t xml:space="preserve"> </w:t>
      </w:r>
      <w:r>
        <w:t xml:space="preserve">(LNCS 2442, pp. 61–76). Springer. https://doi.org/10.1007/3-540-45708-9_5</w:t>
      </w:r>
    </w:p>
    <w:p>
      <w:pPr>
        <w:pStyle w:val="BodyText"/>
      </w:pPr>
      <w:r>
        <w:t xml:space="preserve">Chakraborty, V., Kaminsky, Y., Mehrotra, S., Naumann, F., Nawab, F., Pappachan, P., Sadoghi, M., &amp; Venkatasubramanian, N. (2025). Meaningful data erasure in the presence of dependencies.</w:t>
      </w:r>
      <w:r>
        <w:t xml:space="preserve"> </w:t>
      </w:r>
      <w:r>
        <w:rPr>
          <w:iCs/>
          <w:i/>
        </w:rPr>
        <w:t xml:space="preserve">Proceedings of the VLDB Endowment</w:t>
      </w:r>
      <w:r>
        <w:t xml:space="preserve">,</w:t>
      </w:r>
      <w:r>
        <w:t xml:space="preserve"> </w:t>
      </w:r>
      <w:r>
        <w:rPr>
          <w:iCs/>
          <w:i/>
        </w:rPr>
        <w:t xml:space="preserve">18</w:t>
      </w:r>
      <w:r>
        <w:t xml:space="preserve">(10), 3435–3448. https://doi.org/10.14778/3748191.3748206</w:t>
      </w:r>
    </w:p>
    <w:p>
      <w:pPr>
        <w:pStyle w:val="BodyText"/>
      </w:pPr>
      <w:r>
        <w:t xml:space="preserve">Chen, J., Chun, D., Patel, M., Chiang, E., &amp; James, J. (2019). The validity of synthetic clinical data: A validation study of a leading synthetic data generator (Synthea) using clinical quality measures.</w:t>
      </w:r>
      <w:r>
        <w:t xml:space="preserve"> </w:t>
      </w:r>
      <w:r>
        <w:rPr>
          <w:iCs/>
          <w:i/>
        </w:rPr>
        <w:t xml:space="preserve">BMC Medical Informatics and Decision Making</w:t>
      </w:r>
      <w:r>
        <w:t xml:space="preserve">,</w:t>
      </w:r>
      <w:r>
        <w:t xml:space="preserve"> </w:t>
      </w:r>
      <w:r>
        <w:rPr>
          <w:iCs/>
          <w:i/>
        </w:rPr>
        <w:t xml:space="preserve">19</w:t>
      </w:r>
      <w:r>
        <w:t xml:space="preserve">, 44. https://doi.org/10.1186/s12911-019-0793-0</w:t>
      </w:r>
    </w:p>
    <w:p>
      <w:pPr>
        <w:pStyle w:val="BodyText"/>
      </w:pPr>
      <w:r>
        <w:t xml:space="preserve">Datatilsynet. (2015).</w:t>
      </w:r>
      <w:r>
        <w:t xml:space="preserve"> </w:t>
      </w:r>
      <w:r>
        <w:rPr>
          <w:iCs/>
          <w:i/>
        </w:rPr>
        <w:t xml:space="preserve">Anonymisering av personopplysninger: veileder</w:t>
      </w:r>
      <w:r>
        <w:t xml:space="preserve">. Norwegian Data Protection Authority. https://www.datatilsynet.no/globalassets/global/dokumenter-pdfer-skjema-ol/regelverk/veiledere/anonymisering-veileder-041115.pdf</w:t>
      </w:r>
    </w:p>
    <w:p>
      <w:pPr>
        <w:pStyle w:val="BodyText"/>
      </w:pPr>
      <w:r>
        <w:t xml:space="preserve">Datatilsynet. (2021, 11 May).</w:t>
      </w:r>
      <w:r>
        <w:t xml:space="preserve"> </w:t>
      </w:r>
      <w:r>
        <w:rPr>
          <w:iCs/>
          <w:i/>
        </w:rPr>
        <w:t xml:space="preserve">Vedtak om overtredelsesgebyr til Norges idrettsforbund for mangelfull testing</w:t>
      </w:r>
      <w:r>
        <w:t xml:space="preserve"> </w:t>
      </w:r>
      <w:r>
        <w:t xml:space="preserve">[Administrative decision]. Norwegian Data Protection Authority. https://www.datatilsynet.no/regelverk-og-verktoy/lover-og-regler/avgjorelser-fra-datatilsynet/2021/vedtak-om-overtredelsesgebyr-til-norges-idrettsforbund-for-mangelfull-testing/</w:t>
      </w:r>
    </w:p>
    <w:p>
      <w:pPr>
        <w:pStyle w:val="BodyText"/>
      </w:pPr>
      <w:r>
        <w:t xml:space="preserve">Datatilsynet. (n.d.-a).</w:t>
      </w:r>
      <w:r>
        <w:t xml:space="preserve"> </w:t>
      </w:r>
      <w:r>
        <w:rPr>
          <w:iCs/>
          <w:i/>
        </w:rPr>
        <w:t xml:space="preserve">Etablere internkontroll</w:t>
      </w:r>
      <w:r>
        <w:t xml:space="preserve"> </w:t>
      </w:r>
      <w:r>
        <w:t xml:space="preserve">[Guidance]. Norwegian Data Protection Authority. https://www.datatilsynet.no/rettigheter-og-plikter/virksomhetenes-plikter/informasjonssikkerhet-internkontroll/etablere-internkontroll/</w:t>
      </w:r>
    </w:p>
    <w:p>
      <w:pPr>
        <w:pStyle w:val="BodyText"/>
      </w:pPr>
      <w:r>
        <w:t xml:space="preserve">Datatilsynet. (n.d.-b).</w:t>
      </w:r>
      <w:r>
        <w:t xml:space="preserve"> </w:t>
      </w:r>
      <w:r>
        <w:rPr>
          <w:iCs/>
          <w:i/>
        </w:rPr>
        <w:t xml:space="preserve">Innebygd personvern og personvern som standard</w:t>
      </w:r>
      <w:r>
        <w:t xml:space="preserve"> </w:t>
      </w:r>
      <w:r>
        <w:t xml:space="preserve">[Guidance]. Norwegian Data Protection Authority. https://www.datatilsynet.no/rettigheter-og-plikter/virksomhetenes-plikter/innebygd-personvern-og-personvern-som-standard/</w:t>
      </w:r>
    </w:p>
    <w:p>
      <w:pPr>
        <w:pStyle w:val="BodyText"/>
      </w:pPr>
      <w:r>
        <w:t xml:space="preserve">Deloitte Advokatfirma. (2020).</w:t>
      </w:r>
      <w:r>
        <w:t xml:space="preserve"> </w:t>
      </w:r>
      <w:r>
        <w:rPr>
          <w:iCs/>
          <w:i/>
        </w:rPr>
        <w:t xml:space="preserve">Syntetiske testdata eller personopplysninger ved testing?</w:t>
      </w:r>
      <w:r>
        <w:t xml:space="preserve"> </w:t>
      </w:r>
      <w:r>
        <w:t xml:space="preserve">[Legal commentary]. Deloitte. https://www.deloitte.com/no/no/services/legal/perspectives/syntetiske-testdata-eller-personopplysninger-i-test.html</w:t>
      </w:r>
    </w:p>
    <w:p>
      <w:pPr>
        <w:pStyle w:val="BodyText"/>
      </w:pPr>
      <w:r>
        <w:t xml:space="preserve">Dhandala, N. (2026, 17 February).</w:t>
      </w:r>
      <w:r>
        <w:t xml:space="preserve"> </w:t>
      </w:r>
      <w:r>
        <w:rPr>
          <w:iCs/>
          <w:i/>
        </w:rPr>
        <w:t xml:space="preserve">How to set up crypto-shredding for GDPR right-to-erasure compliance in Google Cloud</w:t>
      </w:r>
      <w:r>
        <w:t xml:space="preserve"> </w:t>
      </w:r>
      <w:r>
        <w:t xml:space="preserve">[Implementation commentary]. OneUptime. https://oneuptime.com/blog/post/2026-02-17-how-to-set-up-crypto-shredding-for-gdpr-right-to-erasure-compliance-in-google-cloud/view</w:t>
      </w:r>
    </w:p>
    <w:p>
      <w:pPr>
        <w:pStyle w:val="BodyText"/>
      </w:pPr>
      <w:r>
        <w:t xml:space="preserve">Diamantopoulos, S., Karlsson, L., Karkaletsis, G., Tsoumas, V., Berler, A., Karkaletsis, K., et al. (2019). Secure cross-border exchange of health related data: The KONFIDO approach. In</w:t>
      </w:r>
      <w:r>
        <w:t xml:space="preserve"> </w:t>
      </w:r>
      <w:r>
        <w:rPr>
          <w:iCs/>
          <w:i/>
        </w:rPr>
        <w:t xml:space="preserve">Computer Security: ESORICS 2019 International Workshops</w:t>
      </w:r>
      <w:r>
        <w:t xml:space="preserve"> </w:t>
      </w:r>
      <w:r>
        <w:t xml:space="preserve">(pp. 318–333). Springer. https://doi.org/10.1007/978-3-030-34914-1_30</w:t>
      </w:r>
    </w:p>
    <w:p>
      <w:pPr>
        <w:pStyle w:val="BodyText"/>
      </w:pPr>
      <w:r>
        <w:t xml:space="preserve">European Commission. (2025a).</w:t>
      </w:r>
      <w:r>
        <w:t xml:space="preserve"> </w:t>
      </w:r>
      <w:r>
        <w:rPr>
          <w:iCs/>
          <w:i/>
        </w:rPr>
        <w:t xml:space="preserve">European Health Data Space Regulation (EHDS)</w:t>
      </w:r>
      <w:r>
        <w:t xml:space="preserve">. Directorate-General for Health and Food Safety. https://health.ec.europa.eu/ehealth-digital-health-and-care/european-health-data-space-regulation-ehds_en</w:t>
      </w:r>
    </w:p>
    <w:p>
      <w:pPr>
        <w:pStyle w:val="BodyText"/>
      </w:pPr>
      <w:r>
        <w:t xml:space="preserve">European Commission. (2025b).</w:t>
      </w:r>
      <w:r>
        <w:t xml:space="preserve"> </w:t>
      </w:r>
      <w:r>
        <w:rPr>
          <w:iCs/>
          <w:i/>
        </w:rPr>
        <w:t xml:space="preserve">Electronic cross-border health services</w:t>
      </w:r>
      <w:r>
        <w:t xml:space="preserve">. Directorate-General for Health and Food Safety. https://health.ec.europa.eu/ehealth-digital-health-and-care/digital-health-and-care/electronic-cross-border-health-services_en</w:t>
      </w:r>
    </w:p>
    <w:p>
      <w:pPr>
        <w:pStyle w:val="BodyText"/>
      </w:pPr>
      <w:r>
        <w:t xml:space="preserve">European Data Protection Board. (2026a).</w:t>
      </w:r>
      <w:r>
        <w:t xml:space="preserve"> </w:t>
      </w:r>
      <w:r>
        <w:rPr>
          <w:iCs/>
          <w:i/>
        </w:rPr>
        <w:t xml:space="preserve">Coordinated Enforcement Action, implementation of the right to erasure by controllers</w:t>
      </w:r>
      <w:r>
        <w:t xml:space="preserve"> </w:t>
      </w:r>
      <w:r>
        <w:t xml:space="preserve">(18 February 2026). EDPB. https://www.edpb.europa.eu/our-work-tools/our-documents/other/coordinated-enforcement-action-implementation-right-erasure_en</w:t>
      </w:r>
    </w:p>
    <w:p>
      <w:pPr>
        <w:pStyle w:val="BodyText"/>
      </w:pPr>
      <w:r>
        <w:t xml:space="preserve">European Data Protection Board. (2026b).</w:t>
      </w:r>
      <w:r>
        <w:t xml:space="preserve"> </w:t>
      </w:r>
      <w:r>
        <w:rPr>
          <w:iCs/>
          <w:i/>
        </w:rPr>
        <w:t xml:space="preserve">Guidelines 02/2025 on processing of personal data through blockchain technologies</w:t>
      </w:r>
      <w:r>
        <w:t xml:space="preserve"> </w:t>
      </w:r>
      <w:r>
        <w:t xml:space="preserve">(Version 2.0, adopted 7 July 2026 following public consultation). EDPB. https://www.edpb.europa.eu/system/files/2026-07/edpb_guidelines_202502_blockchain_v2_en.pdf</w:t>
      </w:r>
    </w:p>
    <w:p>
      <w:pPr>
        <w:pStyle w:val="BodyText"/>
      </w:pPr>
      <w:r>
        <w:t xml:space="preserve">European Parliament and Council of the European Union. (2016). Regulation (EU) 2016/679 of 27 April 2016 (General Data Protection Regulation).</w:t>
      </w:r>
      <w:r>
        <w:t xml:space="preserve"> </w:t>
      </w:r>
      <w:r>
        <w:rPr>
          <w:iCs/>
          <w:i/>
        </w:rPr>
        <w:t xml:space="preserve">Official Journal of the European Union, L 119</w:t>
      </w:r>
      <w:r>
        <w:t xml:space="preserve">, 1–88. https://eur-lex.europa.eu/eli/reg/2016/679/oj/eng</w:t>
      </w:r>
    </w:p>
    <w:p>
      <w:pPr>
        <w:pStyle w:val="BodyText"/>
      </w:pPr>
      <w:r>
        <w:t xml:space="preserve">European Parliament and Council of the European Union. (2025). Regulation (EU) 2025/327 of 11 February 2025 on the European Health Data Space.</w:t>
      </w:r>
      <w:r>
        <w:t xml:space="preserve"> </w:t>
      </w:r>
      <w:r>
        <w:rPr>
          <w:iCs/>
          <w:i/>
        </w:rPr>
        <w:t xml:space="preserve">Official Journal of the European Union</w:t>
      </w:r>
      <w:r>
        <w:t xml:space="preserve">. http://data.europa.eu/eli/reg/2025/327/oj</w:t>
      </w:r>
    </w:p>
    <w:p>
      <w:pPr>
        <w:pStyle w:val="BodyText"/>
      </w:pPr>
      <w:r>
        <w:t xml:space="preserve">Feng, N., Marsso, L., Sabetzadeh, M., &amp; Chechik, M. (2022).</w:t>
      </w:r>
      <w:r>
        <w:t xml:space="preserve"> </w:t>
      </w:r>
      <w:r>
        <w:rPr>
          <w:iCs/>
          <w:i/>
        </w:rPr>
        <w:t xml:space="preserve">Bounded satisfiability checking of metric first-order temporal logic</w:t>
      </w:r>
      <w:r>
        <w:t xml:space="preserve">. arXiv. https://doi.org/10.48550/arXiv.2209.04052</w:t>
      </w:r>
    </w:p>
    <w:p>
      <w:pPr>
        <w:pStyle w:val="BodyText"/>
      </w:pPr>
      <w:r>
        <w:t xml:space="preserve">Finck, M. (2019).</w:t>
      </w:r>
      <w:r>
        <w:t xml:space="preserve"> </w:t>
      </w:r>
      <w:r>
        <w:rPr>
          <w:iCs/>
          <w:i/>
        </w:rPr>
        <w:t xml:space="preserve">Blockchain and the General Data Protection Regulation: Can distributed ledgers be squared with European data protection law?</w:t>
      </w:r>
      <w:r>
        <w:t xml:space="preserve"> </w:t>
      </w:r>
      <w:r>
        <w:t xml:space="preserve">(PE 634.445). European Parliament, Panel for the Future of Science and Technology (STOA), EPRS. https://doi.org/10.2861/535</w:t>
      </w:r>
    </w:p>
    <w:p>
      <w:pPr>
        <w:pStyle w:val="BodyText"/>
      </w:pPr>
      <w:r>
        <w:t xml:space="preserve">Finck, M. (2018). Blockchains and data protection in the European Union.</w:t>
      </w:r>
      <w:r>
        <w:t xml:space="preserve"> </w:t>
      </w:r>
      <w:r>
        <w:rPr>
          <w:iCs/>
          <w:i/>
        </w:rPr>
        <w:t xml:space="preserve">European Data Protection Law Review</w:t>
      </w:r>
      <w:r>
        <w:t xml:space="preserve">,</w:t>
      </w:r>
      <w:r>
        <w:t xml:space="preserve"> </w:t>
      </w:r>
      <w:r>
        <w:rPr>
          <w:iCs/>
          <w:i/>
        </w:rPr>
        <w:t xml:space="preserve">4</w:t>
      </w:r>
      <w:r>
        <w:t xml:space="preserve">(1), 17–35. https://doi.org/10.21552/edpl/2018/1/6</w:t>
      </w:r>
    </w:p>
    <w:p>
      <w:pPr>
        <w:pStyle w:val="BodyText"/>
      </w:pPr>
      <w:r>
        <w:t xml:space="preserve">Folkehelseinstituttet. (2024).</w:t>
      </w:r>
      <w:r>
        <w:t xml:space="preserve"> </w:t>
      </w:r>
      <w:r>
        <w:rPr>
          <w:iCs/>
          <w:i/>
        </w:rPr>
        <w:t xml:space="preserve">Helsedata</w:t>
      </w:r>
      <w:r>
        <w:t xml:space="preserve"> </w:t>
      </w:r>
      <w:r>
        <w:t xml:space="preserve">[Department page describing Helsedataservice, the national health data access body]. Norwegian Institute of Public Health. https://www.fhi.no/om/organisasjon/helsedata/</w:t>
      </w:r>
    </w:p>
    <w:p>
      <w:pPr>
        <w:pStyle w:val="BodyText"/>
      </w:pPr>
      <w:r>
        <w:t xml:space="preserve">Forskningsetikk. (2023).</w:t>
      </w:r>
      <w:r>
        <w:t xml:space="preserve"> </w:t>
      </w:r>
      <w:r>
        <w:rPr>
          <w:iCs/>
          <w:i/>
        </w:rPr>
        <w:t xml:space="preserve">Helsedataservice takes over authority to process applications and grant access to health data</w:t>
      </w:r>
      <w:r>
        <w:t xml:space="preserve">. Norwegian National Research Ethics Committees. https://www.forskningsetikk.no/en/news-archive/helsedataservice-takes-over-authority-to-process-applications-and-grant-access-to-health-data/</w:t>
      </w:r>
    </w:p>
    <w:p>
      <w:pPr>
        <w:pStyle w:val="BodyText"/>
      </w:pPr>
      <w:r>
        <w:t xml:space="preserve">Healthy Europe. (2026, 12 February).</w:t>
      </w:r>
      <w:r>
        <w:t xml:space="preserve"> </w:t>
      </w:r>
      <w:r>
        <w:rPr>
          <w:iCs/>
          <w:i/>
        </w:rPr>
        <w:t xml:space="preserve">EHDS progress report: Where does Europe’s Health Data Space stand?</w:t>
      </w:r>
      <w:r>
        <w:t xml:space="preserve"> </w:t>
      </w:r>
      <w:r>
        <w:t xml:space="preserve">https://healthyeurope.eu/european-health-data-space/</w:t>
      </w:r>
    </w:p>
    <w:p>
      <w:pPr>
        <w:pStyle w:val="BodyText"/>
      </w:pPr>
      <w:r>
        <w:t xml:space="preserve">Helsedataservice. (n.d.).</w:t>
      </w:r>
      <w:r>
        <w:t xml:space="preserve"> </w:t>
      </w:r>
      <w:r>
        <w:rPr>
          <w:iCs/>
          <w:i/>
        </w:rPr>
        <w:t xml:space="preserve">Fees and processing times</w:t>
      </w:r>
      <w:r>
        <w:t xml:space="preserve">. helsedata.no. Retrieved 28 September 2026, from https://helsedata.no/en/fees-and-processing-times/</w:t>
      </w:r>
    </w:p>
    <w:p>
      <w:pPr>
        <w:pStyle w:val="BodyText"/>
      </w:pPr>
      <w:r>
        <w:t xml:space="preserve">Helsedirektoratet. (2025).</w:t>
      </w:r>
      <w:r>
        <w:t xml:space="preserve"> </w:t>
      </w:r>
      <w:r>
        <w:rPr>
          <w:iCs/>
          <w:i/>
        </w:rPr>
        <w:t xml:space="preserve">FAIR Secure provision and use of health data in Norway (SPUHiN)</w:t>
      </w:r>
      <w:r>
        <w:t xml:space="preserve"> </w:t>
      </w:r>
      <w:r>
        <w:t xml:space="preserve">[Project page]. Norwegian Directorate of Health. https://www.helsedirektoratet.no/om-oss/forsoksordninger-og-prosjekter/fair-secure-provision-and-use-of-health-data-in-norway-spuhin</w:t>
      </w:r>
    </w:p>
    <w:p>
      <w:pPr>
        <w:pStyle w:val="BodyText"/>
      </w:pPr>
      <w:r>
        <w:t xml:space="preserve">Helsedirektoratet. (2024).</w:t>
      </w:r>
      <w:r>
        <w:t xml:space="preserve"> </w:t>
      </w:r>
      <w:r>
        <w:rPr>
          <w:iCs/>
          <w:i/>
        </w:rPr>
        <w:t xml:space="preserve">Helsedirektoratets årsrapport 2023</w:t>
      </w:r>
      <w:r>
        <w:t xml:space="preserve"> </w:t>
      </w:r>
      <w:r>
        <w:t xml:space="preserve">[Annual report; records the Direktoratet for e-helse merger in the chapter</w:t>
      </w:r>
      <w:r>
        <w:t xml:space="preserve"> </w:t>
      </w:r>
      <w:r>
        <w:rPr>
          <w:iCs/>
          <w:i/>
        </w:rPr>
        <w:t xml:space="preserve">Styring og kontroll i virksomheten</w:t>
      </w:r>
      <w:r>
        <w:t xml:space="preserve">]. Norwegian Directorate of Health. https://www.helsedirektoratet.no/rapporter/helsedirektoratets-arsrapport-2023/styring-og-kontroll-i-virksomheten</w:t>
      </w:r>
    </w:p>
    <w:p>
      <w:pPr>
        <w:pStyle w:val="BodyText"/>
      </w:pPr>
      <w:r>
        <w:t xml:space="preserve">Helsedirektoratet. (2026).</w:t>
      </w:r>
      <w:r>
        <w:t xml:space="preserve"> </w:t>
      </w:r>
      <w:r>
        <w:rPr>
          <w:iCs/>
          <w:i/>
        </w:rPr>
        <w:t xml:space="preserve">MyHealth@EU, Helsedirektoratet</w:t>
      </w:r>
      <w:r>
        <w:t xml:space="preserve"> </w:t>
      </w:r>
      <w:r>
        <w:t xml:space="preserve">[National e-health portfolio measure]. Norwegian Directorate of Health. https://www.helsedirektoratet.no/digitalisering-og-e-helse/nasjonal-e-helseportefolje/tiltak-i-nasjonal-e-helseportefolje/myhealth-eu-helsedirektoratet</w:t>
      </w:r>
    </w:p>
    <w:p>
      <w:pPr>
        <w:pStyle w:val="BodyText"/>
      </w:pPr>
      <w:r>
        <w:t xml:space="preserve">Helsedirektoratet. (n.d.).</w:t>
      </w:r>
      <w:r>
        <w:t xml:space="preserve"> </w:t>
      </w:r>
      <w:r>
        <w:rPr>
          <w:iCs/>
          <w:i/>
        </w:rPr>
        <w:t xml:space="preserve">Det europeiske helsedataområdet (EHDS)</w:t>
      </w:r>
      <w:r>
        <w:t xml:space="preserve">. Norwegian Directorate of Health. Retrieved 28 September 2026, from https://www.helsedirektoratet.no/digitalisering-og-e-helse/det-europeiske-helsedataomradet-ehds</w:t>
      </w:r>
    </w:p>
    <w:p>
      <w:pPr>
        <w:pStyle w:val="BodyText"/>
      </w:pPr>
      <w:r>
        <w:t xml:space="preserve">Helse- og omsorgsdepartementet. (2020).</w:t>
      </w:r>
      <w:r>
        <w:t xml:space="preserve"> </w:t>
      </w:r>
      <w:r>
        <w:rPr>
          <w:iCs/>
          <w:i/>
        </w:rPr>
        <w:t xml:space="preserve">Prop. 63 L (2019–2020): Endringer i helseregisterloven m.m. (tilgjengeliggjøring av helsedata)</w:t>
      </w:r>
      <w:r>
        <w:t xml:space="preserve">. Norwegian Ministry of Health and Care Services. https://www.regjeringen.no/no/dokumenter/prop.-63-l-20192020/id2696220/</w:t>
      </w:r>
    </w:p>
    <w:p>
      <w:pPr>
        <w:pStyle w:val="BodyText"/>
      </w:pPr>
      <w:r>
        <w:t xml:space="preserve">Hevner, A. R., March, S. T., Park, J., &amp; Ram, S. (2004). Design science in information systems research.</w:t>
      </w:r>
      <w:r>
        <w:t xml:space="preserve"> </w:t>
      </w:r>
      <w:r>
        <w:rPr>
          <w:iCs/>
          <w:i/>
        </w:rPr>
        <w:t xml:space="preserve">MIS Quarterly</w:t>
      </w:r>
      <w:r>
        <w:t xml:space="preserve">,</w:t>
      </w:r>
      <w:r>
        <w:t xml:space="preserve"> </w:t>
      </w:r>
      <w:r>
        <w:rPr>
          <w:iCs/>
          <w:i/>
        </w:rPr>
        <w:t xml:space="preserve">28</w:t>
      </w:r>
      <w:r>
        <w:t xml:space="preserve">(1), 75–105. https://doi.org/10.2307/25148625</w:t>
      </w:r>
    </w:p>
    <w:p>
      <w:pPr>
        <w:pStyle w:val="BodyText"/>
      </w:pPr>
      <w:r>
        <w:t xml:space="preserve">HL7 Norway. (2025).</w:t>
      </w:r>
      <w:r>
        <w:t xml:space="preserve"> </w:t>
      </w:r>
      <w:r>
        <w:rPr>
          <w:iCs/>
          <w:i/>
        </w:rPr>
        <w:t xml:space="preserve">hl7.fhir.no.basis</w:t>
      </w:r>
      <w:r>
        <w:t xml:space="preserve"> </w:t>
      </w:r>
      <w:r>
        <w:t xml:space="preserve">(Version 2.2.2, released 27 March 2025) [FHIR R4 national base profile package]. Simplifier.net. https://simplifier.net/packages/hl7.fhir.no.basis/2.2.2</w:t>
      </w:r>
    </w:p>
    <w:p>
      <w:pPr>
        <w:pStyle w:val="BodyText"/>
      </w:pPr>
      <w:r>
        <w:t xml:space="preserve">IHE International. (2023).</w:t>
      </w:r>
      <w:r>
        <w:t xml:space="preserve"> </w:t>
      </w:r>
      <w:r>
        <w:rPr>
          <w:iCs/>
          <w:i/>
        </w:rPr>
        <w:t xml:space="preserve">Audit Trail and Node Authentication (ATNA) Profile</w:t>
      </w:r>
      <w:r>
        <w:t xml:space="preserve"> </w:t>
      </w:r>
      <w:r>
        <w:t xml:space="preserve">— IT Infrastructure Technical Framework, Vol. 1, Ch. 9 (Revision 20.0, 4 August 2023, Final Text). https://profiles.ihe.net/ITI/TF/Volume1/ch-9.html</w:t>
      </w:r>
    </w:p>
    <w:p>
      <w:pPr>
        <w:pStyle w:val="BodyText"/>
      </w:pPr>
      <w:r>
        <w:t xml:space="preserve">IHE International. (2024).</w:t>
      </w:r>
      <w:r>
        <w:t xml:space="preserve"> </w:t>
      </w:r>
      <w:r>
        <w:rPr>
          <w:iCs/>
          <w:i/>
        </w:rPr>
        <w:t xml:space="preserve">IT Infrastructure (ITI) Technical Framework, Volume 2: Transactions</w:t>
      </w:r>
      <w:r>
        <w:t xml:space="preserve"> </w:t>
      </w:r>
      <w:r>
        <w:t xml:space="preserve">(Revision 20.1, 12 December 2024, Final Text), Section 3.55 Cross Gateway Patient Discovery [ITI-55]. https://profiles.ihe.net/ITI/TF/Volume2/ITI-55.html</w:t>
      </w:r>
    </w:p>
    <w:p>
      <w:pPr>
        <w:pStyle w:val="BodyText"/>
      </w:pPr>
      <w:r>
        <w:t xml:space="preserve">International Chamber of Commerce. (2025).</w:t>
      </w:r>
      <w:r>
        <w:t xml:space="preserve"> </w:t>
      </w:r>
      <w:r>
        <w:rPr>
          <w:iCs/>
          <w:i/>
        </w:rPr>
        <w:t xml:space="preserve">Data flows in supply chains: Practical realities and policy implications</w:t>
      </w:r>
      <w:r>
        <w:t xml:space="preserve">. ICC. https://iccwbo.org/news-publications/policies-reports/data-flows-in-supply-chains-practical-realities-and-policy-implications/</w:t>
      </w:r>
    </w:p>
    <w:p>
      <w:pPr>
        <w:pStyle w:val="BodyText"/>
      </w:pPr>
      <w:r>
        <w:t xml:space="preserve">Matheson. (2026).</w:t>
      </w:r>
      <w:r>
        <w:t xml:space="preserve"> </w:t>
      </w:r>
      <w:r>
        <w:rPr>
          <w:iCs/>
          <w:i/>
        </w:rPr>
        <w:t xml:space="preserve">EDPB publishes CEF report on the right to erasure</w:t>
      </w:r>
      <w:r>
        <w:t xml:space="preserve"> </w:t>
      </w:r>
      <w:r>
        <w:t xml:space="preserve">[Legal commentary]. Matheson LLP. https://www.matheson.com/insights/edpb-publishes-cef-report-on-the-right-to-erasure/</w:t>
      </w:r>
    </w:p>
    <w:p>
      <w:pPr>
        <w:pStyle w:val="BodyText"/>
      </w:pPr>
      <w:r>
        <w:t xml:space="preserve">National Institute of Standards and Technology. (2025).</w:t>
      </w:r>
      <w:r>
        <w:t xml:space="preserve"> </w:t>
      </w:r>
      <w:r>
        <w:rPr>
          <w:iCs/>
          <w:i/>
        </w:rPr>
        <w:t xml:space="preserve">Special Publication 800-88 Revision 2: Guidelines for media sanitization</w:t>
      </w:r>
      <w:r>
        <w:t xml:space="preserve"> </w:t>
      </w:r>
      <w:r>
        <w:t xml:space="preserve">(R. Chandramouli &amp; E. Hibbard). NIST. https://doi.org/10.6028/NIST.SP.800-88r2</w:t>
      </w:r>
    </w:p>
    <w:p>
      <w:pPr>
        <w:pStyle w:val="BodyText"/>
      </w:pPr>
      <w:r>
        <w:t xml:space="preserve">Natsiavas, P., Mazzeo, G., Faiella, G., Campegiani, P., Dumortier, J., Stan, O., … Romano, L. (2021). Developing an infrastructure for secure patient summary exchange in the EU context: Lessons learned from the KONFIDO project.</w:t>
      </w:r>
      <w:r>
        <w:t xml:space="preserve"> </w:t>
      </w:r>
      <w:r>
        <w:rPr>
          <w:iCs/>
          <w:i/>
        </w:rPr>
        <w:t xml:space="preserve">Health Informatics Journal</w:t>
      </w:r>
      <w:r>
        <w:t xml:space="preserve">,</w:t>
      </w:r>
      <w:r>
        <w:t xml:space="preserve"> </w:t>
      </w:r>
      <w:r>
        <w:rPr>
          <w:iCs/>
          <w:i/>
        </w:rPr>
        <w:t xml:space="preserve">27</w:t>
      </w:r>
      <w:r>
        <w:t xml:space="preserve">(2). https://doi.org/10.1177/14604582211021459</w:t>
      </w:r>
    </w:p>
    <w:p>
      <w:pPr>
        <w:pStyle w:val="BodyText"/>
      </w:pPr>
      <w:r>
        <w:t xml:space="preserve">Norsk forening for allmennmedisin. (2025, 3 October).</w:t>
      </w:r>
      <w:r>
        <w:t xml:space="preserve"> </w:t>
      </w:r>
      <w:r>
        <w:rPr>
          <w:iCs/>
          <w:i/>
        </w:rPr>
        <w:t xml:space="preserve">Høring — Oversikt over kriterier til sikre analyserom for sekundærbruk av helsedata i Norge — i forberedelse til kommende krav i EHDS</w:t>
      </w:r>
      <w:r>
        <w:t xml:space="preserve"> </w:t>
      </w:r>
      <w:r>
        <w:t xml:space="preserve">[Consultation response]. Den norske legeforening. https://www.legeforeningen.no/contentassets/6d966320995146c791837a915f6fc11b/hoering-oversikt-over-kriterier-til-sikre-analyserom-for-sekundarbruk-av-helsedata-i-norge-i-forberedelse-til-kommende-krav-i-ehds-3.10.2025.pdf</w:t>
      </w:r>
    </w:p>
    <w:p>
      <w:pPr>
        <w:pStyle w:val="BodyText"/>
      </w:pPr>
      <w:r>
        <w:t xml:space="preserve">Norwegian Maritime Authority. (2023).</w:t>
      </w:r>
      <w:r>
        <w:t xml:space="preserve"> </w:t>
      </w:r>
      <w:r>
        <w:rPr>
          <w:iCs/>
          <w:i/>
        </w:rPr>
        <w:t xml:space="preserve">Amendments to the Health Regulations reflecting the GDPR</w:t>
      </w:r>
      <w:r>
        <w:t xml:space="preserve"> </w:t>
      </w:r>
      <w:r>
        <w:t xml:space="preserve">(Circular RSR 2-2023, 2 June 2023, amending the Regulations of 5 June 2014 No. 805 on the medical examination of employees on Norwegian ships and mobile offshore units). Sjøfartsdirektoratet. https://www.sdir.no/en/regelverk/circulars/amendments-to-the-health-regulations-reflecting-the-gdpr/</w:t>
      </w:r>
    </w:p>
    <w:p>
      <w:pPr>
        <w:pStyle w:val="BodyText"/>
      </w:pPr>
      <w:r>
        <w:t xml:space="preserve">Norwegian Trusted Research Environments. (n.d.).</w:t>
      </w:r>
      <w:r>
        <w:t xml:space="preserve"> </w:t>
      </w:r>
      <w:r>
        <w:rPr>
          <w:iCs/>
          <w:i/>
        </w:rPr>
        <w:t xml:space="preserve">Norwegian Trusted Research Environments (NORTRE)</w:t>
      </w:r>
      <w:r>
        <w:t xml:space="preserve"> </w:t>
      </w:r>
      <w:r>
        <w:t xml:space="preserve">[A collaboration between TSD/UiO, SAFE/UiB and HUNT Cloud/NTNU]. Retrieved 28 September 2026, from https://nortre.no/</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w:t>
      </w:r>
      <w:r>
        <w:t xml:space="preserve">,</w:t>
      </w:r>
      <w:r>
        <w:t xml:space="preserve"> </w:t>
      </w:r>
      <w:r>
        <w:rPr>
          <w:iCs/>
          <w:i/>
        </w:rPr>
        <w:t xml:space="preserve">24</w:t>
      </w:r>
      <w:r>
        <w:t xml:space="preserve">(3), 45–77. https://doi.org/10.2753/MIS0742-1222240302</w:t>
      </w:r>
    </w:p>
    <w:p>
      <w:pPr>
        <w:pStyle w:val="BodyText"/>
      </w:pPr>
      <w:r>
        <w:t xml:space="preserve">Politiregisterloven. (2010).</w:t>
      </w:r>
      <w:r>
        <w:t xml:space="preserve"> </w:t>
      </w:r>
      <w:r>
        <w:rPr>
          <w:iCs/>
          <w:i/>
        </w:rPr>
        <w:t xml:space="preserve">Lov om behandling av opplysninger i politiet og påtalemyndigheten</w:t>
      </w:r>
      <w:r>
        <w:t xml:space="preserve"> </w:t>
      </w:r>
      <w:r>
        <w:t xml:space="preserve">(LOV-2010-05-28-16), § 17 Kravet til sporbarhet. Norwegian Ministry of Justice and Public Security. https://lovdata.no/lov/2010-05-28-16</w:t>
      </w:r>
    </w:p>
    <w:p>
      <w:pPr>
        <w:pStyle w:val="BodyText"/>
      </w:pPr>
      <w:r>
        <w:t xml:space="preserve">Reardon, J., Basin, D., &amp; Capkun, S. (2013). SoK: Secure data deletion. In</w:t>
      </w:r>
      <w:r>
        <w:t xml:space="preserve"> </w:t>
      </w:r>
      <w:r>
        <w:rPr>
          <w:iCs/>
          <w:i/>
        </w:rPr>
        <w:t xml:space="preserve">2013 IEEE Symposium on Security and Privacy</w:t>
      </w:r>
      <w:r>
        <w:t xml:space="preserve"> </w:t>
      </w:r>
      <w:r>
        <w:t xml:space="preserve">(pp. 301–315). IEEE. https://doi.org/10.1109/SP.2013.28</w:t>
      </w:r>
    </w:p>
    <w:p>
      <w:pPr>
        <w:pStyle w:val="BodyText"/>
      </w:pPr>
      <w:r>
        <w:t xml:space="preserve">Ren, J. (2022). Cryptographic accumulator and its application: A survey.</w:t>
      </w:r>
      <w:r>
        <w:t xml:space="preserve"> </w:t>
      </w:r>
      <w:r>
        <w:rPr>
          <w:iCs/>
          <w:i/>
        </w:rPr>
        <w:t xml:space="preserve">Security and Communication Networks</w:t>
      </w:r>
      <w:r>
        <w:t xml:space="preserve">, Article 5429195. https://doi.org/10.1155/2022/5429195</w:t>
      </w:r>
    </w:p>
    <w:p>
      <w:pPr>
        <w:pStyle w:val="BodyText"/>
      </w:pPr>
      <w:r>
        <w:t xml:space="preserve">Scope, N. C., &amp; Rasin, A. (2025).</w:t>
      </w:r>
      <w:r>
        <w:t xml:space="preserve"> </w:t>
      </w:r>
      <w:r>
        <w:rPr>
          <w:iCs/>
          <w:i/>
        </w:rPr>
        <w:t xml:space="preserve">Systems and methods for data retention and purging</w:t>
      </w:r>
      <w:r>
        <w:t xml:space="preserve"> </w:t>
      </w:r>
      <w:r>
        <w:t xml:space="preserve">(U.S. Patent No. 12,425,209 B2, granted 23 September 2025). U.S. Patent and Trademark Office. https://patents.google.com/patent/US12425209B2/en</w:t>
      </w:r>
    </w:p>
    <w:p>
      <w:pPr>
        <w:pStyle w:val="BodyText"/>
      </w:pPr>
      <w:r>
        <w:t xml:space="preserve">Scope, N., Rasin, A., Lenard, B., Heart, K., &amp; Wagner, J. (2022). Harmonizing privacy regarding data retention and purging. In</w:t>
      </w:r>
      <w:r>
        <w:t xml:space="preserve"> </w:t>
      </w:r>
      <w:r>
        <w:rPr>
          <w:iCs/>
          <w:i/>
        </w:rPr>
        <w:t xml:space="preserve">Proceedings of the 34th International Conference on Scientific and Statistical Database Management (SSDBM 2022)</w:t>
      </w:r>
      <w:r>
        <w:t xml:space="preserve"> </w:t>
      </w:r>
      <w:r>
        <w:t xml:space="preserve">(pp. 1–12). ACM. https://doi.org/10.1145/3538712.3538718</w:t>
      </w:r>
    </w:p>
    <w:p>
      <w:pPr>
        <w:pStyle w:val="BodyText"/>
      </w:pPr>
      <w:r>
        <w:t xml:space="preserve">Scope, N., Rasin, A., Lenard, B., Wagner, J., &amp; Heart, K. (2022). Purging compliance from database backups by encryption.</w:t>
      </w:r>
      <w:r>
        <w:t xml:space="preserve"> </w:t>
      </w:r>
      <w:r>
        <w:rPr>
          <w:iCs/>
          <w:i/>
        </w:rPr>
        <w:t xml:space="preserve">Journal of Data Intelligence</w:t>
      </w:r>
      <w:r>
        <w:t xml:space="preserve">,</w:t>
      </w:r>
      <w:r>
        <w:t xml:space="preserve"> </w:t>
      </w:r>
      <w:r>
        <w:rPr>
          <w:iCs/>
          <w:i/>
        </w:rPr>
        <w:t xml:space="preserve">3</w:t>
      </w:r>
      <w:r>
        <w:t xml:space="preserve">(1), 149–168. https://www.rintonpress.com/xjdi3/xjdi3-1/149-168.pdf</w:t>
      </w:r>
    </w:p>
    <w:p>
      <w:pPr>
        <w:pStyle w:val="BodyText"/>
      </w:pPr>
      <w:r>
        <w:t xml:space="preserve">SecuPi. (2025).</w:t>
      </w:r>
      <w:r>
        <w:t xml:space="preserve"> </w:t>
      </w:r>
      <w:r>
        <w:rPr>
          <w:iCs/>
          <w:i/>
        </w:rPr>
        <w:t xml:space="preserve">Crypto-shredding is not nirvana for right of erasure or RTBF compliance</w:t>
      </w:r>
      <w:r>
        <w:t xml:space="preserve"> </w:t>
      </w:r>
      <w:r>
        <w:t xml:space="preserve">[Industry commentary]. https://secupi.com/crypto-shredding-is-not-nirvana-for-right-of-erasure-or-rtbf-compliance/</w:t>
      </w:r>
    </w:p>
    <w:p>
      <w:pPr>
        <w:pStyle w:val="BodyText"/>
      </w:pPr>
      <w:r>
        <w:t xml:space="preserve">Sharma, S., Petrovic, G., &amp; Kaushik, S. (2025).</w:t>
      </w:r>
      <w:r>
        <w:t xml:space="preserve"> </w:t>
      </w:r>
      <w:r>
        <w:rPr>
          <w:iCs/>
          <w:i/>
        </w:rPr>
        <w:t xml:space="preserve">zkFL-Health: Blockchain-enabled zero-knowledge federated learning for medical AI privacy</w:t>
      </w:r>
      <w:r>
        <w:t xml:space="preserve">. arXiv. https://doi.org/10.48550/arXiv.2512.21048</w:t>
      </w:r>
    </w:p>
    <w:p>
      <w:pPr>
        <w:pStyle w:val="BodyText"/>
      </w:pPr>
      <w:r>
        <w:t xml:space="preserve">Simjanoska Misheva, M., Shahpaski, D., Dobreva, J., Bukovec, D., Gjorgjioski, B., Nikolov, M., … Gams, M. (2025). AI Act compliance within the MyHealth@EU framework: Tutorial.</w:t>
      </w:r>
      <w:r>
        <w:t xml:space="preserve"> </w:t>
      </w:r>
      <w:r>
        <w:rPr>
          <w:iCs/>
          <w:i/>
        </w:rPr>
        <w:t xml:space="preserve">Journal of Medical Internet Research</w:t>
      </w:r>
      <w:r>
        <w:t xml:space="preserve">,</w:t>
      </w:r>
      <w:r>
        <w:t xml:space="preserve"> </w:t>
      </w:r>
      <w:r>
        <w:rPr>
          <w:iCs/>
          <w:i/>
        </w:rPr>
        <w:t xml:space="preserve">27</w:t>
      </w:r>
      <w:r>
        <w:t xml:space="preserve">, e81184. https://doi.org/10.2196/81184</w:t>
      </w:r>
    </w:p>
    <w:p>
      <w:pPr>
        <w:pStyle w:val="BodyText"/>
      </w:pPr>
      <w:r>
        <w:t xml:space="preserve">SPUHiN. (2025).</w:t>
      </w:r>
      <w:r>
        <w:t xml:space="preserve"> </w:t>
      </w:r>
      <w:r>
        <w:rPr>
          <w:iCs/>
          <w:i/>
        </w:rPr>
        <w:t xml:space="preserve">Recommendations for minimum requirements for Secure Processing Environments in Norway</w:t>
      </w:r>
      <w:r>
        <w:t xml:space="preserve"> </w:t>
      </w:r>
      <w:r>
        <w:t xml:space="preserve">(Deliverable D5.2, project 101128232; version issued for public hearing, July–October 2025) [Project deliverable]. Helsedirektoratet &amp; Folkehelseinstituttet. The hearing page has since been withdrawn and no stable public locator for this version could be established; the deliverable number and the hearing window are confirmed on the project page at https://www.helsedirektoratet.no/om-oss/forsoksordninger-og-prosjekter/fair-secure-provision-and-use-of-health-data-in-norway-spuhin</w:t>
      </w:r>
    </w:p>
    <w:p>
      <w:pPr>
        <w:pStyle w:val="BodyText"/>
      </w:pPr>
      <w:r>
        <w:t xml:space="preserve">SPUHiN. (2024).</w:t>
      </w:r>
      <w:r>
        <w:t xml:space="preserve"> </w:t>
      </w:r>
      <w:r>
        <w:rPr>
          <w:iCs/>
          <w:i/>
        </w:rPr>
        <w:t xml:space="preserve">Recommendations for minimum requirements for Secure Processing Environments in Norway</w:t>
      </w:r>
      <w:r>
        <w:t xml:space="preserve"> </w:t>
      </w:r>
      <w:r>
        <w:t xml:space="preserve">(Draft, 29 November 2024; project 101128232, Milestone M10). Helsedirektoratet &amp; Folkehelseinstituttet. https://helsedata.no/contentassets/bdc68d971f1343ed92fb3d3673fb9905/helsedataradet/utkast—recommendations-for-minimum-requirements-for-secure-processing-environments-in-norway_29.11.2024-1.pdf</w:t>
      </w:r>
    </w:p>
    <w:p>
      <w:pPr>
        <w:pStyle w:val="BodyText"/>
      </w:pPr>
      <w:r>
        <w:t xml:space="preserve">Staffa, M., Coppolino, L., Sgaglione, L., Gelenbe, E., Komnios, I., Grivas, E., Stan, O., &amp; Castaldo, L. (2018). KONFIDO: An OpenNCP-based secure eHealth data exchange system. In</w:t>
      </w:r>
      <w:r>
        <w:t xml:space="preserve"> </w:t>
      </w:r>
      <w:r>
        <w:rPr>
          <w:iCs/>
          <w:i/>
        </w:rPr>
        <w:t xml:space="preserve">Security in Computer and Information Sciences — Euro-CYBERSEC 2018</w:t>
      </w:r>
      <w:r>
        <w:t xml:space="preserve"> </w:t>
      </w:r>
      <w:r>
        <w:t xml:space="preserve">(CCIS 821, pp. 11–27). Springer. https://doi.org/10.1007/978-3-319-95189-8_2</w:t>
      </w:r>
    </w:p>
    <w:p>
      <w:pPr>
        <w:pStyle w:val="BodyText"/>
      </w:pPr>
      <w:r>
        <w:t xml:space="preserve">Stortinget. (2025).</w:t>
      </w:r>
      <w:r>
        <w:t xml:space="preserve"> </w:t>
      </w:r>
      <w:r>
        <w:rPr>
          <w:iCs/>
          <w:i/>
        </w:rPr>
        <w:t xml:space="preserve">Innst. 71 L (2025–2026): Innstilling fra helse- og omsorgskomiteen om Endringer i helsepersonelloven og pasientjournalloven mv. (taushetsplikt og tilgjengeliggjøring av pasientopplysninger)</w:t>
      </w:r>
      <w:r>
        <w:t xml:space="preserve">. Norwegian Parliament. https://www.stortinget.no/no/Saker-og-publikasjoner/Publikasjoner/Innstillinger/Stortinget/2025-2026/inns-202526-071l/</w:t>
      </w:r>
    </w:p>
    <w:p>
      <w:pPr>
        <w:pStyle w:val="BodyText"/>
      </w:pPr>
      <w:r>
        <w:t xml:space="preserve">TEHDAS2. (2025).</w:t>
      </w:r>
      <w:r>
        <w:t xml:space="preserve"> </w:t>
      </w:r>
      <w:r>
        <w:rPr>
          <w:iCs/>
          <w:i/>
        </w:rPr>
        <w:t xml:space="preserve">Guideline for Health Data Access Bodies on the procedures and formats for data access</w:t>
      </w:r>
      <w:r>
        <w:t xml:space="preserve"> </w:t>
      </w:r>
      <w:r>
        <w:t xml:space="preserve">(D6.3, Version 1.5, final draft, 17 September 2025). TEHDAS2 Joint Action. https://tehdas.eu/wp-content/uploads/2025/09/draft-guideline-for-health-data-access-bodies-on-the-procedures-and-formats-for-data-access.pdf</w:t>
      </w:r>
    </w:p>
    <w:p>
      <w:pPr>
        <w:pStyle w:val="BodyText"/>
      </w:pPr>
      <w:r>
        <w:t xml:space="preserve">TEHDAS2. (2026).</w:t>
      </w:r>
      <w:r>
        <w:t xml:space="preserve"> </w:t>
      </w:r>
      <w:r>
        <w:rPr>
          <w:iCs/>
          <w:i/>
        </w:rPr>
        <w:t xml:space="preserve">Technical specification for Health Data Access Bodies on the implementation of secure processing environments</w:t>
      </w:r>
      <w:r>
        <w:t xml:space="preserve"> </w:t>
      </w:r>
      <w:r>
        <w:t xml:space="preserve">(D7.4, Version 1.2, 24 February 2026). TEHDAS2 Joint Action. https://doi.org/10.5281/zenodo.20266473</w:t>
      </w:r>
    </w:p>
    <w:p>
      <w:pPr>
        <w:pStyle w:val="BodyText"/>
      </w:pPr>
      <w:r>
        <w:t xml:space="preserve">VeritasChain. (2026, 18 January).</w:t>
      </w:r>
      <w:r>
        <w:t xml:space="preserve"> </w:t>
      </w:r>
      <w:r>
        <w:rPr>
          <w:iCs/>
          <w:i/>
        </w:rPr>
        <w:t xml:space="preserve">Crypto-shredding: The technical foundation for reconciling GDPR and financial record-keeping obligations</w:t>
      </w:r>
      <w:r>
        <w:t xml:space="preserve"> </w:t>
      </w:r>
      <w:r>
        <w:t xml:space="preserve">[Industry analysis, published under the name VeritasChain Standards Organization — a self-declared standards initiative founded 24 November 2025, operationally supported by VeritasChain Inc. and not accredited by any recognised standards body]. https://veritaschain.org/blog/posts/2026-01-18-crypto-shredding-gdpr-mifid-ii-reconciliation/</w:t>
      </w:r>
    </w:p>
    <w:p>
      <w:pPr>
        <w:pStyle w:val="BodyText"/>
      </w:pPr>
      <w:r>
        <w:t xml:space="preserve">Walonoski, J., Kramer, M., Nichols, J., Quina, A., Moesel, C., Hall, D., Duffett, C., Dube, K., Gallagher, T., &amp; McLachlan, S. (2018). Synthea: An approach, method, and software mechanism for generating synthetic patients and the synthetic electronic health care record.</w:t>
      </w:r>
      <w:r>
        <w:t xml:space="preserve"> </w:t>
      </w:r>
      <w:r>
        <w:rPr>
          <w:iCs/>
          <w:i/>
        </w:rPr>
        <w:t xml:space="preserve">Journal of the American Medical Informatics Association</w:t>
      </w:r>
      <w:r>
        <w:t xml:space="preserve">,</w:t>
      </w:r>
      <w:r>
        <w:t xml:space="preserve"> </w:t>
      </w:r>
      <w:r>
        <w:rPr>
          <w:iCs/>
          <w:i/>
        </w:rPr>
        <w:t xml:space="preserve">25</w:t>
      </w:r>
      <w:r>
        <w:t xml:space="preserve">(3), 230–238. https://doi.org/10.1093/jamia/ocx079</w:t>
      </w:r>
    </w:p>
    <w:p>
      <w:pPr>
        <w:pStyle w:val="BodyText"/>
      </w:pPr>
      <w:r>
        <w:t xml:space="preserve">Zhuang, Z., Lee, X., Wei, J., Fu, Y., &amp; Zhang, A. (2024).</w:t>
      </w:r>
      <w:r>
        <w:t xml:space="preserve"> </w:t>
      </w:r>
      <w:r>
        <w:rPr>
          <w:iCs/>
          <w:i/>
        </w:rPr>
        <w:t xml:space="preserve">CBCMS: A compliance management system for cross-border data transfer</w:t>
      </w:r>
      <w:r>
        <w:t xml:space="preserve">. arXiv. https://doi.org/10.48550/arXiv.2412.08993</w:t>
      </w:r>
    </w:p>
    <w:p>
      <w:r>
        <w:pict>
          <v:rect style="width:0;height:1.5pt" o:hralign="center" o:hrstd="t" o:hr="t"/>
        </w:pict>
      </w:r>
    </w:p>
    <w:bookmarkEnd w:id="108"/>
    <w:bookmarkStart w:id="131" w:name="Xf671d6a047e29416c79aabf8b10d80280f04f69"/>
    <w:p>
      <w:pPr>
        <w:pStyle w:val="Heading1"/>
      </w:pPr>
      <w:r>
        <w:t xml:space="preserve">Appendix A. Code Artefacts and Reproduction Record</w:t>
      </w:r>
    </w:p>
    <w:p>
      <w:pPr>
        <w:pStyle w:val="FirstParagraph"/>
      </w:pPr>
      <w:r>
        <w:rPr>
          <w:iCs/>
          <w:i/>
        </w:rPr>
        <w:t xml:space="preserve">Thesis:</w:t>
      </w:r>
      <w:r>
        <w:t xml:space="preserve"> </w:t>
      </w:r>
      <w:r>
        <w:t xml:space="preserve">Verifiable Crypto-Erasure for Cross-Border Health Data Audit Trails under the European Health Data Space</w:t>
      </w:r>
      <w:r>
        <w:t xml:space="preserve"> </w:t>
      </w:r>
      <w:r>
        <w:rPr>
          <w:iCs/>
          <w:i/>
        </w:rPr>
        <w:t xml:space="preserve">Author:</w:t>
      </w:r>
      <w:r>
        <w:t xml:space="preserve"> </w:t>
      </w:r>
      <w:r>
        <w:t xml:space="preserve">Arshad Akhtar Abbasia, MSc Sustainable Energy Logistics, Høgskolen i Molde</w:t>
      </w:r>
      <w:r>
        <w:t xml:space="preserve"> </w:t>
      </w:r>
      <w:r>
        <w:rPr>
          <w:iCs/>
          <w:i/>
        </w:rPr>
        <w:t xml:space="preserve">Supervisor:</w:t>
      </w:r>
      <w:r>
        <w:t xml:space="preserve"> </w:t>
      </w:r>
      <w:r>
        <w:t xml:space="preserve">Prof. João Ferreira</w:t>
      </w:r>
      <w:r>
        <w:t xml:space="preserve"> </w:t>
      </w:r>
      <w:r>
        <w:rPr>
          <w:iCs/>
          <w:i/>
        </w:rPr>
        <w:t xml:space="preserve">Artefact date:</w:t>
      </w:r>
      <w:r>
        <w:t xml:space="preserve"> </w:t>
      </w:r>
      <w:r>
        <w:t xml:space="preserve">18 September 2026</w:t>
      </w:r>
    </w:p>
    <w:p>
      <w:pPr>
        <w:pStyle w:val="BodyText"/>
      </w:pPr>
      <w:r>
        <w:t xml:space="preserve">This appendix contains every piece of code written for the thesis, the exact commands used to produce every reported result, and the provenance of all data. Nothing reported in Chapters 4 or 5 was produced by code not listed here.</w:t>
      </w:r>
    </w:p>
    <w:p>
      <w:r>
        <w:pict>
          <v:rect style="width:0;height:1.5pt" o:hralign="center" o:hrstd="t" o:hr="t"/>
        </w:pict>
      </w:r>
    </w:p>
    <w:bookmarkStart w:id="109" w:name="a.1-availability"/>
    <w:p>
      <w:pPr>
        <w:pStyle w:val="Heading2"/>
      </w:pPr>
      <w:r>
        <w:t xml:space="preserve">A.1 Availability</w:t>
      </w:r>
    </w:p>
    <w:p>
      <w:pPr>
        <w:pStyle w:val="FirstParagraph"/>
      </w:pPr>
      <w:r>
        <w:t xml:space="preserve">The artefact is publicly available in two forms.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w:t>
            </w:r>
          </w:p>
        </w:tc>
        <w:tc>
          <w:tcPr/>
          <w:p>
            <w:pPr>
              <w:pStyle w:val="Compact"/>
              <w:jc w:val="left"/>
            </w:pPr>
            <w:r>
              <w:t xml:space="preserve">Location</w:t>
            </w:r>
          </w:p>
        </w:tc>
      </w:tr>
      <w:tr>
        <w:tc>
          <w:tcPr/>
          <w:p>
            <w:pPr>
              <w:pStyle w:val="Compact"/>
              <w:jc w:val="left"/>
            </w:pPr>
            <w:r>
              <w:t xml:space="preserve">Source repository</w:t>
            </w:r>
          </w:p>
        </w:tc>
        <w:tc>
          <w:tcPr/>
          <w:p>
            <w:pPr>
              <w:pStyle w:val="Compact"/>
              <w:jc w:val="left"/>
            </w:pPr>
            <w:r>
              <w:t xml:space="preserve">https://github.com/Astheno-sphere/TRF</w:t>
            </w:r>
          </w:p>
        </w:tc>
      </w:tr>
      <w:tr>
        <w:tc>
          <w:tcPr/>
          <w:p>
            <w:pPr>
              <w:pStyle w:val="Compact"/>
              <w:jc w:val="left"/>
            </w:pPr>
            <w:r>
              <w:t xml:space="preserve">Live demonstration</w:t>
            </w:r>
          </w:p>
        </w:tc>
        <w:tc>
          <w:tcPr/>
          <w:p>
            <w:pPr>
              <w:pStyle w:val="Compact"/>
              <w:jc w:val="left"/>
            </w:pPr>
            <w:r>
              <w:t xml:space="preserve">https://trfhimolde.streamlit.app/</w:t>
            </w:r>
          </w:p>
        </w:tc>
      </w:tr>
    </w:tbl>
    <w:p>
      <w:pPr>
        <w:pStyle w:val="BodyText"/>
      </w:pPr>
      <w:r>
        <w:t xml:space="preserve">The repository is the citable artefact. It contains five Python modules, the eight-bundle Synthea subset the realism layer reads, a recorded console run for every command, and this appendix. The live application is a convenience for readers who prefer not to clone and run: it executes the same unmodified source, and its first tab asserts that the run reproduces the figures reported in Chapter 5, displaying a failure notice rather than results if it does not.</w:t>
      </w:r>
    </w:p>
    <w:p>
      <w:pPr>
        <w:pStyle w:val="BodyText"/>
      </w:pPr>
      <w:r>
        <w:t xml:space="preserve">The demonstration presents five tabs. Tab 1 runs the thesis configuration and reproduces Tables 5.1 and 5.3. Tab 2 varies population parameters as a teaching aid and is explicitly outside the thesis claims. Tab 3 runs the realism layer and reproduces Table 5.4. Tab 4 runs the Norwegian context modules, which are illustrative and report no thesis figure. Tab 5 runs the two robustness checks: the independent exhaustive cross-check of Section 5.4 and the erasure-response-period witness of Section 5.5a.</w:t>
      </w:r>
    </w:p>
    <w:p>
      <w:pPr>
        <w:pStyle w:val="BodyText"/>
      </w:pPr>
      <w:r>
        <w:t xml:space="preserve">A note on durability. Hosted applications are not archival objects: the live demonstration may be withdrawn or may sleep after inactivity, and no claim in this thesis depends on its availability. Every result reported here is reproducible from the code listed below by executing a single command on any machine with Python installed, which is the form in which the artefact should be assessed.</w:t>
      </w:r>
    </w:p>
    <w:bookmarkEnd w:id="109"/>
    <w:bookmarkStart w:id="110" w:name="a.1b-contents"/>
    <w:p>
      <w:pPr>
        <w:pStyle w:val="Heading2"/>
      </w:pPr>
      <w:r>
        <w:t xml:space="preserve">A.1b Contents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Lines</w:t>
            </w:r>
          </w:p>
        </w:tc>
      </w:tr>
      <w:tr>
        <w:tc>
          <w:tcPr/>
          <w:p>
            <w:pPr>
              <w:pStyle w:val="Compact"/>
              <w:jc w:val="left"/>
            </w:pPr>
            <w:r>
              <w:rPr>
                <w:rStyle w:val="VerbatimChar"/>
              </w:rPr>
              <w:t xml:space="preserve">trf_checker.py</w:t>
            </w:r>
          </w:p>
        </w:tc>
        <w:tc>
          <w:tcPr/>
          <w:p>
            <w:pPr>
              <w:pStyle w:val="Compact"/>
              <w:jc w:val="left"/>
            </w:pPr>
            <w:r>
              <w:t xml:space="preserve">Feasibility checker — executable witness for Theorems 1 and 2, including the independent exhaustive cross-check</w:t>
            </w:r>
          </w:p>
        </w:tc>
        <w:tc>
          <w:tcPr/>
          <w:p>
            <w:pPr>
              <w:pStyle w:val="Compact"/>
              <w:jc w:val="left"/>
            </w:pPr>
            <w:r>
              <w:t xml:space="preserve">363</w:t>
            </w:r>
          </w:p>
        </w:tc>
      </w:tr>
      <w:tr>
        <w:tc>
          <w:tcPr/>
          <w:p>
            <w:pPr>
              <w:pStyle w:val="Compact"/>
              <w:jc w:val="left"/>
            </w:pPr>
            <w:r>
              <w:rPr>
                <w:rStyle w:val="VerbatimChar"/>
              </w:rPr>
              <w:t xml:space="preserve">synthea_layer.py</w:t>
            </w:r>
          </w:p>
        </w:tc>
        <w:tc>
          <w:tcPr/>
          <w:p>
            <w:pPr>
              <w:pStyle w:val="Compact"/>
              <w:jc w:val="left"/>
            </w:pPr>
            <w:r>
              <w:t xml:space="preserve">Realism layer — substitutes Synthea-generated FHIR R4 payloads and compares every reported figure against the constructed-payload run</w:t>
            </w:r>
          </w:p>
        </w:tc>
        <w:tc>
          <w:tcPr/>
          <w:p>
            <w:pPr>
              <w:pStyle w:val="Compact"/>
              <w:jc w:val="left"/>
            </w:pPr>
            <w:r>
              <w:t xml:space="preserve">152</w:t>
            </w:r>
          </w:p>
        </w:tc>
      </w:tr>
      <w:tr>
        <w:tc>
          <w:tcPr/>
          <w:p>
            <w:pPr>
              <w:pStyle w:val="Compact"/>
              <w:jc w:val="left"/>
            </w:pPr>
            <w:r>
              <w:rPr>
                <w:rStyle w:val="VerbatimChar"/>
              </w:rPr>
              <w:t xml:space="preserve">norwegian_layer.py</w:t>
            </w:r>
          </w:p>
        </w:tc>
        <w:tc>
          <w:tcPr/>
          <w:p>
            <w:pPr>
              <w:pStyle w:val="Compact"/>
              <w:jc w:val="left"/>
            </w:pPr>
            <w:r>
              <w:t xml:space="preserve">Three Norwegian record classes, parallel to the thesis and reporting no thesis figure</w:t>
            </w:r>
          </w:p>
        </w:tc>
        <w:tc>
          <w:tcPr/>
          <w:p>
            <w:pPr>
              <w:pStyle w:val="Compact"/>
              <w:jc w:val="left"/>
            </w:pPr>
            <w:r>
              <w:t xml:space="preserve">135</w:t>
            </w:r>
          </w:p>
        </w:tc>
      </w:tr>
      <w:tr>
        <w:tc>
          <w:tcPr/>
          <w:p>
            <w:pPr>
              <w:pStyle w:val="Compact"/>
              <w:jc w:val="left"/>
            </w:pPr>
            <w:r>
              <w:rPr>
                <w:rStyle w:val="VerbatimChar"/>
              </w:rPr>
              <w:t xml:space="preserve">cross_sector_check.py</w:t>
            </w:r>
          </w:p>
        </w:tc>
        <w:tc>
          <w:tcPr/>
          <w:p>
            <w:pPr>
              <w:pStyle w:val="Compact"/>
              <w:jc w:val="left"/>
            </w:pPr>
            <w:r>
              <w:t xml:space="preserve">Cross-sector instance drawn from politiregisterloven § 17</w:t>
            </w:r>
          </w:p>
        </w:tc>
        <w:tc>
          <w:tcPr/>
          <w:p>
            <w:pPr>
              <w:pStyle w:val="Compact"/>
              <w:jc w:val="left"/>
            </w:pPr>
            <w:r>
              <w:t xml:space="preserve">110</w:t>
            </w:r>
          </w:p>
        </w:tc>
      </w:tr>
      <w:tr>
        <w:tc>
          <w:tcPr/>
          <w:p>
            <w:pPr>
              <w:pStyle w:val="Compact"/>
              <w:jc w:val="left"/>
            </w:pPr>
            <w:r>
              <w:rPr>
                <w:rStyle w:val="VerbatimChar"/>
              </w:rPr>
              <w:t xml:space="preserve">app.py</w:t>
            </w:r>
          </w:p>
        </w:tc>
        <w:tc>
          <w:tcPr/>
          <w:p>
            <w:pPr>
              <w:pStyle w:val="Compact"/>
              <w:jc w:val="left"/>
            </w:pPr>
            <w:r>
              <w:t xml:space="preserve">Five-tab demonstration viewer over the artefact, never a source of results</w:t>
            </w:r>
          </w:p>
        </w:tc>
        <w:tc>
          <w:tcPr/>
          <w:p>
            <w:pPr>
              <w:pStyle w:val="Compact"/>
              <w:jc w:val="left"/>
            </w:pPr>
            <w:r>
              <w:t xml:space="preserve">526</w:t>
            </w:r>
          </w:p>
        </w:tc>
      </w:tr>
      <w:tr>
        <w:tc>
          <w:tcPr/>
          <w:p>
            <w:pPr>
              <w:pStyle w:val="Compact"/>
              <w:jc w:val="left"/>
            </w:pPr>
            <w:r>
              <w:rPr>
                <w:rStyle w:val="VerbatimChar"/>
              </w:rPr>
              <w:t xml:space="preserve">data/synthea_subset/</w:t>
            </w:r>
          </w:p>
        </w:tc>
        <w:tc>
          <w:tcPr/>
          <w:p>
            <w:pPr>
              <w:pStyle w:val="Compact"/>
              <w:jc w:val="left"/>
            </w:pPr>
            <w:r>
              <w:t xml:space="preserve">Eight untrimmed Synthea bundles from the reported cohort, so a reader can run the realism layer without regenerating it</w:t>
            </w:r>
          </w:p>
        </w:tc>
        <w:tc>
          <w:tcPr/>
          <w:p>
            <w:pPr>
              <w:pStyle w:val="Compact"/>
              <w:jc w:val="left"/>
            </w:pPr>
            <w:r>
              <w:t xml:space="preserve">8 files, 40 MB</w:t>
            </w:r>
          </w:p>
        </w:tc>
      </w:tr>
      <w:tr>
        <w:tc>
          <w:tcPr/>
          <w:p>
            <w:pPr>
              <w:pStyle w:val="Compact"/>
              <w:jc w:val="left"/>
            </w:pPr>
            <w:r>
              <w:rPr>
                <w:rStyle w:val="VerbatimChar"/>
              </w:rPr>
              <w:t xml:space="preserve">docs/expected_trf_output.txt</w:t>
            </w:r>
          </w:p>
        </w:tc>
        <w:tc>
          <w:tcPr/>
          <w:p>
            <w:pPr>
              <w:pStyle w:val="Compact"/>
              <w:jc w:val="left"/>
            </w:pPr>
            <w:r>
              <w:t xml:space="preserve">Recorded console run of the checker</w:t>
            </w:r>
          </w:p>
        </w:tc>
        <w:tc>
          <w:tcPr/>
          <w:p>
            <w:pPr>
              <w:pStyle w:val="Compact"/>
              <w:jc w:val="left"/>
            </w:pPr>
            <w:r>
              <w:t xml:space="preserve">—</w:t>
            </w:r>
          </w:p>
        </w:tc>
      </w:tr>
      <w:tr>
        <w:tc>
          <w:tcPr/>
          <w:p>
            <w:pPr>
              <w:pStyle w:val="Compact"/>
              <w:jc w:val="left"/>
            </w:pPr>
            <w:r>
              <w:rPr>
                <w:rStyle w:val="VerbatimChar"/>
              </w:rPr>
              <w:t xml:space="preserve">docs/expected_delta_witness_output.txt</w:t>
            </w:r>
          </w:p>
        </w:tc>
        <w:tc>
          <w:tcPr/>
          <w:p>
            <w:pPr>
              <w:pStyle w:val="Compact"/>
              <w:jc w:val="left"/>
            </w:pPr>
            <w:r>
              <w:t xml:space="preserve">Recorded run at δ = 1 and δ = 3</w:t>
            </w:r>
          </w:p>
        </w:tc>
        <w:tc>
          <w:tcPr/>
          <w:p>
            <w:pPr>
              <w:pStyle w:val="Compact"/>
              <w:jc w:val="left"/>
            </w:pPr>
            <w:r>
              <w:t xml:space="preserve">—</w:t>
            </w:r>
          </w:p>
        </w:tc>
      </w:tr>
      <w:tr>
        <w:tc>
          <w:tcPr/>
          <w:p>
            <w:pPr>
              <w:pStyle w:val="Compact"/>
              <w:jc w:val="left"/>
            </w:pPr>
            <w:r>
              <w:rPr>
                <w:rStyle w:val="VerbatimChar"/>
              </w:rPr>
              <w:t xml:space="preserve">docs/expected_synthea_subset_output.txt</w:t>
            </w:r>
          </w:p>
        </w:tc>
        <w:tc>
          <w:tcPr/>
          <w:p>
            <w:pPr>
              <w:pStyle w:val="Compact"/>
              <w:jc w:val="left"/>
            </w:pPr>
            <w:r>
              <w:t xml:space="preserve">Recorded realism-layer run against the committed subset</w:t>
            </w:r>
          </w:p>
        </w:tc>
        <w:tc>
          <w:tcPr/>
          <w:p>
            <w:pPr>
              <w:pStyle w:val="Compact"/>
              <w:jc w:val="left"/>
            </w:pPr>
            <w:r>
              <w:t xml:space="preserve">—</w:t>
            </w:r>
          </w:p>
        </w:tc>
      </w:tr>
      <w:tr>
        <w:tc>
          <w:tcPr/>
          <w:p>
            <w:pPr>
              <w:pStyle w:val="Compact"/>
              <w:jc w:val="left"/>
            </w:pPr>
            <w:r>
              <w:rPr>
                <w:rStyle w:val="VerbatimChar"/>
              </w:rPr>
              <w:t xml:space="preserve">docs/expected_norwegian_output.txt</w:t>
            </w:r>
          </w:p>
        </w:tc>
        <w:tc>
          <w:tcPr/>
          <w:p>
            <w:pPr>
              <w:pStyle w:val="Compact"/>
              <w:jc w:val="left"/>
            </w:pPr>
            <w:r>
              <w:t xml:space="preserve">Recorded Norwegian-layer run</w:t>
            </w:r>
          </w:p>
        </w:tc>
        <w:tc>
          <w:tcPr/>
          <w:p>
            <w:pPr>
              <w:pStyle w:val="Compact"/>
              <w:jc w:val="left"/>
            </w:pPr>
            <w:r>
              <w:t xml:space="preserve">—</w:t>
            </w:r>
          </w:p>
        </w:tc>
      </w:tr>
      <w:tr>
        <w:tc>
          <w:tcPr/>
          <w:p>
            <w:pPr>
              <w:pStyle w:val="Compact"/>
              <w:jc w:val="left"/>
            </w:pPr>
            <w:r>
              <w:rPr>
                <w:rStyle w:val="VerbatimChar"/>
              </w:rPr>
              <w:t xml:space="preserve">docs/expected_cross_sector_output.txt</w:t>
            </w:r>
          </w:p>
        </w:tc>
        <w:tc>
          <w:tcPr/>
          <w:p>
            <w:pPr>
              <w:pStyle w:val="Compact"/>
              <w:jc w:val="left"/>
            </w:pPr>
            <w:r>
              <w:t xml:space="preserve">Recorded politiregisterloven § 17 run</w:t>
            </w:r>
          </w:p>
        </w:tc>
        <w:tc>
          <w:tcPr/>
          <w:p>
            <w:pPr>
              <w:pStyle w:val="Compact"/>
              <w:jc w:val="left"/>
            </w:pPr>
            <w:r>
              <w:t xml:space="preserve">—</w:t>
            </w:r>
          </w:p>
        </w:tc>
      </w:tr>
      <w:tr>
        <w:tc>
          <w:tcPr/>
          <w:p>
            <w:pPr>
              <w:pStyle w:val="Compact"/>
              <w:jc w:val="left"/>
            </w:pPr>
            <w:r>
              <w:rPr>
                <w:rStyle w:val="VerbatimChar"/>
              </w:rPr>
              <w:t xml:space="preserve">docs/Data_Provenance_Statement.md</w:t>
            </w:r>
          </w:p>
        </w:tc>
        <w:tc>
          <w:tcPr/>
          <w:p>
            <w:pPr>
              <w:pStyle w:val="Compact"/>
              <w:jc w:val="left"/>
            </w:pPr>
            <w:r>
              <w:t xml:space="preserve">Where the synthetic data came from, the six Synthea markers a reader can check for, and the cohort-size comparison</w:t>
            </w:r>
          </w:p>
        </w:tc>
        <w:tc>
          <w:tcPr/>
          <w:p>
            <w:pPr>
              <w:pStyle w:val="Compact"/>
              <w:jc w:val="left"/>
            </w:pPr>
            <w:r>
              <w:t xml:space="preserve">—</w:t>
            </w:r>
          </w:p>
        </w:tc>
      </w:tr>
      <w:tr>
        <w:tc>
          <w:tcPr/>
          <w:p>
            <w:pPr>
              <w:pStyle w:val="Compact"/>
              <w:jc w:val="left"/>
            </w:pPr>
            <w:r>
              <w:rPr>
                <w:rStyle w:val="VerbatimChar"/>
              </w:rPr>
              <w:t xml:space="preserve">requirements.txt</w:t>
            </w:r>
          </w:p>
        </w:tc>
        <w:tc>
          <w:tcPr/>
          <w:p>
            <w:pPr>
              <w:pStyle w:val="Compact"/>
              <w:jc w:val="left"/>
            </w:pPr>
            <w:r>
              <w:rPr>
                <w:rStyle w:val="VerbatimChar"/>
              </w:rPr>
              <w:t xml:space="preserve">streamlit&gt;=1.30</w:t>
            </w:r>
            <w:r>
              <w:t xml:space="preserve">; the checker itself needs nothing</w:t>
            </w:r>
          </w:p>
        </w:tc>
        <w:tc>
          <w:tcPr/>
          <w:p>
            <w:pPr>
              <w:pStyle w:val="Compact"/>
              <w:jc w:val="left"/>
            </w:pPr>
            <w:r>
              <w:t xml:space="preserve">1</w:t>
            </w:r>
          </w:p>
        </w:tc>
      </w:tr>
      <w:tr>
        <w:tc>
          <w:tcPr/>
          <w:p>
            <w:pPr>
              <w:pStyle w:val="Compact"/>
              <w:jc w:val="left"/>
            </w:pPr>
            <w:r>
              <w:rPr>
                <w:rStyle w:val="VerbatimChar"/>
              </w:rPr>
              <w:t xml:space="preserve">build_substrate_patch1.py</w:t>
            </w:r>
            <w:r>
              <w:t xml:space="preserve">,</w:t>
            </w:r>
            <w:r>
              <w:t xml:space="preserve"> </w:t>
            </w:r>
            <w:r>
              <w:rPr>
                <w:rStyle w:val="VerbatimChar"/>
              </w:rPr>
              <w:t xml:space="preserve">build_substrate_patch2.py</w:t>
            </w:r>
          </w:p>
        </w:tc>
        <w:tc>
          <w:tcPr/>
          <w:p>
            <w:pPr>
              <w:pStyle w:val="Compact"/>
              <w:jc w:val="left"/>
            </w:pPr>
            <w:r>
              <w:t xml:space="preserve">Generators for the research-substrate patch workbooks; no thesis result depends on them</w:t>
            </w:r>
          </w:p>
        </w:tc>
        <w:tc>
          <w:tcPr/>
          <w:p>
            <w:pPr>
              <w:pStyle w:val="Compact"/>
              <w:jc w:val="left"/>
            </w:pPr>
            <w:r>
              <w:t xml:space="preserve">—</w:t>
            </w:r>
          </w:p>
        </w:tc>
      </w:tr>
    </w:tbl>
    <w:p>
      <w:pPr>
        <w:pStyle w:val="BodyText"/>
      </w:pPr>
      <w:r>
        <w:t xml:space="preserve">Every command has a recorded run committed beside it. A reader who executes a command and diffs the result against its recorded file can distinguish a changed file from a changed result, which is the distinction that matters when a figure disagrees with the text.</w:t>
      </w:r>
    </w:p>
    <w:p>
      <w:pPr>
        <w:pStyle w:val="BodyText"/>
      </w:pPr>
      <w:r>
        <w:t xml:space="preserve">Two files are</w:t>
      </w:r>
      <w:r>
        <w:t xml:space="preserve"> </w:t>
      </w:r>
      <w:r>
        <w:rPr>
          <w:iCs/>
          <w:i/>
        </w:rPr>
        <w:t xml:space="preserve">not</w:t>
      </w:r>
      <w:r>
        <w:t xml:space="preserve"> </w:t>
      </w:r>
      <w:r>
        <w:t xml:space="preserve">included and the reason is stated rather than omitted: the full 98-bundle Synthea cohort (314 MB) and the Synthea jar (197 MB). Both are regenerable from the commands in A.3, deterministically, under the seeds given. The eight-bundle subset that is included is drawn from that cohort and is sufficient to run the realism layer; Chapter 5, Section 5.7 reports the comparison at both cohort sizes and finds every figure identical.</w:t>
      </w:r>
    </w:p>
    <w:bookmarkEnd w:id="110"/>
    <w:bookmarkStart w:id="111" w:name="X82a5cec6419e881040585918293c29b729990ae"/>
    <w:p>
      <w:pPr>
        <w:pStyle w:val="Heading2"/>
      </w:pPr>
      <w:r>
        <w:t xml:space="preserve">A.2 Environment and generation provenance</w:t>
      </w:r>
    </w:p>
    <w:p>
      <w:pPr>
        <w:pStyle w:val="FirstParagraph"/>
      </w:pPr>
      <w:r>
        <w:t xml:space="preserve">The synthetic cohort was generated by the official Synthea release jar, downloaded from the project’s own GitHub releases and executed with the command in Section A.3. Generation was carried out in a Linux environment with OpenJDK 21 rather than under Windows PowerShell, which does not affect the output: Synthea is deterministic under fixed population and clinician seeds, and produces byte-identical bundles in any environment with a compatible JVM. The bundles carry Synthea’s own resource-identifier namespace, its</w:t>
      </w:r>
      <w:r>
        <w:t xml:space="preserve"> </w:t>
      </w:r>
      <w:r>
        <w:rPr>
          <w:rStyle w:val="VerbatimChar"/>
        </w:rPr>
        <w:t xml:space="preserve">disability-adjusted-life-years</w:t>
      </w:r>
      <w:r>
        <w:t xml:space="preserve"> </w:t>
      </w:r>
      <w:r>
        <w:t xml:space="preserve">Patient extension, US Core profile conformance and its default Massachusetts demographics, all of which are verifiable by inspecting any bundle.</w:t>
      </w:r>
    </w:p>
    <w:bookmarkEnd w:id="111"/>
    <w:bookmarkStart w:id="112" w:name="a.2b-software-environment"/>
    <w:p>
      <w:pPr>
        <w:pStyle w:val="Heading2"/>
      </w:pPr>
      <w:r>
        <w:t xml:space="preserve">A.2b Software environment</w:t>
      </w:r>
    </w:p>
    <w:p>
      <w:pPr>
        <w:pStyle w:val="SourceCode"/>
      </w:pPr>
      <w:r>
        <w:rPr>
          <w:rStyle w:val="VerbatimChar"/>
        </w:rPr>
        <w:t xml:space="preserve">OS            Ubuntu 24.04</w:t>
      </w:r>
      <w:r>
        <w:br/>
      </w:r>
      <w:r>
        <w:rPr>
          <w:rStyle w:val="VerbatimChar"/>
        </w:rPr>
        <w:t xml:space="preserve">Python        3.x, standard library only (hashlib, random, itertools, glob, json, os)</w:t>
      </w:r>
      <w:r>
        <w:br/>
      </w:r>
      <w:r>
        <w:rPr>
          <w:rStyle w:val="VerbatimChar"/>
        </w:rPr>
        <w:t xml:space="preserve">Java          OpenJDK 21.0.10 (required for Synthea only)</w:t>
      </w:r>
      <w:r>
        <w:br/>
      </w:r>
      <w:r>
        <w:rPr>
          <w:rStyle w:val="VerbatimChar"/>
        </w:rPr>
        <w:t xml:space="preserve">Dependencies  none for the checker; openpyxl for the substrate patch generators</w:t>
      </w:r>
    </w:p>
    <w:p>
      <w:pPr>
        <w:pStyle w:val="FirstParagraph"/>
      </w:pPr>
      <w:r>
        <w:t xml:space="preserve">The checker has no third-party dependencies. This is deliberate: a reader should be able to run it on any machine with Python installed, without a package manager, and confirm the thesis’s central results for themselves.</w:t>
      </w:r>
    </w:p>
    <w:p>
      <w:r>
        <w:pict>
          <v:rect style="width:0;height:1.5pt" o:hralign="center" o:hrstd="t" o:hr="t"/>
        </w:pict>
      </w:r>
    </w:p>
    <w:bookmarkEnd w:id="112"/>
    <w:bookmarkStart w:id="113" w:name="a.3-exact-commands"/>
    <w:p>
      <w:pPr>
        <w:pStyle w:val="Heading2"/>
      </w:pPr>
      <w:r>
        <w:t xml:space="preserve">A.3 Exact commands</w:t>
      </w:r>
    </w:p>
    <w:p>
      <w:pPr>
        <w:pStyle w:val="FirstParagraph"/>
      </w:pPr>
      <w:r>
        <w:rPr>
          <w:iCs/>
          <w:i/>
        </w:rPr>
        <w:t xml:space="preserve">1. Run the feasibility checker (produces every figure in Chapter 5, Sections 5.3–5.6):</w:t>
      </w:r>
    </w:p>
    <w:p>
      <w:pPr>
        <w:pStyle w:val="SourceCode"/>
      </w:pPr>
      <w:r>
        <w:rPr>
          <w:rStyle w:val="ExtensionTok"/>
        </w:rPr>
        <w:t xml:space="preserve">python3</w:t>
      </w:r>
      <w:r>
        <w:rPr>
          <w:rStyle w:val="NormalTok"/>
        </w:rPr>
        <w:t xml:space="preserve"> trf_checker.py</w:t>
      </w:r>
    </w:p>
    <w:p>
      <w:pPr>
        <w:pStyle w:val="FirstParagraph"/>
      </w:pPr>
      <w:r>
        <w:t xml:space="preserve">Deterministic. Seed 20260915 is set in the module header. Output is byte-identical across runs and across machines. Runtime measured at 0.019 s.</w:t>
      </w:r>
    </w:p>
    <w:p>
      <w:pPr>
        <w:pStyle w:val="BodyText"/>
      </w:pPr>
      <w:r>
        <w:rPr>
          <w:iCs/>
          <w:i/>
        </w:rPr>
        <w:t xml:space="preserve">2. Obtain Synthea (required only for the realism layer):</w:t>
      </w:r>
    </w:p>
    <w:p>
      <w:pPr>
        <w:pStyle w:val="SourceCode"/>
      </w:pPr>
      <w:r>
        <w:rPr>
          <w:rStyle w:val="ExtensionTok"/>
        </w:rPr>
        <w:t xml:space="preserve">curl</w:t>
      </w:r>
      <w:r>
        <w:rPr>
          <w:rStyle w:val="NormalTok"/>
        </w:rPr>
        <w:t xml:space="preserve"> </w:t>
      </w:r>
      <w:r>
        <w:rPr>
          <w:rStyle w:val="AttributeTok"/>
        </w:rPr>
        <w:t xml:space="preserve">-sL</w:t>
      </w:r>
      <w:r>
        <w:rPr>
          <w:rStyle w:val="NormalTok"/>
        </w:rPr>
        <w:t xml:space="preserve"> </w:t>
      </w:r>
      <w:r>
        <w:rPr>
          <w:rStyle w:val="AttributeTok"/>
        </w:rPr>
        <w:t xml:space="preserve">-o</w:t>
      </w:r>
      <w:r>
        <w:rPr>
          <w:rStyle w:val="NormalTok"/>
        </w:rPr>
        <w:t xml:space="preserve"> synthea.jar </w:t>
      </w:r>
      <w:r>
        <w:rPr>
          <w:rStyle w:val="DataTypeTok"/>
        </w:rPr>
        <w:t xml:space="preserve">\</w:t>
      </w:r>
      <w:r>
        <w:br/>
      </w:r>
      <w:r>
        <w:rPr>
          <w:rStyle w:val="NormalTok"/>
        </w:rPr>
        <w:t xml:space="preserve">  https://github.com/synthetichealth/synthea/releases/download/master-branch-latest/synthea-with-dependencies.jar</w:t>
      </w:r>
    </w:p>
    <w:p>
      <w:pPr>
        <w:pStyle w:val="FirstParagraph"/>
      </w:pPr>
      <w:r>
        <w:rPr>
          <w:iCs/>
          <w:i/>
        </w:rPr>
        <w:t xml:space="preserve">3. Generate the synthetic cohort: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synthea_run </w:t>
      </w:r>
      <w:r>
        <w:rPr>
          <w:rStyle w:val="KeywordTok"/>
        </w:rPr>
        <w:t xml:space="preserve">&amp;&amp;</w:t>
      </w:r>
      <w:r>
        <w:rPr>
          <w:rStyle w:val="NormalTok"/>
        </w:rPr>
        <w:t xml:space="preserve"> </w:t>
      </w:r>
      <w:r>
        <w:rPr>
          <w:rStyle w:val="BuiltInTok"/>
        </w:rPr>
        <w:t xml:space="preserve">cd</w:t>
      </w:r>
      <w:r>
        <w:rPr>
          <w:rStyle w:val="NormalTok"/>
        </w:rPr>
        <w:t xml:space="preserve"> synthea_run</w:t>
      </w:r>
      <w:r>
        <w:br/>
      </w:r>
      <w:r>
        <w:rPr>
          <w:rStyle w:val="ExtensionTok"/>
        </w:rPr>
        <w:t xml:space="preserve">java</w:t>
      </w:r>
      <w:r>
        <w:rPr>
          <w:rStyle w:val="NormalTok"/>
        </w:rPr>
        <w:t xml:space="preserve"> </w:t>
      </w:r>
      <w:r>
        <w:rPr>
          <w:rStyle w:val="AttributeTok"/>
        </w:rPr>
        <w:t xml:space="preserve">-jar</w:t>
      </w:r>
      <w:r>
        <w:rPr>
          <w:rStyle w:val="NormalTok"/>
        </w:rPr>
        <w:t xml:space="preserve"> ../synthea.jar </w:t>
      </w:r>
      <w:r>
        <w:rPr>
          <w:rStyle w:val="DataTypeTok"/>
        </w:rPr>
        <w:t xml:space="preserve">\</w:t>
      </w:r>
      <w:r>
        <w:br/>
      </w:r>
      <w:r>
        <w:rPr>
          <w:rStyle w:val="NormalTok"/>
        </w:rPr>
        <w:t xml:space="preserve">  </w:t>
      </w:r>
      <w:r>
        <w:rPr>
          <w:rStyle w:val="AttributeTok"/>
        </w:rPr>
        <w:t xml:space="preserve">-s</w:t>
      </w:r>
      <w:r>
        <w:rPr>
          <w:rStyle w:val="NormalTok"/>
        </w:rPr>
        <w:t xml:space="preserve"> 20260915 </w:t>
      </w:r>
      <w:r>
        <w:rPr>
          <w:rStyle w:val="AttributeTok"/>
        </w:rPr>
        <w:t xml:space="preserve">-cs</w:t>
      </w:r>
      <w:r>
        <w:rPr>
          <w:rStyle w:val="NormalTok"/>
        </w:rPr>
        <w:t xml:space="preserve"> 20260915 </w:t>
      </w:r>
      <w:r>
        <w:rPr>
          <w:rStyle w:val="AttributeTok"/>
        </w:rPr>
        <w:t xml:space="preserve">-p</w:t>
      </w:r>
      <w:r>
        <w:rPr>
          <w:rStyle w:val="NormalTok"/>
        </w:rPr>
        <w:t xml:space="preserve"> 100 </w:t>
      </w:r>
      <w:r>
        <w:rPr>
          <w:rStyle w:val="DataTypeTok"/>
        </w:rPr>
        <w:t xml:space="preserve">\</w:t>
      </w:r>
      <w:r>
        <w:br/>
      </w:r>
      <w:r>
        <w:rPr>
          <w:rStyle w:val="NormalTok"/>
        </w:rPr>
        <w:t xml:space="preserve">  </w:t>
      </w:r>
      <w:r>
        <w:rPr>
          <w:rStyle w:val="AttributeTok"/>
        </w:rPr>
        <w:t xml:space="preserve">--exporter.fhir.export</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--exporter.hospital.fhir.export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--exporter.practitioner.fhir.export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--generate.only_alive_patients</w:t>
      </w:r>
      <w:r>
        <w:rPr>
          <w:rStyle w:val="OperatorTok"/>
        </w:rPr>
        <w:t xml:space="preserve">=</w:t>
      </w:r>
      <w:r>
        <w:rPr>
          <w:rStyle w:val="NormalTok"/>
        </w:rPr>
        <w:t xml:space="preserve">true</w:t>
      </w:r>
    </w:p>
    <w:p>
      <w:pPr>
        <w:pStyle w:val="FirstParagraph"/>
      </w:pPr>
      <w:r>
        <w:rPr>
          <w:rStyle w:val="VerbatimChar"/>
        </w:rPr>
        <w:t xml:space="preserve">-s</w:t>
      </w:r>
      <w:r>
        <w:t xml:space="preserve"> </w:t>
      </w:r>
      <w:r>
        <w:t xml:space="preserve">sets the population seed and</w:t>
      </w:r>
      <w:r>
        <w:t xml:space="preserve"> </w:t>
      </w:r>
      <w:r>
        <w:rPr>
          <w:rStyle w:val="VerbatimChar"/>
        </w:rPr>
        <w:t xml:space="preserve">-cs</w:t>
      </w:r>
      <w:r>
        <w:t xml:space="preserve"> </w:t>
      </w:r>
      <w:r>
        <w:t xml:space="preserve">the clinician seed; both are fixed to the thesis seed so the cohort is reproducible. The run yields 98 usable patient bundles from 100 requested. Output lands in</w:t>
      </w:r>
      <w:r>
        <w:t xml:space="preserve"> </w:t>
      </w:r>
      <w:r>
        <w:rPr>
          <w:rStyle w:val="VerbatimChar"/>
        </w:rPr>
        <w:t xml:space="preserve">synthea_run/output/fhir/</w:t>
      </w:r>
      <w:r>
        <w:t xml:space="preserve">.</w:t>
      </w:r>
    </w:p>
    <w:p>
      <w:pPr>
        <w:pStyle w:val="BodyText"/>
      </w:pPr>
      <w:r>
        <w:rPr>
          <w:iCs/>
          <w:i/>
        </w:rPr>
        <w:t xml:space="preserve">4. Run the realism layer and the payload-provenance comparison (produces Table 5.4):</w:t>
      </w:r>
    </w:p>
    <w:p>
      <w:pPr>
        <w:pStyle w:val="SourceCode"/>
      </w:pPr>
      <w:r>
        <w:rPr>
          <w:rStyle w:val="ExtensionTok"/>
        </w:rPr>
        <w:t xml:space="preserve">python3</w:t>
      </w:r>
      <w:r>
        <w:rPr>
          <w:rStyle w:val="NormalTok"/>
        </w:rPr>
        <w:t xml:space="preserve"> synthea_layer.py</w:t>
      </w:r>
    </w:p>
    <w:p>
      <w:pPr>
        <w:pStyle w:val="FirstParagraph"/>
      </w:pPr>
      <w:r>
        <w:t xml:space="preserve">Looks for bundles in</w:t>
      </w:r>
      <w:r>
        <w:t xml:space="preserve"> </w:t>
      </w:r>
      <w:r>
        <w:rPr>
          <w:rStyle w:val="VerbatimChar"/>
        </w:rPr>
        <w:t xml:space="preserve">./synthea_run/output/fhir/</w:t>
      </w:r>
      <w:r>
        <w:t xml:space="preserve"> </w:t>
      </w:r>
      <w:r>
        <w:t xml:space="preserve">first and falls back to</w:t>
      </w:r>
      <w:r>
        <w:t xml:space="preserve"> </w:t>
      </w:r>
      <w:r>
        <w:rPr>
          <w:rStyle w:val="VerbatimChar"/>
        </w:rPr>
        <w:t xml:space="preserve">./data/synthea_subset/</w:t>
      </w:r>
      <w:r>
        <w:t xml:space="preserve">, so it runs against either the regenerated cohort or the subset shipped with the artefact. Reports both runs side by side and flags any divergence.</w:t>
      </w:r>
    </w:p>
    <w:p>
      <w:pPr>
        <w:pStyle w:val="BodyText"/>
      </w:pPr>
      <w:r>
        <w:rPr>
          <w:iCs/>
          <w:i/>
        </w:rPr>
        <w:t xml:space="preserve">5. Run the erasure-response-period witness (produces Table 5.2a):</w:t>
      </w:r>
    </w:p>
    <w:p>
      <w:pPr>
        <w:pStyle w:val="SourceCode"/>
      </w:pPr>
      <w:r>
        <w:rPr>
          <w:rStyle w:val="ExtensionTok"/>
        </w:rPr>
        <w:t xml:space="preserve">python3</w:t>
      </w:r>
      <w:r>
        <w:rPr>
          <w:rStyle w:val="NormalTok"/>
        </w:rPr>
        <w:t xml:space="preserve"> trf_checker.py </w:t>
      </w:r>
      <w:r>
        <w:rPr>
          <w:rStyle w:val="AttributeTok"/>
        </w:rPr>
        <w:t xml:space="preserve">--delta-witness</w:t>
      </w:r>
    </w:p>
    <w:p>
      <w:pPr>
        <w:pStyle w:val="FirstParagraph"/>
      </w:pPr>
      <w:r>
        <w:t xml:space="preserve">Re-runs the population at δ = 1 and δ = 3, the extension Article 12(3) GDPR permits for complex requests, and prints both rows for comparison.</w:t>
      </w:r>
    </w:p>
    <w:p>
      <w:pPr>
        <w:pStyle w:val="BodyText"/>
      </w:pPr>
      <w:r>
        <w:rPr>
          <w:iCs/>
          <w:i/>
        </w:rPr>
        <w:t xml:space="preserve">6. Run the Norwegian context modules (illustrative; no thesis figure depends on them):</w:t>
      </w:r>
    </w:p>
    <w:p>
      <w:pPr>
        <w:pStyle w:val="SourceCode"/>
      </w:pPr>
      <w:r>
        <w:rPr>
          <w:rStyle w:val="ExtensionTok"/>
        </w:rPr>
        <w:t xml:space="preserve">python3</w:t>
      </w:r>
      <w:r>
        <w:rPr>
          <w:rStyle w:val="NormalTok"/>
        </w:rPr>
        <w:t xml:space="preserve"> norwegian_layer.py</w:t>
      </w:r>
      <w:r>
        <w:br/>
      </w:r>
      <w:r>
        <w:rPr>
          <w:rStyle w:val="ExtensionTok"/>
        </w:rPr>
        <w:t xml:space="preserve">python3</w:t>
      </w:r>
      <w:r>
        <w:rPr>
          <w:rStyle w:val="NormalTok"/>
        </w:rPr>
        <w:t xml:space="preserve"> cross_sector_check.py</w:t>
      </w:r>
    </w:p>
    <w:p>
      <w:pPr>
        <w:pStyle w:val="FirstParagraph"/>
      </w:pPr>
      <w:r>
        <w:t xml:space="preserve">The first builds the NO-XB, NO-SPE and NO-JOURNAL classes and walks through one case per class. The second builds the politiregisterloven § 17 instance discussed in Chapter 6, Section 6.9.</w:t>
      </w:r>
    </w:p>
    <w:p>
      <w:pPr>
        <w:pStyle w:val="BodyText"/>
      </w:pPr>
      <w:r>
        <w:rPr>
          <w:iCs/>
          <w:i/>
        </w:rPr>
        <w:t xml:space="preserve">7. Run the demonstration viewer locally:</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p>
      <w:pPr>
        <w:pStyle w:val="FirstParagraph"/>
      </w:pPr>
      <w:r>
        <w:rPr>
          <w:iCs/>
          <w:i/>
        </w:rPr>
        <w:t xml:space="preserve">8. Verify any run against its recorded output:</w:t>
      </w:r>
    </w:p>
    <w:p>
      <w:pPr>
        <w:pStyle w:val="SourceCode"/>
      </w:pPr>
      <w:r>
        <w:rPr>
          <w:rStyle w:val="ExtensionTok"/>
        </w:rPr>
        <w:t xml:space="preserve">python3</w:t>
      </w:r>
      <w:r>
        <w:rPr>
          <w:rStyle w:val="NormalTok"/>
        </w:rPr>
        <w:t xml:space="preserve"> trf_checker.py </w:t>
      </w:r>
      <w:r>
        <w:rPr>
          <w:rStyle w:val="KeywordTok"/>
        </w:rPr>
        <w:t xml:space="preserve">|</w:t>
      </w:r>
      <w:r>
        <w:rPr>
          <w:rStyle w:val="NormalTok"/>
        </w:rPr>
        <w:t xml:space="preserve"> </w:t>
      </w:r>
      <w:r>
        <w:rPr>
          <w:rStyle w:val="FunctionTok"/>
        </w:rPr>
        <w:t xml:space="preserve">diff</w:t>
      </w:r>
      <w:r>
        <w:rPr>
          <w:rStyle w:val="NormalTok"/>
        </w:rPr>
        <w:t xml:space="preserve"> </w:t>
      </w:r>
      <w:r>
        <w:rPr>
          <w:rStyle w:val="AttributeTok"/>
        </w:rPr>
        <w:t xml:space="preserve">-</w:t>
      </w:r>
      <w:r>
        <w:rPr>
          <w:rStyle w:val="NormalTok"/>
        </w:rPr>
        <w:t xml:space="preserve"> docs/expected_trf_output.txt </w:t>
      </w:r>
      <w:r>
        <w:rPr>
          <w:rStyle w:val="KeywordTok"/>
        </w:rPr>
        <w:t xml:space="preserve">&amp;&amp;</w:t>
      </w:r>
      <w:r>
        <w:rPr>
          <w:rStyle w:val="NormalTok"/>
        </w:rPr>
        <w:t xml:space="preserve"> </w:t>
      </w:r>
      <w:r>
        <w:rPr>
          <w:rStyle w:val="BuiltInTok"/>
        </w:rPr>
        <w:t xml:space="preserve">echo</w:t>
      </w:r>
      <w:r>
        <w:rPr>
          <w:rStyle w:val="NormalTok"/>
        </w:rPr>
        <w:t xml:space="preserve"> identical</w:t>
      </w:r>
    </w:p>
    <w:p>
      <w:pPr>
        <w:pStyle w:val="FirstParagraph"/>
      </w:pPr>
      <w:r>
        <w:t xml:space="preserve">The same form applies to each of the five recorded runs listed in A.1b. A difference means a file changed, not that the result changed.</w:t>
      </w:r>
    </w:p>
    <w:p>
      <w:r>
        <w:pict>
          <v:rect style="width:0;height:1.5pt" o:hralign="center" o:hrstd="t" o:hr="t"/>
        </w:pict>
      </w:r>
    </w:p>
    <w:bookmarkEnd w:id="113"/>
    <w:bookmarkStart w:id="116" w:name="a.4-what-the-code-does"/>
    <w:p>
      <w:pPr>
        <w:pStyle w:val="Heading2"/>
      </w:pPr>
      <w:r>
        <w:t xml:space="preserve">A.4 What the code does</w:t>
      </w:r>
    </w:p>
    <w:bookmarkStart w:id="114" w:name="trf_checker.py"/>
    <w:p>
      <w:pPr>
        <w:pStyle w:val="Heading3"/>
      </w:pPr>
      <w:r>
        <w:rPr>
          <w:rStyle w:val="VerbatimChar"/>
        </w:rPr>
        <w:t xml:space="preserve">trf_checker.py</w:t>
      </w:r>
    </w:p>
    <w:p>
      <w:pPr>
        <w:pStyle w:val="FirstParagraph"/>
      </w:pPr>
      <w:r>
        <w:t xml:space="preserve">Implements the TRF Model of Chapter 4 directly. Records are the seven-element tuples of Section 4.3. Two record classes are generated: cross-border audit records with a 120-month floor, and Secure Processing Environment access-log records with a 12-month floor and the Article 68(12) ceiling. Generation parameters are listed in full in Chapter 5, Table 5.0.</w:t>
      </w:r>
    </w:p>
    <w:p>
      <w:pPr>
        <w:pStyle w:val="BodyText"/>
      </w:pPr>
      <w:r>
        <w:t xml:space="preserve">Three components matter for the thesis’s claims:</w:t>
      </w:r>
    </w:p>
    <w:p>
      <w:pPr>
        <w:numPr>
          <w:ilvl w:val="0"/>
          <w:numId w:val="1006"/>
        </w:numPr>
        <w:pStyle w:val="Compact"/>
      </w:pPr>
      <w:r>
        <w:rPr>
          <w:rStyle w:val="VerbatimChar"/>
        </w:rPr>
        <w:t xml:space="preserve">check_semantics_I()</w:t>
      </w:r>
      <w:r>
        <w:t xml:space="preserve"> </w:t>
      </w:r>
      <w:r>
        <w:t xml:space="preserve">evaluates the constraint system under plaintext verifiability, reporting for each record the first month at which C1 and C2, or C1 and C3, are simultaneously required. These are the witnesses for Theorem 1.</w:t>
      </w:r>
    </w:p>
    <w:p>
      <w:pPr>
        <w:numPr>
          <w:ilvl w:val="0"/>
          <w:numId w:val="1006"/>
        </w:numPr>
        <w:pStyle w:val="Compact"/>
      </w:pPr>
      <w:r>
        <w:rPr>
          <w:rStyle w:val="VerbatimChar"/>
        </w:rPr>
        <w:t xml:space="preserve">check_semantics_II()</w:t>
      </w:r>
      <w:r>
        <w:t xml:space="preserve"> </w:t>
      </w:r>
      <w:r>
        <w:t xml:space="preserve">applies the constructive trajectory from the proof of Theorem 2 (destroy the payload key and the commitment salt at</w:t>
      </w:r>
      <w:r>
        <w:t xml:space="preserve"> </w:t>
      </w:r>
      <w:r>
        <w:rPr>
          <w:rStyle w:val="VerbatimChar"/>
        </w:rPr>
        <w:t xml:space="preserve">min(t_r + δ, t_π + 6)</w:t>
      </w:r>
      <w:r>
        <w:t xml:space="preserve">, append a grounded invalidation entry, retain metadata and commitment) and then verifies all three constraints.</w:t>
      </w:r>
    </w:p>
    <w:p>
      <w:pPr>
        <w:numPr>
          <w:ilvl w:val="0"/>
          <w:numId w:val="1006"/>
        </w:numPr>
        <w:pStyle w:val="Compact"/>
      </w:pPr>
      <w:r>
        <w:rPr>
          <w:rStyle w:val="VerbatimChar"/>
        </w:rPr>
        <w:t xml:space="preserve">brute_force_semantics_I()</w:t>
      </w:r>
      <w:r>
        <w:t xml:space="preserve"> </w:t>
      </w:r>
      <w:r>
        <w:t xml:space="preserve">is written independently of the first function, taking the constraint definitions directly and enumerating all 2¹⁴ assignments of the accessibility variable over a fourteen-month horizon. It exists so that the infeasibility results do not rest on the correctness of a single implementation. The control case, in which neither C2 nor C3 is active, returns feasible: confirming the search can succeed when it should.</w:t>
      </w:r>
    </w:p>
    <w:p>
      <w:pPr>
        <w:pStyle w:val="FirstParagraph"/>
      </w:pPr>
      <w:r>
        <w:t xml:space="preserve">Cryptographic operations use</w:t>
      </w:r>
      <w:r>
        <w:t xml:space="preserve"> </w:t>
      </w:r>
      <w:r>
        <w:rPr>
          <w:rStyle w:val="VerbatimChar"/>
        </w:rPr>
        <w:t xml:space="preserve">hashlib</w:t>
      </w:r>
      <w:r>
        <w:t xml:space="preserve"> </w:t>
      </w:r>
      <w:r>
        <w:t xml:space="preserve">only. Commitments are salted (</w:t>
      </w:r>
      <w:r>
        <w:rPr>
          <w:rStyle w:val="VerbatimChar"/>
        </w:rPr>
        <w:t xml:space="preserve">SHA-256(salt ‖ payload)</w:t>
      </w:r>
      <w:r>
        <w:t xml:space="preserve">) because Chapter 4, Section 4.9 establishes that an unsalted hash of a low-entropy clinical payload would itself remain personal data. Salts are derived deterministically from the record identifier so that runs reproduce exactly. That derivation is for reproducibility only: a production deployment must draw each salt from a cryptographically secure random source, since a salt derivable from the record identifier offers no hiding against an adversary who knows the derivation.</w:t>
      </w:r>
    </w:p>
    <w:p>
      <w:pPr>
        <w:pStyle w:val="BodyText"/>
      </w:pPr>
      <w:r>
        <w:t xml:space="preserve">Key destruction is modelled as setting the key reference to</w:t>
      </w:r>
      <w:r>
        <w:t xml:space="preserve"> </w:t>
      </w:r>
      <w:r>
        <w:rPr>
          <w:rStyle w:val="VerbatimChar"/>
        </w:rPr>
        <w:t xml:space="preserve">None</w:t>
      </w:r>
      <w:r>
        <w:t xml:space="preserve">. This demonstrates the mechanism’s logic and demonstrates nothing about deployment assurance: a limitation stated in Chapter 5, Section 5.7 and treated in Chapter 6.</w:t>
      </w:r>
    </w:p>
    <w:bookmarkEnd w:id="114"/>
    <w:bookmarkStart w:id="115" w:name="synthea_layer.py"/>
    <w:p>
      <w:pPr>
        <w:pStyle w:val="Heading3"/>
      </w:pPr>
      <w:r>
        <w:rPr>
          <w:rStyle w:val="VerbatimChar"/>
        </w:rPr>
        <w:t xml:space="preserve">synthea_layer.py</w:t>
      </w:r>
    </w:p>
    <w:p>
      <w:pPr>
        <w:pStyle w:val="FirstParagraph"/>
      </w:pPr>
      <w:r>
        <w:t xml:space="preserve">Replaces the constructed payload strings with real FHIR R4 resources drawn from Synthea bundles (one clinical resource per bundle, from</w:t>
      </w:r>
      <w:r>
        <w:t xml:space="preserve"> </w:t>
      </w:r>
      <w:r>
        <w:rPr>
          <w:rStyle w:val="VerbatimChar"/>
        </w:rPr>
        <w:t xml:space="preserve">Condition</w:t>
      </w:r>
      <w:r>
        <w:t xml:space="preserve">,</w:t>
      </w:r>
      <w:r>
        <w:t xml:space="preserve"> </w:t>
      </w:r>
      <w:r>
        <w:rPr>
          <w:rStyle w:val="VerbatimChar"/>
        </w:rPr>
        <w:t xml:space="preserve">Observation</w:t>
      </w:r>
      <w:r>
        <w:t xml:space="preserve">,</w:t>
      </w:r>
      <w:r>
        <w:t xml:space="preserve"> </w:t>
      </w:r>
      <w:r>
        <w:rPr>
          <w:rStyle w:val="VerbatimChar"/>
        </w:rPr>
        <w:t xml:space="preserve">MedicationRequest</w:t>
      </w:r>
      <w:r>
        <w:t xml:space="preserve">,</w:t>
      </w:r>
      <w:r>
        <w:t xml:space="preserve"> </w:t>
      </w:r>
      <w:r>
        <w:rPr>
          <w:rStyle w:val="VerbatimChar"/>
        </w:rPr>
        <w:t xml:space="preserve">AllergyIntolerance</w:t>
      </w:r>
      <w:r>
        <w:t xml:space="preserve">,</w:t>
      </w:r>
      <w:r>
        <w:t xml:space="preserve"> </w:t>
      </w:r>
      <w:r>
        <w:rPr>
          <w:rStyle w:val="VerbatimChar"/>
        </w:rPr>
        <w:t xml:space="preserve">Immunization</w:t>
      </w:r>
      <w:r>
        <w:t xml:space="preserve">, or</w:t>
      </w:r>
      <w:r>
        <w:t xml:space="preserve"> </w:t>
      </w:r>
      <w:r>
        <w:rPr>
          <w:rStyle w:val="VerbatimChar"/>
        </w:rPr>
        <w:t xml:space="preserve">Procedure</w:t>
      </w:r>
      <w:r>
        <w:t xml:space="preserve">), recomputes each commitment over the real payload, and leaves every timing quantity untouched. It then runs both populations through the same checks and prints them side by side.</w:t>
      </w:r>
    </w:p>
    <w:p>
      <w:pPr>
        <w:pStyle w:val="BodyText"/>
      </w:pPr>
      <w:r>
        <w:t xml:space="preserve">The expected result, and the observed one, is that every reported figure is identical while all 200 commitments differ. Mean payload size rises from 35 bytes to 1,006. The model reads timing and accessibility, never payload content; running the comparison rather than asserting the invariance lets a reader see the claim tested against inputs that demonstrably changed.</w:t>
      </w:r>
    </w:p>
    <w:p>
      <w:r>
        <w:pict>
          <v:rect style="width:0;height:1.5pt" o:hralign="center" o:hrstd="t" o:hr="t"/>
        </w:pict>
      </w:r>
    </w:p>
    <w:bookmarkEnd w:id="115"/>
    <w:bookmarkEnd w:id="116"/>
    <w:bookmarkStart w:id="117" w:name="a.5-data-provenance"/>
    <w:p>
      <w:pPr>
        <w:pStyle w:val="Heading2"/>
      </w:pPr>
      <w:r>
        <w:t xml:space="preserve">A.5 Data provenance</w:t>
      </w:r>
    </w:p>
    <w:p>
      <w:pPr>
        <w:pStyle w:val="FirstParagraph"/>
      </w:pPr>
      <w:r>
        <w:t xml:space="preserve">All data used anywhere in this thesis is synthetic. No real patient data was requested, obtained, or processed at any point.</w:t>
      </w:r>
    </w:p>
    <w:p>
      <w:pPr>
        <w:pStyle w:val="BodyText"/>
      </w:pPr>
      <w:r>
        <w:t xml:space="preserve">The cohort is generated by Synthea (Walonoski et al., 2018), an open-source synthetic patient generator. Synthea’s default export conforms to the</w:t>
      </w:r>
      <w:r>
        <w:t xml:space="preserve"> </w:t>
      </w:r>
      <w:r>
        <w:rPr>
          <w:iCs/>
          <w:i/>
        </w:rPr>
        <w:t xml:space="preserve">US Core</w:t>
      </w:r>
      <w:r>
        <w:t xml:space="preserve"> </w:t>
      </w:r>
      <w:r>
        <w:t xml:space="preserve">implementation guide with United States demographic, geographic, and care-pattern parameters. The FHIR version is</w:t>
      </w:r>
      <w:r>
        <w:t xml:space="preserve"> </w:t>
      </w:r>
      <w:r>
        <w:rPr>
          <w:iCs/>
          <w:i/>
        </w:rPr>
        <w:t xml:space="preserve">R4</w:t>
      </w:r>
      <w:r>
        <w:t xml:space="preserve">, which matches the version the Norwegian basisprofiler constrain; the</w:t>
      </w:r>
      <w:r>
        <w:t xml:space="preserve"> </w:t>
      </w:r>
      <w:r>
        <w:rPr>
          <w:iCs/>
          <w:i/>
        </w:rPr>
        <w:t xml:space="preserve">profiles</w:t>
      </w:r>
      <w:r>
        <w:t xml:space="preserve"> </w:t>
      </w:r>
      <w:r>
        <w:t xml:space="preserve">are not Norwegian, and no claim of Norwegian clinical representativeness is made for these records. The invariance result of Table 5.4 establishes that this mismatch cannot affect any reported figure. The thesis’s Norwegian grounding rests on the infrastructure analysis of Chapter 4, Section 4.11.</w:t>
      </w:r>
    </w:p>
    <w:p>
      <w:pPr>
        <w:pStyle w:val="BodyText"/>
      </w:pPr>
      <w:r>
        <w:t xml:space="preserve">The eight bundles in</w:t>
      </w:r>
      <w:r>
        <w:t xml:space="preserve"> </w:t>
      </w:r>
      <w:r>
        <w:rPr>
          <w:rStyle w:val="VerbatimChar"/>
        </w:rPr>
        <w:t xml:space="preserve">data/synthea_subset/</w:t>
      </w:r>
      <w:r>
        <w:t xml:space="preserve"> </w:t>
      </w:r>
      <w:r>
        <w:t xml:space="preserve">are untrimmed output from that cohort. With the subset the mean payload is 891 bytes rather than the 1,006 bytes of the full cohort, because a different set of clinical resources is drawn; Chapter 5, Section 5.7 reports both and every other figure is identical.</w:t>
      </w:r>
    </w:p>
    <w:p>
      <w:r>
        <w:pict>
          <v:rect style="width:0;height:1.5pt" o:hralign="center" o:hrstd="t" o:hr="t"/>
        </w:pict>
      </w:r>
    </w:p>
    <w:bookmarkEnd w:id="117"/>
    <w:bookmarkStart w:id="118" w:name="a.6-integrity-record"/>
    <w:p>
      <w:pPr>
        <w:pStyle w:val="Heading2"/>
      </w:pPr>
      <w:r>
        <w:t xml:space="preserve">A.6 Integrity record</w:t>
      </w:r>
    </w:p>
    <w:p>
      <w:pPr>
        <w:pStyle w:val="FirstParagraph"/>
      </w:pPr>
      <w:r>
        <w:t xml:space="preserve">Results reported in Chapters 4 and 5 and confirmed by execution: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Value</w:t>
            </w:r>
          </w:p>
        </w:tc>
        <w:tc>
          <w:tcPr/>
          <w:p>
            <w:pPr>
              <w:pStyle w:val="Compact"/>
              <w:jc w:val="left"/>
            </w:pPr>
            <w:r>
              <w:t xml:space="preserve">Where reported</w:t>
            </w:r>
          </w:p>
        </w:tc>
      </w:tr>
      <w:tr>
        <w:tc>
          <w:tcPr/>
          <w:p>
            <w:pPr>
              <w:pStyle w:val="Compact"/>
              <w:jc w:val="left"/>
            </w:pPr>
            <w:r>
              <w:t xml:space="preserve">Semantics I — records with ≥1 violation</w:t>
            </w:r>
          </w:p>
        </w:tc>
        <w:tc>
          <w:tcPr/>
          <w:p>
            <w:pPr>
              <w:pStyle w:val="Compact"/>
              <w:jc w:val="left"/>
            </w:pPr>
            <w:r>
              <w:t xml:space="preserve">90 / 200</w:t>
            </w:r>
          </w:p>
        </w:tc>
        <w:tc>
          <w:tcPr/>
          <w:p>
            <w:pPr>
              <w:pStyle w:val="Compact"/>
              <w:jc w:val="left"/>
            </w:pPr>
            <w:r>
              <w:t xml:space="preserve">Table 5.1</w:t>
            </w:r>
          </w:p>
        </w:tc>
      </w:tr>
      <w:tr>
        <w:tc>
          <w:tcPr/>
          <w:p>
            <w:pPr>
              <w:pStyle w:val="Compact"/>
              <w:jc w:val="left"/>
            </w:pPr>
            <w:r>
              <w:t xml:space="preserve">Semantics I — total violations</w:t>
            </w:r>
          </w:p>
        </w:tc>
        <w:tc>
          <w:tcPr/>
          <w:p>
            <w:pPr>
              <w:pStyle w:val="Compact"/>
              <w:jc w:val="left"/>
            </w:pPr>
            <w:r>
              <w:t xml:space="preserve">95</w:t>
            </w:r>
          </w:p>
        </w:tc>
        <w:tc>
          <w:tcPr/>
          <w:p>
            <w:pPr>
              <w:pStyle w:val="Compact"/>
              <w:jc w:val="left"/>
            </w:pPr>
            <w:r>
              <w:t xml:space="preserve">§5.3</w:t>
            </w:r>
          </w:p>
        </w:tc>
      </w:tr>
      <w:tr>
        <w:tc>
          <w:tcPr/>
          <w:p>
            <w:pPr>
              <w:pStyle w:val="Compact"/>
              <w:jc w:val="left"/>
            </w:pPr>
            <w:r>
              <w:t xml:space="preserve">Violation decomposition</w:t>
            </w:r>
          </w:p>
        </w:tc>
        <w:tc>
          <w:tcPr/>
          <w:p>
            <w:pPr>
              <w:pStyle w:val="Compact"/>
              <w:jc w:val="left"/>
            </w:pPr>
            <w:r>
              <w:t xml:space="preserve">41 C2-only, 44 C3-only, 5 both</w:t>
            </w:r>
          </w:p>
        </w:tc>
        <w:tc>
          <w:tcPr/>
          <w:p>
            <w:pPr>
              <w:pStyle w:val="Compact"/>
              <w:jc w:val="left"/>
            </w:pPr>
            <w:r>
              <w:t xml:space="preserve">§5.3</w:t>
            </w:r>
          </w:p>
        </w:tc>
      </w:tr>
      <w:tr>
        <w:tc>
          <w:tcPr/>
          <w:p>
            <w:pPr>
              <w:pStyle w:val="Compact"/>
              <w:jc w:val="left"/>
            </w:pPr>
            <w:r>
              <w:t xml:space="preserve">Corollary 1.2 witnesses (no erasure request)</w:t>
            </w:r>
          </w:p>
        </w:tc>
        <w:tc>
          <w:tcPr/>
          <w:p>
            <w:pPr>
              <w:pStyle w:val="Compact"/>
              <w:jc w:val="left"/>
            </w:pPr>
            <w:r>
              <w:t xml:space="preserve">39</w:t>
            </w:r>
          </w:p>
        </w:tc>
        <w:tc>
          <w:tcPr/>
          <w:p>
            <w:pPr>
              <w:pStyle w:val="Compact"/>
              <w:jc w:val="left"/>
            </w:pPr>
            <w:r>
              <w:t xml:space="preserve">§5.4</w:t>
            </w:r>
          </w:p>
        </w:tc>
      </w:tr>
      <w:tr>
        <w:tc>
          <w:tcPr/>
          <w:p>
            <w:pPr>
              <w:pStyle w:val="Compact"/>
              <w:jc w:val="left"/>
            </w:pPr>
            <w:r>
              <w:t xml:space="preserve">Exhaustive cross-check, three conflict cases</w:t>
            </w:r>
          </w:p>
        </w:tc>
        <w:tc>
          <w:tcPr/>
          <w:p>
            <w:pPr>
              <w:pStyle w:val="Compact"/>
              <w:jc w:val="left"/>
            </w:pPr>
            <w:r>
              <w:t xml:space="preserve">no satisfying assignment</w:t>
            </w:r>
          </w:p>
        </w:tc>
        <w:tc>
          <w:tcPr/>
          <w:p>
            <w:pPr>
              <w:pStyle w:val="Compact"/>
              <w:jc w:val="left"/>
            </w:pPr>
            <w:r>
              <w:t xml:space="preserve">Table 5.2</w:t>
            </w:r>
          </w:p>
        </w:tc>
      </w:tr>
      <w:tr>
        <w:tc>
          <w:tcPr/>
          <w:p>
            <w:pPr>
              <w:pStyle w:val="Compact"/>
              <w:jc w:val="left"/>
            </w:pPr>
            <w:r>
              <w:t xml:space="preserve">Exhaustive cross-check, control case</w:t>
            </w:r>
          </w:p>
        </w:tc>
        <w:tc>
          <w:tcPr/>
          <w:p>
            <w:pPr>
              <w:pStyle w:val="Compact"/>
              <w:jc w:val="left"/>
            </w:pPr>
            <w:r>
              <w:t xml:space="preserve">satisfying assignment exists</w:t>
            </w:r>
          </w:p>
        </w:tc>
        <w:tc>
          <w:tcPr/>
          <w:p>
            <w:pPr>
              <w:pStyle w:val="Compact"/>
              <w:jc w:val="left"/>
            </w:pPr>
            <w:r>
              <w:t xml:space="preserve">Table 5.2</w:t>
            </w:r>
          </w:p>
        </w:tc>
      </w:tr>
      <w:tr>
        <w:tc>
          <w:tcPr/>
          <w:p>
            <w:pPr>
              <w:pStyle w:val="Compact"/>
              <w:jc w:val="left"/>
            </w:pPr>
            <w:r>
              <w:t xml:space="preserve">Semantics II — records invalidated</w:t>
            </w:r>
          </w:p>
        </w:tc>
        <w:tc>
          <w:tcPr/>
          <w:p>
            <w:pPr>
              <w:pStyle w:val="Compact"/>
              <w:jc w:val="left"/>
            </w:pPr>
            <w:r>
              <w:t xml:space="preserve">138 (52 Art 17, 86 Art 68(12))</w:t>
            </w:r>
          </w:p>
        </w:tc>
        <w:tc>
          <w:tcPr/>
          <w:p>
            <w:pPr>
              <w:pStyle w:val="Compact"/>
              <w:jc w:val="left"/>
            </w:pPr>
            <w:r>
              <w:t xml:space="preserve">Table 5.3</w:t>
            </w:r>
          </w:p>
        </w:tc>
      </w:tr>
      <w:tr>
        <w:tc>
          <w:tcPr/>
          <w:p>
            <w:pPr>
              <w:pStyle w:val="Compact"/>
              <w:jc w:val="left"/>
            </w:pPr>
            <w:r>
              <w:t xml:space="preserve">Semantics II — total violations</w:t>
            </w:r>
          </w:p>
        </w:tc>
        <w:tc>
          <w:tcPr/>
          <w:p>
            <w:pPr>
              <w:pStyle w:val="Compact"/>
              <w:jc w:val="left"/>
            </w:pPr>
            <w:r>
              <w:t xml:space="preserve">0</w:t>
            </w:r>
          </w:p>
        </w:tc>
        <w:tc>
          <w:tcPr/>
          <w:p>
            <w:pPr>
              <w:pStyle w:val="Compact"/>
              <w:jc w:val="left"/>
            </w:pPr>
            <w:r>
              <w:t xml:space="preserve">Table 5.3</w:t>
            </w:r>
          </w:p>
        </w:tc>
      </w:tr>
      <w:tr>
        <w:tc>
          <w:tcPr/>
          <w:p>
            <w:pPr>
              <w:pStyle w:val="Compact"/>
              <w:jc w:val="left"/>
            </w:pPr>
            <w:r>
              <w:t xml:space="preserve">Synthea comparison — figures changed</w:t>
            </w:r>
          </w:p>
        </w:tc>
        <w:tc>
          <w:tcPr/>
          <w:p>
            <w:pPr>
              <w:pStyle w:val="Compact"/>
              <w:jc w:val="left"/>
            </w:pPr>
            <w:r>
              <w:t xml:space="preserve">none</w:t>
            </w:r>
          </w:p>
        </w:tc>
        <w:tc>
          <w:tcPr/>
          <w:p>
            <w:pPr>
              <w:pStyle w:val="Compact"/>
              <w:jc w:val="left"/>
            </w:pPr>
            <w:r>
              <w:t xml:space="preserve">Table 5.4</w:t>
            </w:r>
          </w:p>
        </w:tc>
      </w:tr>
      <w:tr>
        <w:tc>
          <w:tcPr/>
          <w:p>
            <w:pPr>
              <w:pStyle w:val="Compact"/>
              <w:jc w:val="left"/>
            </w:pPr>
            <w:r>
              <w:t xml:space="preserve">Synthea comparison — commitments changed</w:t>
            </w:r>
          </w:p>
        </w:tc>
        <w:tc>
          <w:tcPr/>
          <w:p>
            <w:pPr>
              <w:pStyle w:val="Compact"/>
              <w:jc w:val="left"/>
            </w:pPr>
            <w:r>
              <w:t xml:space="preserve">200 / 200</w:t>
            </w:r>
          </w:p>
        </w:tc>
        <w:tc>
          <w:tcPr/>
          <w:p>
            <w:pPr>
              <w:pStyle w:val="Compact"/>
              <w:jc w:val="left"/>
            </w:pPr>
            <w:r>
              <w:t xml:space="preserve">Table 5.4</w:t>
            </w:r>
          </w:p>
        </w:tc>
      </w:tr>
      <w:tr>
        <w:tc>
          <w:tcPr/>
          <w:p>
            <w:pPr>
              <w:pStyle w:val="Compact"/>
              <w:jc w:val="left"/>
            </w:pPr>
            <w:r>
              <w:t xml:space="preserve">Reference commitment, record 100</w:t>
            </w:r>
          </w:p>
        </w:tc>
        <w:tc>
          <w:tcPr/>
          <w:p>
            <w:pPr>
              <w:pStyle w:val="Compact"/>
              <w:jc w:val="left"/>
            </w:pPr>
            <w:r>
              <w:rPr>
                <w:rStyle w:val="VerbatimChar"/>
              </w:rPr>
              <w:t xml:space="preserve">11087780fd192c8f…</w:t>
            </w:r>
          </w:p>
        </w:tc>
        <w:tc>
          <w:tcPr/>
          <w:p>
            <w:pPr>
              <w:pStyle w:val="Compact"/>
              <w:jc w:val="left"/>
            </w:pPr>
            <w:r>
              <w:t xml:space="preserve">§5.6</w:t>
            </w:r>
          </w:p>
        </w:tc>
      </w:tr>
    </w:tbl>
    <w:p>
      <w:pPr>
        <w:pStyle w:val="BodyText"/>
      </w:pPr>
      <w:r>
        <w:t xml:space="preserve">The reference commitment is included so that a reader re-running the checker can confirm in one glance that their run matches the one reported. It is unchanged across the salt-handling refactor documented in the thesis change log, which is the intended behaviour.</w:t>
      </w:r>
    </w:p>
    <w:p>
      <w:r>
        <w:pict>
          <v:rect style="width:0;height:1.5pt" o:hralign="center" o:hrstd="t" o:hr="t"/>
        </w:pict>
      </w:r>
    </w:p>
    <w:bookmarkEnd w:id="118"/>
    <w:bookmarkStart w:id="119" w:name="a.7-known-limitations-of-the-artefact"/>
    <w:p>
      <w:pPr>
        <w:pStyle w:val="Heading2"/>
      </w:pPr>
      <w:r>
        <w:t xml:space="preserve">A.7 Known limitations of the artefact</w:t>
      </w:r>
    </w:p>
    <w:p>
      <w:pPr>
        <w:pStyle w:val="FirstParagraph"/>
      </w:pPr>
      <w:r>
        <w:t xml:space="preserve">Stated here so that they are not inferred from silence:</w:t>
      </w:r>
    </w:p>
    <w:p>
      <w:pPr>
        <w:numPr>
          <w:ilvl w:val="0"/>
          <w:numId w:val="1007"/>
        </w:numPr>
        <w:pStyle w:val="Compact"/>
      </w:pPr>
      <w:r>
        <w:t xml:space="preserve">The demonstration checks the theorems on the instances generated under one seed. The general claims rest on the proofs in Chapter 4, not on this code.</w:t>
      </w:r>
    </w:p>
    <w:p>
      <w:pPr>
        <w:numPr>
          <w:ilvl w:val="0"/>
          <w:numId w:val="1007"/>
        </w:numPr>
        <w:pStyle w:val="Compact"/>
      </w:pPr>
      <w:r>
        <w:t xml:space="preserve">The exhaustive cross-check covers four small cases at a fourteen-month horizon. The cross-border floor is scaled from 120 months to 12 for that check because 2¹²⁰ assignments are not enumerable; Theorem 1’s argument depends on the deadline falling inside the window, not on the window’s length.</w:t>
      </w:r>
    </w:p>
    <w:p>
      <w:pPr>
        <w:numPr>
          <w:ilvl w:val="0"/>
          <w:numId w:val="1007"/>
        </w:numPr>
        <w:pStyle w:val="Compact"/>
      </w:pPr>
      <w:r>
        <w:t xml:space="preserve">No performance measurement is offered as a result. The runtime figure in Chapter 5 indicates only that reproduction is cheap.</w:t>
      </w:r>
    </w:p>
    <w:p>
      <w:pPr>
        <w:numPr>
          <w:ilvl w:val="0"/>
          <w:numId w:val="1007"/>
        </w:numPr>
        <w:pStyle w:val="Compact"/>
      </w:pPr>
      <w:r>
        <w:t xml:space="preserve">Key destruction is simulated in program state. The artefact demonstrates the mechanism’s logic and says nothing about whether destruction can be assured in deployment.</w:t>
      </w:r>
    </w:p>
    <w:p>
      <w:pPr>
        <w:numPr>
          <w:ilvl w:val="0"/>
          <w:numId w:val="1007"/>
        </w:numPr>
        <w:pStyle w:val="Compact"/>
      </w:pPr>
      <w:r>
        <w:t xml:space="preserve">The checker does not connect to any National Contact Point, implement the OpenNCP transmission flow, evaluate consent policies, or implement any zero-knowledge proof system. None of these is claimed anywhere in the thesis.</w:t>
      </w:r>
    </w:p>
    <w:p>
      <w:r>
        <w:pict>
          <v:rect style="width:0;height:1.5pt" o:hralign="center" o:hrstd="t" o:hr="t"/>
        </w:pict>
      </w:r>
    </w:p>
    <w:bookmarkEnd w:id="119"/>
    <w:bookmarkStart w:id="120" w:name="a.8-source-listing-trf_checker.py"/>
    <w:p>
      <w:pPr>
        <w:pStyle w:val="Heading2"/>
      </w:pPr>
      <w:r>
        <w:t xml:space="preserve">A.8 Source listing:</w:t>
      </w:r>
      <w:r>
        <w:t xml:space="preserve"> </w:t>
      </w:r>
      <w:r>
        <w:rPr>
          <w:rStyle w:val="VerbatimChar"/>
        </w:rPr>
        <w:t xml:space="preserve">trf_checker.py</w:t>
      </w:r>
    </w:p>
    <w:p>
      <w:pPr>
        <w:pStyle w:val="FirstParagraph"/>
      </w:pPr>
      <w:r>
        <w:t xml:space="preserve">The complete source of the feasibility checker, reproduced as executed. It depends on the Python standard library only. Line count: 363.</w:t>
      </w:r>
    </w:p>
    <w:p>
      <w:pPr>
        <w:pStyle w:val="SourceCode"/>
      </w:pPr>
      <w:r>
        <w:rPr>
          <w:rStyle w:val="CommentTok"/>
        </w:rPr>
        <w:t xml:space="preserve">"""</w:t>
      </w:r>
      <w:r>
        <w:br/>
      </w:r>
      <w:r>
        <w:rPr>
          <w:rStyle w:val="CommentTok"/>
        </w:rPr>
        <w:t xml:space="preserve">TRF feasibility checker</w:t>
      </w:r>
      <w:r>
        <w:br/>
      </w:r>
      <w:r>
        <w:rPr>
          <w:rStyle w:val="CommentTok"/>
        </w:rPr>
        <w:t xml:space="preserve">=======================</w:t>
      </w:r>
      <w:r>
        <w:br/>
      </w:r>
      <w:r>
        <w:rPr>
          <w:rStyle w:val="CommentTok"/>
        </w:rPr>
        <w:t xml:space="preserve">Executable witness for Theorem 1 (infeasibility under plaintext-verifiability</w:t>
      </w:r>
      <w:r>
        <w:br/>
      </w:r>
      <w:r>
        <w:rPr>
          <w:rStyle w:val="CommentTok"/>
        </w:rPr>
        <w:t xml:space="preserve">semantics) and Theorem 2 (feasibility under accountability-preserving semantics)</w:t>
      </w:r>
      <w:r>
        <w:br/>
      </w:r>
      <w:r>
        <w:rPr>
          <w:rStyle w:val="CommentTok"/>
        </w:rPr>
        <w:t xml:space="preserve">of the Tri-Lateral Retention Feasibility Model.</w:t>
      </w:r>
      <w:r>
        <w:br/>
      </w:r>
      <w:r>
        <w:br/>
      </w:r>
      <w:r>
        <w:rPr>
          <w:rStyle w:val="CommentTok"/>
        </w:rPr>
        <w:t xml:space="preserve">Thesis: Verifiable Crypto-Erasure for Cross-Border Health Data Audit Trails</w:t>
      </w:r>
      <w:r>
        <w:br/>
      </w:r>
      <w:r>
        <w:rPr>
          <w:rStyle w:val="CommentTok"/>
        </w:rPr>
        <w:t xml:space="preserve">        under the European Health Data Space.</w:t>
      </w:r>
      <w:r>
        <w:br/>
      </w:r>
      <w:r>
        <w:rPr>
          <w:rStyle w:val="CommentTok"/>
        </w:rPr>
        <w:t xml:space="preserve">Author: Arshad Akhtar Abbasia, HiMolde.</w:t>
      </w:r>
      <w:r>
        <w:br/>
      </w:r>
      <w:r>
        <w:br/>
      </w:r>
      <w:r>
        <w:rPr>
          <w:rStyle w:val="CommentTok"/>
        </w:rPr>
        <w:t xml:space="preserve">Model reference: Chapter 4, Sections 4.3-4.7.</w:t>
      </w:r>
      <w:r>
        <w:br/>
      </w:r>
      <w:r>
        <w:rPr>
          <w:rStyle w:val="CommentTok"/>
        </w:rPr>
        <w:t xml:space="preserve">  Record a = (m, p, c, k, t_a, F, sigma)</w:t>
      </w:r>
      <w:r>
        <w:br/>
      </w:r>
      <w:r>
        <w:rPr>
          <w:rStyle w:val="CommentTok"/>
        </w:rPr>
        <w:t xml:space="preserve">  C1 retention floor : V(a,t) = 1 for t in [t_a, t_a + F]</w:t>
      </w:r>
      <w:r>
        <w:br/>
      </w:r>
      <w:r>
        <w:rPr>
          <w:rStyle w:val="CommentTok"/>
        </w:rPr>
        <w:t xml:space="preserve">  C2 erasure right   : alpha(a,t) = 0 for t &gt;= t_r + delta</w:t>
      </w:r>
      <w:r>
        <w:br/>
      </w:r>
      <w:r>
        <w:rPr>
          <w:rStyle w:val="CommentTok"/>
        </w:rPr>
        <w:t xml:space="preserve">  C3 deletion ceiling: alpha(a,t) = 0 for t &gt;= t_pi + 6   (secondary pathway)</w:t>
      </w:r>
      <w:r>
        <w:br/>
      </w:r>
      <w:r>
        <w:br/>
      </w:r>
      <w:r>
        <w:rPr>
          <w:rStyle w:val="CommentTok"/>
        </w:rPr>
        <w:t xml:space="preserve">Run:  python trf_checker.py</w:t>
      </w:r>
      <w:r>
        <w:br/>
      </w:r>
      <w:r>
        <w:rPr>
          <w:rStyle w:val="CommentTok"/>
        </w:rPr>
        <w:t xml:space="preserve">Deterministic: fixed seed, identical output on every run.</w:t>
      </w:r>
      <w:r>
        <w:br/>
      </w:r>
      <w:r>
        <w:rPr>
          <w:rStyle w:val="CommentTok"/>
        </w:rPr>
        <w:t xml:space="preserve">"""</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os</w:t>
      </w:r>
      <w:r>
        <w:br/>
      </w:r>
      <w:r>
        <w:rPr>
          <w:rStyle w:val="ImportTok"/>
        </w:rPr>
        <w:t xml:space="preserve">import</w:t>
      </w:r>
      <w:r>
        <w:rPr>
          <w:rStyle w:val="NormalTok"/>
        </w:rPr>
        <w:t xml:space="preserve"> random</w:t>
      </w:r>
      <w:r>
        <w:br/>
      </w:r>
      <w:r>
        <w:rPr>
          <w:rStyle w:val="ImportTok"/>
        </w:rPr>
        <w:t xml:space="preserve">from</w:t>
      </w:r>
      <w:r>
        <w:rPr>
          <w:rStyle w:val="NormalTok"/>
        </w:rPr>
        <w:t xml:space="preserve"> itertools </w:t>
      </w:r>
      <w:r>
        <w:rPr>
          <w:rStyle w:val="ImportTok"/>
        </w:rPr>
        <w:t xml:space="preserve">import</w:t>
      </w:r>
      <w:r>
        <w:rPr>
          <w:rStyle w:val="NormalTok"/>
        </w:rPr>
        <w:t xml:space="preserve"> product</w:t>
      </w:r>
      <w:r>
        <w:br/>
      </w:r>
      <w:r>
        <w:br/>
      </w:r>
      <w:r>
        <w:rPr>
          <w:rStyle w:val="NormalTok"/>
        </w:rPr>
        <w:t xml:space="preserve">SEED </w:t>
      </w:r>
      <w:r>
        <w:rPr>
          <w:rStyle w:val="OperatorTok"/>
        </w:rPr>
        <w:t xml:space="preserve">=</w:t>
      </w:r>
      <w:r>
        <w:rPr>
          <w:rStyle w:val="NormalTok"/>
        </w:rPr>
        <w:t xml:space="preserve"> </w:t>
      </w:r>
      <w:r>
        <w:rPr>
          <w:rStyle w:val="DecValTok"/>
        </w:rPr>
        <w:t xml:space="preserve">20260915</w:t>
      </w:r>
      <w:r>
        <w:br/>
      </w:r>
      <w:r>
        <w:rPr>
          <w:rStyle w:val="NormalTok"/>
        </w:rPr>
        <w:t xml:space="preserve">DELTA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GDPR Art 12(3) baseline response period, months</w:t>
      </w:r>
      <w:r>
        <w:br/>
      </w:r>
      <w:r>
        <w:rPr>
          <w:rStyle w:val="NormalTok"/>
        </w:rPr>
        <w:t xml:space="preserve">CEILING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EHDS Art 68(12), months after permit expiry</w:t>
      </w:r>
      <w:r>
        <w:br/>
      </w:r>
      <w:r>
        <w:rPr>
          <w:rStyle w:val="NormalTok"/>
        </w:rPr>
        <w:t xml:space="preserve">FLOOR_XBORDER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eHDSI deployment baseline, months</w:t>
      </w:r>
      <w:r>
        <w:br/>
      </w:r>
      <w:r>
        <w:rPr>
          <w:rStyle w:val="NormalTok"/>
        </w:rPr>
        <w:t xml:space="preserve">FLOOR_SPE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EHDS Art 73(1)(e), months</w:t>
      </w:r>
      <w:r>
        <w:br/>
      </w:r>
      <w:r>
        <w:rPr>
          <w:rStyle w:val="NormalTok"/>
        </w:rPr>
        <w:t xml:space="preserve">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br/>
      </w:r>
      <w:r>
        <w:rPr>
          <w:rStyle w:val="CommentTok"/>
        </w:rPr>
        <w:t xml:space="preserve"># ----------------------------------------------------------------------</w:t>
      </w:r>
      <w:r>
        <w:br/>
      </w:r>
      <w:r>
        <w:rPr>
          <w:rStyle w:val="CommentTok"/>
        </w:rPr>
        <w:t xml:space="preserve"># Cryptographic primitives (hiding commitment + simulated key destruction)</w:t>
      </w:r>
      <w:r>
        <w:br/>
      </w:r>
      <w:r>
        <w:rPr>
          <w:rStyle w:val="CommentTok"/>
        </w:rPr>
        <w:t xml:space="preserve"># ----------------------------------------------------------------------</w:t>
      </w:r>
      <w:r>
        <w:br/>
      </w:r>
      <w:r>
        <w:br/>
      </w:r>
      <w:r>
        <w:rPr>
          <w:rStyle w:val="KeywordTok"/>
        </w:rPr>
        <w:t xml:space="preserve">def</w:t>
      </w:r>
      <w:r>
        <w:rPr>
          <w:rStyle w:val="NormalTok"/>
        </w:rPr>
        <w:t xml:space="preserve"> commit(payload: </w:t>
      </w:r>
      <w:r>
        <w:rPr>
          <w:rStyle w:val="BuiltInTok"/>
        </w:rPr>
        <w:t xml:space="preserve">bytes</w:t>
      </w:r>
      <w:r>
        <w:rPr>
          <w:rStyle w:val="NormalTok"/>
        </w:rPr>
        <w:t xml:space="preserve">, salt: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"""Hiding, binding commitment. Salt is REQUIRED (Chapter 4, Section 4.9):</w:t>
      </w:r>
      <w:r>
        <w:br/>
      </w:r>
      <w:r>
        <w:rPr>
          <w:rStyle w:val="CommentTok"/>
        </w:rPr>
        <w:t xml:space="preserve">    an unsalted hash of a low-entropy clinical payload is guessable and would</w:t>
      </w:r>
      <w:r>
        <w:br/>
      </w:r>
      <w:r>
        <w:rPr>
          <w:rStyle w:val="CommentTok"/>
        </w:rPr>
        <w:t xml:space="preserve">    itself remain personal data."""</w:t>
      </w:r>
      <w:r>
        <w:br/>
      </w:r>
      <w:r>
        <w:rPr>
          <w:rStyle w:val="NormalTok"/>
        </w:rPr>
        <w:t xml:space="preserve">    </w:t>
      </w:r>
      <w:r>
        <w:rPr>
          <w:rStyle w:val="ControlFlowTok"/>
        </w:rPr>
        <w:t xml:space="preserve">return</w:t>
      </w:r>
      <w:r>
        <w:rPr>
          <w:rStyle w:val="NormalTok"/>
        </w:rPr>
        <w:t xml:space="preserve"> hashlib.sha256(salt </w:t>
      </w:r>
      <w:r>
        <w:rPr>
          <w:rStyle w:val="OperatorTok"/>
        </w:rPr>
        <w:t xml:space="preserve">+</w:t>
      </w:r>
      <w:r>
        <w:rPr>
          <w:rStyle w:val="NormalTok"/>
        </w:rPr>
        <w:t xml:space="preserve"> payload).hexdigest()</w:t>
      </w:r>
      <w:r>
        <w:br/>
      </w:r>
      <w:r>
        <w:br/>
      </w:r>
      <w:r>
        <w:br/>
      </w:r>
      <w:r>
        <w:rPr>
          <w:rStyle w:val="KeywordTok"/>
        </w:rPr>
        <w:t xml:space="preserve">class</w:t>
      </w:r>
      <w:r>
        <w:rPr>
          <w:rStyle w:val="NormalTok"/>
        </w:rPr>
        <w:t xml:space="preserve"> Record:</w:t>
      </w:r>
      <w:r>
        <w:br/>
      </w:r>
      <w:r>
        <w:rPr>
          <w:rStyle w:val="NormalTok"/>
        </w:rPr>
        <w:t xml:space="preserve">    </w:t>
      </w:r>
      <w:r>
        <w:rPr>
          <w:rStyle w:val="CommentTok"/>
        </w:rPr>
        <w:t xml:space="preserve">"""One audit record and its lifecycle state."""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rid, t_a, floor, sigma, payload, t_r</w:t>
      </w:r>
      <w:r>
        <w:rPr>
          <w:rStyle w:val="OperatorTok"/>
        </w:rPr>
        <w:t xml:space="preserve">=</w:t>
      </w:r>
      <w:r>
        <w:rPr>
          <w:rStyle w:val="NormalTok"/>
        </w:rPr>
        <w:t xml:space="preserve">INF, t_pi</w:t>
      </w:r>
      <w:r>
        <w:rPr>
          <w:rStyle w:val="OperatorTok"/>
        </w:rPr>
        <w:t xml:space="preserve">=</w:t>
      </w:r>
      <w:r>
        <w:rPr>
          <w:rStyle w:val="NormalTok"/>
        </w:rPr>
        <w:t xml:space="preserve">INF):</w:t>
      </w:r>
      <w:r>
        <w:br/>
      </w:r>
      <w:r>
        <w:rPr>
          <w:rStyle w:val="NormalTok"/>
        </w:rPr>
        <w:t xml:space="preserve">        </w:t>
      </w:r>
      <w:r>
        <w:rPr>
          <w:rStyle w:val="VariableTok"/>
        </w:rPr>
        <w:t xml:space="preserve">self</w:t>
      </w:r>
      <w:r>
        <w:rPr>
          <w:rStyle w:val="NormalTok"/>
        </w:rPr>
        <w:t xml:space="preserve">.rid </w:t>
      </w:r>
      <w:r>
        <w:rPr>
          <w:rStyle w:val="OperatorTok"/>
        </w:rPr>
        <w:t xml:space="preserve">=</w:t>
      </w:r>
      <w:r>
        <w:rPr>
          <w:rStyle w:val="NormalTok"/>
        </w:rPr>
        <w:t xml:space="preserve"> rid</w:t>
      </w:r>
      <w:r>
        <w:br/>
      </w:r>
      <w:r>
        <w:rPr>
          <w:rStyle w:val="NormalTok"/>
        </w:rPr>
        <w:t xml:space="preserve">        </w:t>
      </w:r>
      <w:r>
        <w:rPr>
          <w:rStyle w:val="VariableTok"/>
        </w:rPr>
        <w:t xml:space="preserve">self</w:t>
      </w:r>
      <w:r>
        <w:rPr>
          <w:rStyle w:val="NormalTok"/>
        </w:rPr>
        <w:t xml:space="preserve">.t_a </w:t>
      </w:r>
      <w:r>
        <w:rPr>
          <w:rStyle w:val="OperatorTok"/>
        </w:rPr>
        <w:t xml:space="preserve">=</w:t>
      </w:r>
      <w:r>
        <w:rPr>
          <w:rStyle w:val="NormalTok"/>
        </w:rPr>
        <w:t xml:space="preserve"> t_a</w:t>
      </w:r>
      <w:r>
        <w:br/>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floor</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t_r</w:t>
      </w:r>
      <w:r>
        <w:br/>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t_pi</w:t>
      </w:r>
      <w:r>
        <w:br/>
      </w:r>
      <w:r>
        <w:rPr>
          <w:rStyle w:val="NormalTok"/>
        </w:rPr>
        <w:t xml:space="preserve">        </w:t>
      </w:r>
      <w:r>
        <w:rPr>
          <w:rStyle w:val="CommentTok"/>
        </w:rPr>
        <w:t xml:space="preserve"># metadata m(a): accountability content, no clinical payload</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StringTok"/>
        </w:rPr>
        <w:t xml:space="preserve">"rid"</w:t>
      </w:r>
      <w:r>
        <w:rPr>
          <w:rStyle w:val="NormalTok"/>
        </w:rPr>
        <w:t xml:space="preserve">: rid, </w:t>
      </w:r>
      <w:r>
        <w:rPr>
          <w:rStyle w:val="StringTok"/>
        </w:rPr>
        <w:t xml:space="preserve">"actor"</w:t>
      </w:r>
      <w:r>
        <w:rPr>
          <w:rStyle w:val="NormalTok"/>
        </w:rPr>
        <w:t xml:space="preserve">: </w:t>
      </w:r>
      <w:r>
        <w:rPr>
          <w:rStyle w:val="SpecialStringTok"/>
        </w:rPr>
        <w:t xml:space="preserve">f"HP-</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37</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"ncp"</w:t>
      </w:r>
      <w:r>
        <w:rPr>
          <w:rStyle w:val="NormalTok"/>
        </w:rPr>
        <w:t xml:space="preserve">: [</w:t>
      </w:r>
      <w:r>
        <w:rPr>
          <w:rStyle w:val="StringTok"/>
        </w:rPr>
        <w:t xml:space="preserve">"NO"</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][rid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"patient_pseudonym"</w:t>
      </w:r>
      <w:r>
        <w:rPr>
          <w:rStyle w:val="NormalTok"/>
        </w:rPr>
        <w:t xml:space="preserve">: </w:t>
      </w:r>
      <w:r>
        <w:rPr>
          <w:rStyle w:val="SpecialStringTok"/>
        </w:rPr>
        <w:t xml:space="preserve">f"PSN-</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100</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"doc_category"</w:t>
      </w:r>
      <w:r>
        <w:rPr>
          <w:rStyle w:val="NormalTok"/>
        </w:rPr>
        <w:t xml:space="preserve">: </w:t>
      </w:r>
      <w:r>
        <w:rPr>
          <w:rStyle w:val="StringTok"/>
        </w:rPr>
        <w:t xml:space="preserve">"PatientSummary"</w:t>
      </w:r>
      <w:r>
        <w:rPr>
          <w:rStyle w:val="NormalTok"/>
        </w:rPr>
        <w:t xml:space="preserve">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"primary"</w:t>
      </w:r>
      <w:r>
        <w:rPr>
          <w:rStyle w:val="NormalTok"/>
        </w:rPr>
        <w:t xml:space="preserve"> </w:t>
      </w:r>
      <w:r>
        <w:rPr>
          <w:rStyle w:val="ControlFlowTok"/>
        </w:rPr>
        <w:t xml:space="preserve">else</w:t>
      </w:r>
      <w:r>
        <w:rPr>
          <w:rStyle w:val="NormalTok"/>
        </w:rPr>
        <w:t xml:space="preserve"> </w:t>
      </w:r>
      <w:r>
        <w:rPr>
          <w:rStyle w:val="StringTok"/>
        </w:rPr>
        <w:t xml:space="preserve">"SPE-AccessLog"</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"primary"</w:t>
      </w:r>
      <w:r>
        <w:rPr>
          <w:rStyle w:val="NormalTok"/>
        </w:rPr>
        <w:t xml:space="preserve"> </w:t>
      </w:r>
      <w:r>
        <w:rPr>
          <w:rStyle w:val="ControlFlowTok"/>
        </w:rPr>
        <w:t xml:space="preserve">else</w:t>
      </w:r>
      <w:r>
        <w:rPr>
          <w:rStyle w:val="NormalTok"/>
        </w:rPr>
        <w:t xml:space="preserve"> </w:t>
      </w:r>
      <w:r>
        <w:rPr>
          <w:rStyle w:val="StringTok"/>
        </w:rPr>
        <w:t xml:space="preserve">"DataPermit"</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VariableTok"/>
        </w:rPr>
        <w:t xml:space="preserve">self</w:t>
      </w:r>
      <w:r>
        <w:rPr>
          <w:rStyle w:val="NormalTok"/>
        </w:rPr>
        <w:t xml:space="preserve">.salt </w:t>
      </w:r>
      <w:r>
        <w:rPr>
          <w:rStyle w:val="OperatorTok"/>
        </w:rPr>
        <w:t xml:space="preserve">=</w:t>
      </w:r>
      <w:r>
        <w:rPr>
          <w:rStyle w:val="NormalTok"/>
        </w:rPr>
        <w:t xml:space="preserve"> os.urandom(</w:t>
      </w:r>
      <w:r>
        <w:rPr>
          <w:rStyle w:val="DecValTok"/>
        </w:rPr>
        <w:t xml:space="preserve">16</w:t>
      </w:r>
      <w:r>
        <w:rPr>
          <w:rStyle w:val="NormalTok"/>
        </w:rPr>
        <w:t xml:space="preserve">) </w:t>
      </w:r>
      <w:r>
        <w:rPr>
          <w:rStyle w:val="ControlFlowTok"/>
        </w:rPr>
        <w:t xml:space="preserve">if</w:t>
      </w:r>
      <w:r>
        <w:rPr>
          <w:rStyle w:val="NormalTok"/>
        </w:rPr>
        <w:t xml:space="preserve"> </w:t>
      </w:r>
      <w:r>
        <w:rPr>
          <w:rStyle w:val="VariableTok"/>
        </w:rPr>
        <w:t xml:space="preserve">False</w:t>
      </w:r>
      <w:r>
        <w:rPr>
          <w:rStyle w:val="NormalTok"/>
        </w:rPr>
        <w:t xml:space="preserve"> </w:t>
      </w:r>
      <w:r>
        <w:rPr>
          <w:rStyle w:val="ControlFlowTok"/>
        </w:rPr>
        <w:t xml:space="preserve">else</w:t>
      </w:r>
      <w:r>
        <w:rPr>
          <w:rStyle w:val="NormalTok"/>
        </w:rPr>
        <w:t xml:space="preserve"> </w:t>
      </w:r>
      <w:r>
        <w:rPr>
          <w:rStyle w:val="BuiltInTok"/>
        </w:rPr>
        <w:t xml:space="preserve">bytes</w:t>
      </w:r>
      <w:r>
        <w:rPr>
          <w:rStyle w:val="NormalTok"/>
        </w:rPr>
        <w:t xml:space="preserve">([(rid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256</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w:t>
      </w:r>
      <w:r>
        <w:rPr>
          <w:rStyle w:val="VariableTok"/>
        </w:rPr>
        <w:t xml:space="preserve">self</w:t>
      </w:r>
      <w:r>
        <w:rPr>
          <w:rStyle w:val="NormalTok"/>
        </w:rPr>
        <w:t xml:space="preserve">.payload </w:t>
      </w:r>
      <w:r>
        <w:rPr>
          <w:rStyle w:val="OperatorTok"/>
        </w:rPr>
        <w:t xml:space="preserve">=</w:t>
      </w:r>
      <w:r>
        <w:rPr>
          <w:rStyle w:val="NormalTok"/>
        </w:rPr>
        <w:t xml:space="preserve"> payload</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commit(payload, </w:t>
      </w:r>
      <w:r>
        <w:rPr>
          <w:rStyle w:val="VariableTok"/>
        </w:rPr>
        <w:t xml:space="preserve">self</w:t>
      </w:r>
      <w:r>
        <w:rPr>
          <w:rStyle w:val="NormalTok"/>
        </w:rPr>
        <w:t xml:space="preserve">.salt)   </w:t>
      </w:r>
      <w:r>
        <w:rPr>
          <w:rStyle w:val="CommentTok"/>
        </w:rPr>
        <w:t xml:space="preserve"># survives invalidation</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SpecialStringTok"/>
        </w:rPr>
        <w:t xml:space="preserve">f"KEY-</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             </w:t>
      </w:r>
      <w:r>
        <w:rPr>
          <w:rStyle w:val="CommentTok"/>
        </w:rPr>
        <w:t xml:space="preserve"># destroyed at invalidation</w:t>
      </w:r>
      <w:r>
        <w:br/>
      </w:r>
      <w:r>
        <w:rPr>
          <w:rStyle w:val="NormalTok"/>
        </w:rPr>
        <w:t xml:space="preserve">        </w:t>
      </w:r>
      <w:r>
        <w:rPr>
          <w:rStyle w:val="VariableTok"/>
        </w:rPr>
        <w:t xml:space="preserve">self</w:t>
      </w:r>
      <w:r>
        <w:rPr>
          <w:rStyle w:val="NormalTok"/>
        </w:rPr>
        <w:t xml:space="preserve">.iota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invalidation entry</w:t>
      </w:r>
      <w:r>
        <w:br/>
      </w:r>
      <w:r>
        <w:br/>
      </w:r>
      <w:r>
        <w:rPr>
          <w:rStyle w:val="NormalTok"/>
        </w:rPr>
        <w:t xml:space="preserve">    </w:t>
      </w:r>
      <w:r>
        <w:rPr>
          <w:rStyle w:val="CommentTok"/>
        </w:rPr>
        <w:t xml:space="preserve"># -- model quantities ------------------------------------------------</w:t>
      </w:r>
      <w:r>
        <w:br/>
      </w:r>
      <w:r>
        <w:rPr>
          <w:rStyle w:val="NormalTok"/>
        </w:rPr>
        <w:t xml:space="preserve">    </w:t>
      </w:r>
      <w:r>
        <w:rPr>
          <w:rStyle w:val="KeywordTok"/>
        </w:rPr>
        <w:t xml:space="preserve">def</w:t>
      </w:r>
      <w:r>
        <w:rPr>
          <w:rStyle w:val="NormalTok"/>
        </w:rPr>
        <w:t xml:space="preserve"> window(</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.t_a, </w:t>
      </w:r>
      <w:r>
        <w:rPr>
          <w:rStyle w:val="VariableTok"/>
        </w:rPr>
        <w:t xml:space="preserve">self</w:t>
      </w:r>
      <w:r>
        <w:rPr>
          <w:rStyle w:val="NormalTok"/>
        </w:rPr>
        <w:t xml:space="preserve">.t_a </w:t>
      </w:r>
      <w:r>
        <w:rPr>
          <w:rStyle w:val="OperatorTok"/>
        </w:rPr>
        <w:t xml:space="preserve">+</w:t>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erasure_deadline(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DELTA </w:t>
      </w:r>
      <w:r>
        <w:rPr>
          <w:rStyle w:val="ControlFlowTok"/>
        </w:rPr>
        <w:t xml:space="preserve">if</w:t>
      </w:r>
      <w:r>
        <w:rPr>
          <w:rStyle w:val="NormalTok"/>
        </w:rPr>
        <w:t xml:space="preserve"> </w:t>
      </w:r>
      <w:r>
        <w:rPr>
          <w:rStyle w:val="VariableTok"/>
        </w:rPr>
        <w:t xml:space="preserve">self</w:t>
      </w:r>
      <w:r>
        <w:rPr>
          <w:rStyle w:val="NormalTok"/>
        </w:rPr>
        <w:t xml:space="preserve">.t_r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br/>
      </w:r>
      <w:r>
        <w:rPr>
          <w:rStyle w:val="NormalTok"/>
        </w:rPr>
        <w:t xml:space="preserve">    </w:t>
      </w:r>
      <w:r>
        <w:rPr>
          <w:rStyle w:val="KeywordTok"/>
        </w:rPr>
        <w:t xml:space="preserve">def</w:t>
      </w:r>
      <w:r>
        <w:rPr>
          <w:rStyle w:val="NormalTok"/>
        </w:rPr>
        <w:t xml:space="preserve"> ceiling_deadline(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INF:</w:t>
      </w:r>
      <w:r>
        <w:br/>
      </w:r>
      <w:r>
        <w:rPr>
          <w:rStyle w:val="NormalTok"/>
        </w:rPr>
        <w:t xml:space="preserve">            </w:t>
      </w:r>
      <w:r>
        <w:rPr>
          <w:rStyle w:val="ControlFlowTok"/>
        </w:rPr>
        <w:t xml:space="preserve">return</w:t>
      </w:r>
      <w:r>
        <w:rPr>
          <w:rStyle w:val="NormalTok"/>
        </w:rPr>
        <w:t xml:space="preserve"> INF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CEILING</w:t>
      </w:r>
      <w:r>
        <w:br/>
      </w:r>
      <w:r>
        <w:br/>
      </w:r>
      <w:r>
        <w:rPr>
          <w:rStyle w:val="NormalTok"/>
        </w:rPr>
        <w:t xml:space="preserve">    </w:t>
      </w:r>
      <w:r>
        <w:rPr>
          <w:rStyle w:val="KeywordTok"/>
        </w:rPr>
        <w:t xml:space="preserve">def</w:t>
      </w:r>
      <w:r>
        <w:rPr>
          <w:rStyle w:val="NormalTok"/>
        </w:rPr>
        <w:t xml:space="preserve"> t_invalidation(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.erasure_deadline(), </w:t>
      </w:r>
      <w:r>
        <w:rPr>
          <w:rStyle w:val="VariableTok"/>
        </w:rPr>
        <w:t xml:space="preserve">self</w:t>
      </w:r>
      <w:r>
        <w:rPr>
          <w:rStyle w:val="NormalTok"/>
        </w:rPr>
        <w:t xml:space="preserve">.ceiling_deadline())</w:t>
      </w:r>
      <w:r>
        <w:br/>
      </w:r>
      <w:r>
        <w:br/>
      </w:r>
      <w:r>
        <w:br/>
      </w:r>
      <w:r>
        <w:rPr>
          <w:rStyle w:val="CommentTok"/>
        </w:rPr>
        <w:t xml:space="preserve"># ----------------------------------------------------------------------</w:t>
      </w:r>
      <w:r>
        <w:br/>
      </w:r>
      <w:r>
        <w:rPr>
          <w:rStyle w:val="CommentTok"/>
        </w:rPr>
        <w:t xml:space="preserve"># Semantics I - plaintext verifiability:  V_I(a,t) = alpha(a,t)</w:t>
      </w:r>
      <w:r>
        <w:br/>
      </w:r>
      <w:r>
        <w:rPr>
          <w:rStyle w:val="CommentTok"/>
        </w:rPr>
        <w:t xml:space="preserve"># ----------------------------------------------------------------------</w:t>
      </w:r>
      <w:r>
        <w:br/>
      </w:r>
      <w:r>
        <w:br/>
      </w:r>
      <w:r>
        <w:rPr>
          <w:rStyle w:val="KeywordTok"/>
        </w:rPr>
        <w:t xml:space="preserve">def</w:t>
      </w:r>
      <w:r>
        <w:rPr>
          <w:rStyle w:val="NormalTok"/>
        </w:rPr>
        <w:t xml:space="preserve"> check_semantics_I(rec):</w:t>
      </w:r>
      <w:r>
        <w:br/>
      </w:r>
      <w:r>
        <w:rPr>
          <w:rStyle w:val="NormalTok"/>
        </w:rPr>
        <w:t xml:space="preserve">    </w:t>
      </w:r>
      <w:r>
        <w:rPr>
          <w:rStyle w:val="CommentTok"/>
        </w:rPr>
        <w:t xml:space="preserve">"""C1 demands alpha=1 across the window; C2/C3 demand alpha=0 from their</w:t>
      </w:r>
      <w:r>
        <w:br/>
      </w:r>
      <w:r>
        <w:rPr>
          <w:rStyle w:val="CommentTok"/>
        </w:rPr>
        <w:t xml:space="preserve">    deadlines. Report every month where both are demanded at once."""</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deadline, constraint </w:t>
      </w:r>
      <w:r>
        <w:rPr>
          <w:rStyle w:val="KeywordTok"/>
        </w:rPr>
        <w:t xml:space="preserve">in</w:t>
      </w:r>
      <w:r>
        <w:rPr>
          <w:rStyle w:val="NormalTok"/>
        </w:rPr>
        <w:t xml:space="preserve"> ((rec.erasure_deadline(), </w:t>
      </w:r>
      <w:r>
        <w:rPr>
          <w:rStyle w:val="StringTok"/>
        </w:rPr>
        <w:t xml:space="preserve">"C2"</w:t>
      </w:r>
      <w:r>
        <w:rPr>
          <w:rStyle w:val="NormalTok"/>
        </w:rPr>
        <w:t xml:space="preserve">),</w:t>
      </w:r>
      <w:r>
        <w:br/>
      </w:r>
      <w:r>
        <w:rPr>
          <w:rStyle w:val="NormalTok"/>
        </w:rPr>
        <w:t xml:space="preserve">                                 (rec.ceiling_deadline(), </w:t>
      </w:r>
      <w:r>
        <w:rPr>
          <w:rStyle w:val="StringTok"/>
        </w:rPr>
        <w:t xml:space="preserve">"C3"</w:t>
      </w:r>
      <w:r>
        <w:rPr>
          <w:rStyle w:val="NormalTok"/>
        </w:rPr>
        <w:t xml:space="preserve">)):</w:t>
      </w:r>
      <w:r>
        <w:br/>
      </w:r>
      <w:r>
        <w:rPr>
          <w:rStyle w:val="NormalTok"/>
        </w:rPr>
        <w:t xml:space="preserve">        </w:t>
      </w:r>
      <w:r>
        <w:rPr>
          <w:rStyle w:val="ControlFlowTok"/>
        </w:rPr>
        <w:t xml:space="preserve">if</w:t>
      </w:r>
      <w:r>
        <w:rPr>
          <w:rStyle w:val="NormalTok"/>
        </w:rPr>
        <w:t xml:space="preserve"> deadline </w:t>
      </w:r>
      <w:r>
        <w:rPr>
          <w:rStyle w:val="OperatorTok"/>
        </w:rPr>
        <w:t xml:space="preserve">==</w:t>
      </w:r>
      <w:r>
        <w:rPr>
          <w:rStyle w:val="NormalTok"/>
        </w:rPr>
        <w:t xml:space="preserve"> INF:</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deadline:</w:t>
      </w:r>
      <w:r>
        <w:br/>
      </w:r>
      <w:r>
        <w:rPr>
          <w:rStyle w:val="NormalTok"/>
        </w:rPr>
        <w:t xml:space="preserve">                violations.append({</w:t>
      </w:r>
      <w:r>
        <w:br/>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constraint,</w:t>
      </w:r>
      <w:r>
        <w:br/>
      </w:r>
      <w:r>
        <w:rPr>
          <w:rStyle w:val="NormalTok"/>
        </w:rPr>
        <w:t xml:space="preserve">                    </w:t>
      </w:r>
      <w:r>
        <w:rPr>
          <w:rStyle w:val="StringTok"/>
        </w:rPr>
        <w:t xml:space="preserve">"detail"</w:t>
      </w:r>
      <w:r>
        <w:rPr>
          <w:rStyle w:val="NormalTok"/>
        </w:rPr>
        <w:t xml:space="preserve">: (</w:t>
      </w:r>
      <w:r>
        <w:rPr>
          <w:rStyle w:val="SpecialStringTok"/>
        </w:rPr>
        <w:t xml:space="preserve">f"C1 requires V=1 (=&gt; alpha=1) at t=</w:t>
      </w:r>
      <w:r>
        <w:rPr>
          <w:rStyle w:val="SpecialCharTok"/>
        </w:rPr>
        <w:t xml:space="preserve">{</w:t>
      </w:r>
      <w:r>
        <w:rPr>
          <w:rStyle w:val="NormalTok"/>
        </w:rPr>
        <w:t xml:space="preserve">t</w:t>
      </w:r>
      <w:r>
        <w:rPr>
          <w:rStyle w:val="SpecialCharTok"/>
        </w:rPr>
        <w:t xml:space="preserve">}</w:t>
      </w:r>
      <w:r>
        <w:rPr>
          <w:rStyle w:val="SpecialStringTok"/>
        </w:rPr>
        <w:t xml:space="preserve"> within "</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pecialCharTok"/>
        </w:rPr>
        <w:t xml:space="preserve">.</w:t>
      </w:r>
      <w:r>
        <w:rPr>
          <w:rStyle w:val="NormalTok"/>
        </w:rPr>
        <w:t xml:space="preserve">t_a</w:t>
      </w:r>
      <w:r>
        <w:rPr>
          <w:rStyle w:val="SpecialCharTok"/>
        </w:rPr>
        <w:t xml:space="preserve">}</w:t>
      </w:r>
      <w:r>
        <w:rPr>
          <w:rStyle w:val="SpecialStringTok"/>
        </w:rPr>
        <w:t xml:space="preserve">,</w:t>
      </w:r>
      <w:r>
        <w:rPr>
          <w:rStyle w:val="SpecialCharTok"/>
        </w:rPr>
        <w:t xml:space="preserve">{</w:t>
      </w:r>
      <w:r>
        <w:rPr>
          <w:rStyle w:val="NormalTok"/>
        </w:rPr>
        <w:t xml:space="preserve">rec</w:t>
      </w:r>
      <w:r>
        <w:rPr>
          <w:rStyle w:val="SpecialCharTok"/>
        </w:rPr>
        <w:t xml:space="preserve">.</w:t>
      </w:r>
      <w:r>
        <w:rPr>
          <w:rStyle w:val="NormalTok"/>
        </w:rPr>
        <w:t xml:space="preserve">t_a </w:t>
      </w:r>
      <w:r>
        <w:rPr>
          <w:rStyle w:val="OperatorTok"/>
        </w:rPr>
        <w:t xml:space="preserve">+</w:t>
      </w:r>
      <w:r>
        <w:rPr>
          <w:rStyle w:val="NormalTok"/>
        </w:rPr>
        <w:t xml:space="preserve"> rec</w:t>
      </w:r>
      <w:r>
        <w:rPr>
          <w:rStyle w:val="SpecialCharTok"/>
        </w:rPr>
        <w:t xml:space="preserve">.</w:t>
      </w:r>
      <w:r>
        <w:rPr>
          <w:rStyle w:val="NormalTok"/>
        </w:rPr>
        <w:t xml:space="preserve">floor</w:t>
      </w:r>
      <w:r>
        <w:rPr>
          <w:rStyle w:val="SpecialCharTok"/>
        </w:rPr>
        <w:t xml:space="preserve">}</w:t>
      </w:r>
      <w:r>
        <w:rPr>
          <w:rStyle w:val="SpecialStringTok"/>
        </w:rPr>
        <w:t xml:space="preserve">]; </w:t>
      </w:r>
      <w:r>
        <w:rPr>
          <w:rStyle w:val="SpecialCharTok"/>
        </w:rPr>
        <w:t xml:space="preserve">{</w:t>
      </w:r>
      <w:r>
        <w:rPr>
          <w:rStyle w:val="NormalTok"/>
        </w:rPr>
        <w:t xml:space="preserve">constraint</w:t>
      </w:r>
      <w:r>
        <w:rPr>
          <w:rStyle w:val="SpecialCharTok"/>
        </w:rPr>
        <w:t xml:space="preserve">}</w:t>
      </w:r>
      <w:r>
        <w:rPr>
          <w:rStyle w:val="SpecialStringTok"/>
        </w:rPr>
        <w:t xml:space="preserve"> "</w:t>
      </w:r>
      <w:r>
        <w:br/>
      </w:r>
      <w:r>
        <w:rPr>
          <w:rStyle w:val="NormalTok"/>
        </w:rPr>
        <w:t xml:space="preserve">                               </w:t>
      </w:r>
      <w:r>
        <w:rPr>
          <w:rStyle w:val="SpecialStringTok"/>
        </w:rPr>
        <w:t xml:space="preserve">f"requires alpha=0 from t=</w:t>
      </w:r>
      <w:r>
        <w:rPr>
          <w:rStyle w:val="SpecialCharTok"/>
        </w:rPr>
        <w:t xml:space="preserve">{</w:t>
      </w:r>
      <w:r>
        <w:rPr>
          <w:rStyle w:val="NormalTok"/>
        </w:rPr>
        <w:t xml:space="preserve">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first collision month is the witness</w:t>
      </w:r>
      <w:r>
        <w:br/>
      </w:r>
      <w:r>
        <w:rPr>
          <w:rStyle w:val="NormalTok"/>
        </w:rPr>
        <w:t xml:space="preserve">    </w:t>
      </w:r>
      <w:r>
        <w:rPr>
          <w:rStyle w:val="ControlFlowTok"/>
        </w:rPr>
        <w:t xml:space="preserve">return</w:t>
      </w:r>
      <w:r>
        <w:rPr>
          <w:rStyle w:val="NormalTok"/>
        </w:rPr>
        <w:t xml:space="preserve"> violations</w:t>
      </w:r>
      <w:r>
        <w:br/>
      </w:r>
      <w:r>
        <w:br/>
      </w:r>
      <w:r>
        <w:br/>
      </w:r>
      <w:r>
        <w:rPr>
          <w:rStyle w:val="CommentTok"/>
        </w:rPr>
        <w:t xml:space="preserve"># ----------------------------------------------------------------------</w:t>
      </w:r>
      <w:r>
        <w:br/>
      </w:r>
      <w:r>
        <w:rPr>
          <w:rStyle w:val="CommentTok"/>
        </w:rPr>
        <w:t xml:space="preserve"># Semantics II - accountability-preserving verifiability</w:t>
      </w:r>
      <w:r>
        <w:br/>
      </w:r>
      <w:r>
        <w:rPr>
          <w:rStyle w:val="CommentTok"/>
        </w:rPr>
        <w:t xml:space="preserve"># Trajectory from the constructive proof of Theorem 2.</w:t>
      </w:r>
      <w:r>
        <w:br/>
      </w:r>
      <w:r>
        <w:rPr>
          <w:rStyle w:val="CommentTok"/>
        </w:rPr>
        <w:t xml:space="preserve"># ----------------------------------------------------------------------</w:t>
      </w:r>
      <w:r>
        <w:br/>
      </w:r>
      <w:r>
        <w:br/>
      </w:r>
      <w:r>
        <w:rPr>
          <w:rStyle w:val="KeywordTok"/>
        </w:rPr>
        <w:t xml:space="preserve">def</w:t>
      </w:r>
      <w:r>
        <w:rPr>
          <w:rStyle w:val="NormalTok"/>
        </w:rPr>
        <w:t xml:space="preserve"> apply_invalidation(rec):</w:t>
      </w:r>
      <w:r>
        <w:br/>
      </w:r>
      <w:r>
        <w:rPr>
          <w:rStyle w:val="NormalTok"/>
        </w:rPr>
        <w:t xml:space="preserve">    t_I </w:t>
      </w:r>
      <w:r>
        <w:rPr>
          <w:rStyle w:val="OperatorTok"/>
        </w:rPr>
        <w:t xml:space="preserve">=</w:t>
      </w:r>
      <w:r>
        <w:rPr>
          <w:rStyle w:val="NormalTok"/>
        </w:rPr>
        <w:t xml:space="preserve"> rec.t_invalidation()</w:t>
      </w:r>
      <w:r>
        <w:br/>
      </w:r>
      <w:r>
        <w:rPr>
          <w:rStyle w:val="NormalTok"/>
        </w:rPr>
        <w:t xml:space="preserve">    </w:t>
      </w:r>
      <w:r>
        <w:rPr>
          <w:rStyle w:val="ControlFlowTok"/>
        </w:rPr>
        <w:t xml:space="preserve">if</w:t>
      </w:r>
      <w:r>
        <w:rPr>
          <w:rStyle w:val="NormalTok"/>
        </w:rPr>
        <w:t xml:space="preserve"> t_I </w:t>
      </w:r>
      <w:r>
        <w:rPr>
          <w:rStyle w:val="OperatorTok"/>
        </w:rPr>
        <w:t xml:space="preserve">&lt;</w:t>
      </w:r>
      <w:r>
        <w:rPr>
          <w:rStyle w:val="NormalTok"/>
        </w:rPr>
        <w:t xml:space="preserve"> INF:</w:t>
      </w:r>
      <w:r>
        <w:br/>
      </w:r>
      <w:r>
        <w:rPr>
          <w:rStyle w:val="NormalTok"/>
        </w:rPr>
        <w:t xml:space="preserve">        ground </w:t>
      </w:r>
      <w:r>
        <w:rPr>
          <w:rStyle w:val="OperatorTok"/>
        </w:rPr>
        <w:t xml:space="preserve">=</w:t>
      </w:r>
      <w:r>
        <w:rPr>
          <w:rStyle w:val="NormalTok"/>
        </w:rPr>
        <w:t xml:space="preserve"> (</w:t>
      </w:r>
      <w:r>
        <w:rPr>
          <w:rStyle w:val="StringTok"/>
        </w:rPr>
        <w:t xml:space="preserve">"GDPR Art 17(1)"</w:t>
      </w:r>
      <w:r>
        <w:rPr>
          <w:rStyle w:val="NormalTok"/>
        </w:rPr>
        <w:t xml:space="preserve"> </w:t>
      </w:r>
      <w:r>
        <w:rPr>
          <w:rStyle w:val="ControlFlowTok"/>
        </w:rPr>
        <w:t xml:space="preserve">if</w:t>
      </w:r>
      <w:r>
        <w:rPr>
          <w:rStyle w:val="NormalTok"/>
        </w:rPr>
        <w:t xml:space="preserve"> rec.erasure_deadline() </w:t>
      </w:r>
      <w:r>
        <w:rPr>
          <w:rStyle w:val="OperatorTok"/>
        </w:rPr>
        <w:t xml:space="preserve">&lt;=</w:t>
      </w:r>
      <w:r>
        <w:rPr>
          <w:rStyle w:val="NormalTok"/>
        </w:rPr>
        <w:t xml:space="preserve"> rec.ceiling_deadline()</w:t>
      </w:r>
      <w:r>
        <w:br/>
      </w:r>
      <w:r>
        <w:rPr>
          <w:rStyle w:val="NormalTok"/>
        </w:rPr>
        <w:t xml:space="preserve">                  </w:t>
      </w:r>
      <w:r>
        <w:rPr>
          <w:rStyle w:val="ControlFlowTok"/>
        </w:rPr>
        <w:t xml:space="preserve">else</w:t>
      </w:r>
      <w:r>
        <w:rPr>
          <w:rStyle w:val="NormalTok"/>
        </w:rPr>
        <w:t xml:space="preserve"> </w:t>
      </w:r>
      <w:r>
        <w:rPr>
          <w:rStyle w:val="StringTok"/>
        </w:rPr>
        <w:t xml:space="preserve">"EHDS Art 68(12)"</w:t>
      </w:r>
      <w:r>
        <w:rPr>
          <w:rStyle w:val="NormalTok"/>
        </w:rPr>
        <w:t xml:space="preserve">)</w:t>
      </w:r>
      <w:r>
        <w:br/>
      </w:r>
      <w:r>
        <w:rPr>
          <w:rStyle w:val="NormalTok"/>
        </w:rPr>
        <w:t xml:space="preserve">        rec.k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irreversible key destruction</w:t>
      </w:r>
      <w:r>
        <w:br/>
      </w:r>
      <w:r>
        <w:rPr>
          <w:rStyle w:val="NormalTok"/>
        </w:rPr>
        <w:t xml:space="preserve">        rec.salt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salt destroyed with the key (Ch4 §4.8)</w:t>
      </w:r>
      <w:r>
        <w:br/>
      </w:r>
      <w:r>
        <w:rPr>
          <w:rStyle w:val="NormalTok"/>
        </w:rPr>
        <w:t xml:space="preserve">        rec.iota </w:t>
      </w:r>
      <w:r>
        <w:rPr>
          <w:rStyle w:val="OperatorTok"/>
        </w:rPr>
        <w:t xml:space="preserve">=</w:t>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t_I, </w:t>
      </w:r>
      <w:r>
        <w:rPr>
          <w:rStyle w:val="StringTok"/>
        </w:rPr>
        <w:t xml:space="preserve">"ground"</w:t>
      </w:r>
      <w:r>
        <w:rPr>
          <w:rStyle w:val="NormalTok"/>
        </w:rPr>
        <w:t xml:space="preserve">: ground,</w:t>
      </w:r>
      <w:r>
        <w:br/>
      </w:r>
      <w:r>
        <w:rPr>
          <w:rStyle w:val="NormalTok"/>
        </w:rPr>
        <w:t xml:space="preserve">                    </w:t>
      </w:r>
      <w:r>
        <w:rPr>
          <w:rStyle w:val="StringTok"/>
        </w:rPr>
        <w:t xml:space="preserve">"authorised_by"</w:t>
      </w:r>
      <w:r>
        <w:rPr>
          <w:rStyle w:val="NormalTok"/>
        </w:rPr>
        <w:t xml:space="preserve">: </w:t>
      </w:r>
      <w:r>
        <w:rPr>
          <w:rStyle w:val="StringTok"/>
        </w:rPr>
        <w:t xml:space="preserve">"DPO"</w:t>
      </w:r>
      <w:r>
        <w:rPr>
          <w:rStyle w:val="NormalTok"/>
        </w:rPr>
        <w:t xml:space="preserve">, </w:t>
      </w:r>
      <w:r>
        <w:rPr>
          <w:rStyle w:val="StringTok"/>
        </w:rPr>
        <w:t xml:space="preserve">"key_id_commitment"</w:t>
      </w:r>
      <w:r>
        <w:rPr>
          <w:rStyle w:val="NormalTok"/>
        </w:rPr>
        <w:t xml:space="preserve">:</w:t>
      </w:r>
      <w:r>
        <w:br/>
      </w:r>
      <w:r>
        <w:rPr>
          <w:rStyle w:val="NormalTok"/>
        </w:rPr>
        <w:t xml:space="preserve">                        hashlib.sha256(</w:t>
      </w:r>
      <w:r>
        <w:rPr>
          <w:rStyle w:val="SpecialStringTok"/>
        </w:rPr>
        <w:t xml:space="preserve">f"KEY-</w:t>
      </w:r>
      <w:r>
        <w:rPr>
          <w:rStyle w:val="SpecialCharTok"/>
        </w:rPr>
        <w:t xml:space="preserve">{</w:t>
      </w:r>
      <w:r>
        <w:rPr>
          <w:rStyle w:val="NormalTok"/>
        </w:rPr>
        <w:t xml:space="preserve">rec</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rec</w:t>
      </w:r>
      <w:r>
        <w:br/>
      </w:r>
      <w:r>
        <w:br/>
      </w:r>
      <w:r>
        <w:br/>
      </w:r>
      <w:r>
        <w:rPr>
          <w:rStyle w:val="KeywordTok"/>
        </w:rPr>
        <w:t xml:space="preserve">def</w:t>
      </w:r>
      <w:r>
        <w:rPr>
          <w:rStyle w:val="NormalTok"/>
        </w:rPr>
        <w:t xml:space="preserve"> alpha(rec, 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rec.t_invalidation() </w:t>
      </w:r>
      <w:r>
        <w:rPr>
          <w:rStyle w:val="ControlFlowTok"/>
        </w:rPr>
        <w:t xml:space="preserve">else</w:t>
      </w:r>
      <w:r>
        <w:rPr>
          <w:rStyle w:val="NormalTok"/>
        </w:rPr>
        <w:t xml:space="preserve"> </w:t>
      </w:r>
      <w:r>
        <w:rPr>
          <w:rStyle w:val="DecValTok"/>
        </w:rPr>
        <w:t xml:space="preserve">0</w:t>
      </w:r>
      <w:r>
        <w:br/>
      </w:r>
      <w:r>
        <w:br/>
      </w:r>
      <w:r>
        <w:br/>
      </w:r>
      <w:r>
        <w:rPr>
          <w:rStyle w:val="KeywordTok"/>
        </w:rPr>
        <w:t xml:space="preserve">def</w:t>
      </w:r>
      <w:r>
        <w:rPr>
          <w:rStyle w:val="NormalTok"/>
        </w:rPr>
        <w:t xml:space="preserve"> V_II(rec, t):</w:t>
      </w:r>
      <w:r>
        <w:br/>
      </w:r>
      <w:r>
        <w:rPr>
          <w:rStyle w:val="NormalTok"/>
        </w:rPr>
        <w:t xml:space="preserve">    </w:t>
      </w:r>
      <w:r>
        <w:rPr>
          <w:rStyle w:val="CommentTok"/>
        </w:rPr>
        <w:t xml:space="preserve">"""(i) metadata intact, (ii) commitment present,</w:t>
      </w:r>
      <w:r>
        <w:br/>
      </w:r>
      <w:r>
        <w:rPr>
          <w:rStyle w:val="CommentTok"/>
        </w:rPr>
        <w:t xml:space="preserve">       (iii) any loss of accessibility is itself logged."""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rec.m:</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"metadata missing"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rec.c:</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"commitment missing"</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rec.t_a:</w:t>
      </w:r>
      <w:r>
        <w:br/>
      </w:r>
      <w:r>
        <w:rPr>
          <w:rStyle w:val="NormalTok"/>
        </w:rPr>
        <w:t xml:space="preserve">        </w:t>
      </w:r>
      <w:r>
        <w:rPr>
          <w:rStyle w:val="ControlFlowTok"/>
        </w:rPr>
        <w:t xml:space="preserve">if</w:t>
      </w:r>
      <w:r>
        <w:rPr>
          <w:rStyle w:val="NormalTok"/>
        </w:rPr>
        <w:t xml:space="preserve"> rec.iota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"payload inaccessible but no invalidation entry"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br/>
      </w:r>
      <w:r>
        <w:br/>
      </w:r>
      <w:r>
        <w:br/>
      </w:r>
      <w:r>
        <w:rPr>
          <w:rStyle w:val="KeywordTok"/>
        </w:rPr>
        <w:t xml:space="preserve">def</w:t>
      </w:r>
      <w:r>
        <w:rPr>
          <w:rStyle w:val="NormalTok"/>
        </w:rPr>
        <w:t xml:space="preserve"> check_semantics_II(rec):</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                                   </w:t>
      </w:r>
      <w:r>
        <w:rPr>
          <w:rStyle w:val="CommentTok"/>
        </w:rPr>
        <w:t xml:space="preserve"># C1</w:t>
      </w:r>
      <w:r>
        <w:br/>
      </w:r>
      <w:r>
        <w:rPr>
          <w:rStyle w:val="NormalTok"/>
        </w:rPr>
        <w:t xml:space="preserve">        ok, why </w:t>
      </w:r>
      <w:r>
        <w:rPr>
          <w:rStyle w:val="OperatorTok"/>
        </w:rPr>
        <w:t xml:space="preserve">=</w:t>
      </w:r>
      <w:r>
        <w:rPr>
          <w:rStyle w:val="NormalTok"/>
        </w:rPr>
        <w:t xml:space="preserve"> V_II(rec, 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w:t>
      </w:r>
      <w:r>
        <w:br/>
      </w:r>
      <w:r>
        <w:rPr>
          <w:rStyle w:val="NormalTok"/>
        </w:rPr>
        <w:t xml:space="preserve">                               </w:t>
      </w:r>
      <w:r>
        <w:rPr>
          <w:rStyle w:val="StringTok"/>
        </w:rPr>
        <w:t xml:space="preserve">"constraint"</w:t>
      </w:r>
      <w:r>
        <w:rPr>
          <w:rStyle w:val="NormalTok"/>
        </w:rPr>
        <w:t xml:space="preserve">: </w:t>
      </w:r>
      <w:r>
        <w:rPr>
          <w:rStyle w:val="StringTok"/>
        </w:rPr>
        <w:t xml:space="preserve">"C1"</w:t>
      </w:r>
      <w:r>
        <w:rPr>
          <w:rStyle w:val="NormalTok"/>
        </w:rPr>
        <w:t xml:space="preserve">, </w:t>
      </w:r>
      <w:r>
        <w:rPr>
          <w:rStyle w:val="StringTok"/>
        </w:rPr>
        <w:t xml:space="preserve">"detail"</w:t>
      </w:r>
      <w:r>
        <w:rPr>
          <w:rStyle w:val="NormalTok"/>
        </w:rPr>
        <w:t xml:space="preserve">: why})</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rec.erasure_deadline()                               </w:t>
      </w:r>
      <w:r>
        <w:rPr>
          <w:rStyle w:val="CommentTok"/>
        </w:rPr>
        <w:t xml:space="preserve"># C2</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"C2"</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erasure deadline"</w:t>
      </w:r>
      <w:r>
        <w:rPr>
          <w:rStyle w:val="NormalTok"/>
        </w:rPr>
        <w:t xml:space="preserve">})</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rec.ceiling_deadline()                               </w:t>
      </w:r>
      <w:r>
        <w:rPr>
          <w:rStyle w:val="CommentTok"/>
        </w:rPr>
        <w:t xml:space="preserve"># C3</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deletion ceiling"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violations</w:t>
      </w:r>
      <w:r>
        <w:br/>
      </w:r>
      <w:r>
        <w:br/>
      </w:r>
      <w:r>
        <w:br/>
      </w:r>
      <w:r>
        <w:rPr>
          <w:rStyle w:val="CommentTok"/>
        </w:rPr>
        <w:t xml:space="preserve"># ----------------------------------------------------------------------</w:t>
      </w:r>
      <w:r>
        <w:br/>
      </w:r>
      <w:r>
        <w:rPr>
          <w:rStyle w:val="CommentTok"/>
        </w:rPr>
        <w:t xml:space="preserve"># Independent cross-check: exhaustive search over alpha assignments.</w:t>
      </w:r>
      <w:r>
        <w:br/>
      </w:r>
      <w:r>
        <w:rPr>
          <w:rStyle w:val="CommentTok"/>
        </w:rPr>
        <w:t xml:space="preserve"># Confirms Semantics I infeasibility is a property of the constraints and</w:t>
      </w:r>
      <w:r>
        <w:br/>
      </w:r>
      <w:r>
        <w:rPr>
          <w:rStyle w:val="CommentTok"/>
        </w:rPr>
        <w:t xml:space="preserve"># not an artefact of how check_semantics_I is written.</w:t>
      </w:r>
      <w:r>
        <w:br/>
      </w:r>
      <w:r>
        <w:rPr>
          <w:rStyle w:val="CommentTok"/>
        </w:rPr>
        <w:t xml:space="preserve"># ----------------------------------------------------------------------</w:t>
      </w:r>
      <w:r>
        <w:br/>
      </w:r>
      <w:r>
        <w:br/>
      </w:r>
      <w:r>
        <w:rPr>
          <w:rStyle w:val="KeywordTok"/>
        </w:rPr>
        <w:t xml:space="preserve">def</w:t>
      </w:r>
      <w:r>
        <w:rPr>
          <w:rStyle w:val="NormalTok"/>
        </w:rPr>
        <w:t xml:space="preserve"> brute_force_semantics_I(t_a, floor, t_r, t_pi, sigma, horizon):</w:t>
      </w:r>
      <w:r>
        <w:br/>
      </w:r>
      <w:r>
        <w:rPr>
          <w:rStyle w:val="NormalTok"/>
        </w:rPr>
        <w:t xml:space="preserve">    </w:t>
      </w:r>
      <w:r>
        <w:rPr>
          <w:rStyle w:val="CommentTok"/>
        </w:rPr>
        <w:t xml:space="preserve">"""Enumerate every alpha in {0,1}^horizon; return True if any satisfies</w:t>
      </w:r>
      <w:r>
        <w:br/>
      </w:r>
      <w:r>
        <w:rPr>
          <w:rStyle w:val="CommentTok"/>
        </w:rPr>
        <w:t xml:space="preserve">    C1 (under V_I = alpha), C2 and C3 simultaneously."""</w:t>
      </w:r>
      <w:r>
        <w:br/>
      </w:r>
      <w:r>
        <w:rPr>
          <w:rStyle w:val="NormalTok"/>
        </w:rPr>
        <w:t xml:space="preserve">    e_dl </w:t>
      </w:r>
      <w:r>
        <w:rPr>
          <w:rStyle w:val="OperatorTok"/>
        </w:rPr>
        <w:t xml:space="preserve">=</w:t>
      </w:r>
      <w:r>
        <w:rPr>
          <w:rStyle w:val="NormalTok"/>
        </w:rPr>
        <w:t xml:space="preserve"> t_r </w:t>
      </w:r>
      <w:r>
        <w:rPr>
          <w:rStyle w:val="OperatorTok"/>
        </w:rPr>
        <w:t xml:space="preserve">+</w:t>
      </w:r>
      <w:r>
        <w:rPr>
          <w:rStyle w:val="NormalTok"/>
        </w:rPr>
        <w:t xml:space="preserve"> DELTA </w:t>
      </w:r>
      <w:r>
        <w:rPr>
          <w:rStyle w:val="ControlFlowTok"/>
        </w:rPr>
        <w:t xml:space="preserve">if</w:t>
      </w:r>
      <w:r>
        <w:rPr>
          <w:rStyle w:val="NormalTok"/>
        </w:rPr>
        <w:t xml:space="preserve"> 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c_dl </w:t>
      </w:r>
      <w:r>
        <w:rPr>
          <w:rStyle w:val="OperatorTok"/>
        </w:rPr>
        <w:t xml:space="preserve">=</w:t>
      </w:r>
      <w:r>
        <w:rPr>
          <w:rStyle w:val="NormalTok"/>
        </w:rPr>
        <w:t xml:space="preserve"> t_pi </w:t>
      </w:r>
      <w:r>
        <w:rPr>
          <w:rStyle w:val="OperatorTok"/>
        </w:rPr>
        <w:t xml:space="preserve">+</w:t>
      </w:r>
      <w:r>
        <w:rPr>
          <w:rStyle w:val="NormalTok"/>
        </w:rPr>
        <w:t xml:space="preserve"> CEILING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and</w:t>
      </w:r>
      <w:r>
        <w:rPr>
          <w:rStyle w:val="NormalTok"/>
        </w:rPr>
        <w:t xml:space="preserve"> t_pi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w:t>
      </w:r>
      <w:r>
        <w:rPr>
          <w:rStyle w:val="ControlFlowTok"/>
        </w:rPr>
        <w:t xml:space="preserve">for</w:t>
      </w:r>
      <w:r>
        <w:rPr>
          <w:rStyle w:val="NormalTok"/>
        </w:rPr>
        <w:t xml:space="preserve"> assign </w:t>
      </w:r>
      <w:r>
        <w:rPr>
          <w:rStyle w:val="KeywordTok"/>
        </w:rPr>
        <w:t xml:space="preserve">in</w:t>
      </w:r>
      <w:r>
        <w:rPr>
          <w:rStyle w:val="NormalTok"/>
        </w:rPr>
        <w:t xml:space="preserve"> product([</w:t>
      </w:r>
      <w:r>
        <w:rPr>
          <w:rStyle w:val="DecValTok"/>
        </w:rPr>
        <w:t xml:space="preserve">0</w:t>
      </w:r>
      <w:r>
        <w:rPr>
          <w:rStyle w:val="NormalTok"/>
        </w:rPr>
        <w:t xml:space="preserve">, </w:t>
      </w:r>
      <w:r>
        <w:rPr>
          <w:rStyle w:val="DecValTok"/>
        </w:rPr>
        <w:t xml:space="preserve">1</w:t>
      </w:r>
      <w:r>
        <w:rPr>
          <w:rStyle w:val="NormalTok"/>
        </w:rPr>
        <w:t xml:space="preserve">], repeat</w:t>
      </w:r>
      <w:r>
        <w:rPr>
          <w:rStyle w:val="OperatorTok"/>
        </w:rPr>
        <w:t xml:space="preserve">=</w:t>
      </w:r>
      <w:r>
        <w:rPr>
          <w:rStyle w:val="NormalTok"/>
        </w:rPr>
        <w:t xml:space="preserve">horizon):</w:t>
      </w:r>
      <w:r>
        <w:br/>
      </w:r>
      <w:r>
        <w:rPr>
          <w:rStyle w:val="NormalTok"/>
        </w:rPr>
        <w:t xml:space="preserve">        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w:t>
      </w:r>
      <w:r>
        <w:rPr>
          <w:rStyle w:val="ControlFlowTok"/>
        </w:rPr>
        <w:t xml:space="preserve">if</w:t>
      </w:r>
      <w:r>
        <w:rPr>
          <w:rStyle w:val="NormalTok"/>
        </w:rPr>
        <w:t xml:space="preserve"> t_a </w:t>
      </w:r>
      <w:r>
        <w:rPr>
          <w:rStyle w:val="OperatorTok"/>
        </w:rPr>
        <w:t xml:space="preserve">&lt;=</w:t>
      </w:r>
      <w:r>
        <w:rPr>
          <w:rStyle w:val="NormalTok"/>
        </w:rPr>
        <w:t xml:space="preserve"> t </w:t>
      </w:r>
      <w:r>
        <w:rPr>
          <w:rStyle w:val="OperatorTok"/>
        </w:rPr>
        <w:t xml:space="preserve">&lt;=</w:t>
      </w:r>
      <w:r>
        <w:rPr>
          <w:rStyle w:val="NormalTok"/>
        </w:rPr>
        <w:t xml:space="preserve"> t_a </w:t>
      </w:r>
      <w:r>
        <w:rPr>
          <w:rStyle w:val="OperatorTok"/>
        </w:rPr>
        <w:t xml:space="preserve">+</w:t>
      </w:r>
      <w:r>
        <w:rPr>
          <w:rStyle w:val="NormalTok"/>
        </w:rPr>
        <w:t xml:space="preserve"> floor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C1 under Semantics I</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e_dl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C2</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c_dl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C3</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Record generation</w:t>
      </w:r>
      <w:r>
        <w:br/>
      </w:r>
      <w:r>
        <w:rPr>
          <w:rStyle w:val="CommentTok"/>
        </w:rPr>
        <w:t xml:space="preserve"># ----------------------------------------------------------------------</w:t>
      </w:r>
      <w:r>
        <w:br/>
      </w:r>
      <w:r>
        <w:br/>
      </w:r>
      <w:r>
        <w:rPr>
          <w:rStyle w:val="KeywordTok"/>
        </w:rPr>
        <w:t xml:space="preserve">def</w:t>
      </w:r>
      <w:r>
        <w:rPr>
          <w:rStyle w:val="NormalTok"/>
        </w:rPr>
        <w:t xml:space="preserve"> generate(n_primary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records </w:t>
      </w:r>
      <w:r>
        <w:rPr>
          <w:rStyle w:val="OperatorTok"/>
        </w:rPr>
        <w:t xml:space="preserve">=</w:t>
      </w:r>
      <w:r>
        <w:rPr>
          <w:rStyle w:val="NormalTok"/>
        </w:rPr>
        <w:t xml:space="preserve"> []</w:t>
      </w:r>
      <w:r>
        <w:br/>
      </w:r>
      <w:r>
        <w:rPr>
          <w:rStyle w:val="NormalTok"/>
        </w:rPr>
        <w:t xml:space="preserve">    rid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Class 1: cross-border audit records, floor 120 months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(n_primary):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f"&lt;FHIR:Bundle patient-summary 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w:t>
      </w:r>
      <w:r>
        <w:br/>
      </w:r>
      <w:r>
        <w:rPr>
          <w:rStyle w:val="NormalTok"/>
        </w:rPr>
        <w:t xml:space="preserve">        records.append(Record(rid, t_a, FLOOR_XBORDER, </w:t>
      </w:r>
      <w:r>
        <w:rPr>
          <w:rStyle w:val="StringTok"/>
        </w:rPr>
        <w:t xml:space="preserve">"primary"</w:t>
      </w:r>
      <w:r>
        <w:rPr>
          <w:rStyle w:val="NormalTok"/>
        </w:rPr>
        <w:t xml:space="preserve">, payload, t_r</w:t>
      </w:r>
      <w:r>
        <w:rPr>
          <w:rStyle w:val="OperatorTok"/>
        </w:rPr>
        <w:t xml:space="preserve">=</w:t>
      </w:r>
      <w:r>
        <w:rPr>
          <w:rStyle w:val="NormalTok"/>
        </w:rPr>
        <w:t xml:space="preserve">t_r))</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Class 2: SPE access-log records, floor 12 months, ceiling applies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(n_secondary):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permit_len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permit_len</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f"&lt;FHIR:AuditEvent spe-access 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w:t>
      </w:r>
      <w:r>
        <w:br/>
      </w:r>
      <w:r>
        <w:rPr>
          <w:rStyle w:val="NormalTok"/>
        </w:rPr>
        <w:t xml:space="preserve">        records.append(Record(rid, t_a, FLOOR_SPE, </w:t>
      </w:r>
      <w:r>
        <w:rPr>
          <w:rStyle w:val="StringTok"/>
        </w:rPr>
        <w:t xml:space="preserve">"secondary"</w:t>
      </w:r>
      <w:r>
        <w:rPr>
          <w:rStyle w:val="NormalTok"/>
        </w:rPr>
        <w:t xml:space="preserve">, payload,</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records</w:t>
      </w:r>
      <w:r>
        <w:br/>
      </w:r>
      <w:r>
        <w:br/>
      </w:r>
      <w:r>
        <w:br/>
      </w:r>
      <w:r>
        <w:rPr>
          <w:rStyle w:val="CommentTok"/>
        </w:rPr>
        <w:t xml:space="preserve"># ----------------------------------------------------------------------</w:t>
      </w:r>
      <w:r>
        <w:br/>
      </w:r>
      <w:r>
        <w:rPr>
          <w:rStyle w:val="CommentTok"/>
        </w:rPr>
        <w:t xml:space="preserve"># Main</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"TRF FEASIBILITY CHECKER"</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f"seed=</w:t>
      </w:r>
      <w:r>
        <w:rPr>
          <w:rStyle w:val="SpecialCharTok"/>
        </w:rPr>
        <w:t xml:space="preserve">{</w:t>
      </w:r>
      <w:r>
        <w:rPr>
          <w:rStyle w:val="NormalTok"/>
        </w:rPr>
        <w:t xml:space="preserve">SEED</w:t>
      </w:r>
      <w:r>
        <w:rPr>
          <w:rStyle w:val="SpecialCharTok"/>
        </w:rPr>
        <w:t xml:space="preserve">}</w:t>
      </w:r>
      <w:r>
        <w:rPr>
          <w:rStyle w:val="SpecialStringTok"/>
        </w:rPr>
        <w:t xml:space="preserve">  delta=</w:t>
      </w:r>
      <w:r>
        <w:rPr>
          <w:rStyle w:val="SpecialCharTok"/>
        </w:rPr>
        <w:t xml:space="preserve">{</w:t>
      </w:r>
      <w:r>
        <w:rPr>
          <w:rStyle w:val="NormalTok"/>
        </w:rPr>
        <w:t xml:space="preserve">DELTA</w:t>
      </w:r>
      <w:r>
        <w:rPr>
          <w:rStyle w:val="SpecialCharTok"/>
        </w:rPr>
        <w:t xml:space="preserve">}</w:t>
      </w:r>
      <w:r>
        <w:rPr>
          <w:rStyle w:val="SpecialStringTok"/>
        </w:rPr>
        <w:t xml:space="preserve">  ceiling=</w:t>
      </w:r>
      <w:r>
        <w:rPr>
          <w:rStyle w:val="SpecialCharTok"/>
        </w:rPr>
        <w:t xml:space="preserve">{</w:t>
      </w:r>
      <w:r>
        <w:rPr>
          <w:rStyle w:val="NormalTok"/>
        </w:rPr>
        <w:t xml:space="preserve">CEILING</w:t>
      </w:r>
      <w:r>
        <w:rPr>
          <w:rStyle w:val="SpecialCharTok"/>
        </w:rPr>
        <w:t xml:space="preserve">}</w:t>
      </w:r>
      <w:r>
        <w:rPr>
          <w:rStyle w:val="SpecialStringTok"/>
        </w:rPr>
        <w:t xml:space="preserve">  "</w:t>
      </w:r>
      <w:r>
        <w:br/>
      </w:r>
      <w:r>
        <w:rPr>
          <w:rStyle w:val="NormalTok"/>
        </w:rPr>
        <w:t xml:space="preserve">          </w:t>
      </w:r>
      <w:r>
        <w:rPr>
          <w:rStyle w:val="SpecialStringTok"/>
        </w:rPr>
        <w:t xml:space="preserve">f"floors: cross-border=</w:t>
      </w:r>
      <w:r>
        <w:rPr>
          <w:rStyle w:val="SpecialCharTok"/>
        </w:rPr>
        <w:t xml:space="preserve">{</w:t>
      </w:r>
      <w:r>
        <w:rPr>
          <w:rStyle w:val="NormalTok"/>
        </w:rPr>
        <w:t xml:space="preserve">FLOOR_XBORDER</w:t>
      </w:r>
      <w:r>
        <w:rPr>
          <w:rStyle w:val="SpecialCharTok"/>
        </w:rPr>
        <w:t xml:space="preserve">}</w:t>
      </w:r>
      <w:r>
        <w:rPr>
          <w:rStyle w:val="SpecialStringTok"/>
        </w:rPr>
        <w:t xml:space="preserve">, SPE=</w:t>
      </w:r>
      <w:r>
        <w:rPr>
          <w:rStyle w:val="SpecialCharTok"/>
        </w:rPr>
        <w:t xml:space="preserve">{</w:t>
      </w:r>
      <w:r>
        <w:rPr>
          <w:rStyle w:val="NormalTok"/>
        </w:rPr>
        <w:t xml:space="preserve">FLOOR_SPE</w:t>
      </w:r>
      <w:r>
        <w:rPr>
          <w:rStyle w:val="SpecialCharTok"/>
        </w:rPr>
        <w:t xml:space="preserve">}</w:t>
      </w:r>
      <w:r>
        <w:rPr>
          <w:rStyle w:val="SpecialStringTok"/>
        </w:rPr>
        <w:t xml:space="preserve">"</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rPr>
          <w:rStyle w:val="NormalTok"/>
        </w:rPr>
        <w:t xml:space="preserve">    records </w:t>
      </w:r>
      <w:r>
        <w:rPr>
          <w:rStyle w:val="OperatorTok"/>
        </w:rPr>
        <w:t xml:space="preserve">=</w:t>
      </w:r>
      <w:r>
        <w:rPr>
          <w:rStyle w:val="NormalTok"/>
        </w:rPr>
        <w:t xml:space="preserve"> generate()</w:t>
      </w:r>
      <w:r>
        <w:br/>
      </w:r>
      <w:r>
        <w:rPr>
          <w:rStyle w:val="NormalTok"/>
        </w:rPr>
        <w:t xml:space="preserve">    prim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"primary"</w:t>
      </w:r>
      <w:r>
        <w:rPr>
          <w:rStyle w:val="NormalTok"/>
        </w:rPr>
        <w:t xml:space="preserve">]</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Generated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 cross-border, </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 SPE access-log)"</w:t>
      </w:r>
      <w:r>
        <w:rPr>
          <w:rStyle w:val="NormalTok"/>
        </w:rPr>
        <w:t xml:space="preserve">)</w:t>
      </w:r>
      <w:r>
        <w:br/>
      </w:r>
      <w:r>
        <w:br/>
      </w:r>
      <w:r>
        <w:rPr>
          <w:rStyle w:val="NormalTok"/>
        </w:rPr>
        <w:t xml:space="preserve">    </w:t>
      </w:r>
      <w:r>
        <w:rPr>
          <w:rStyle w:val="CommentTok"/>
        </w:rPr>
        <w:t xml:space="preserve"># ---------------- Semantics 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  (plaintext verifiability:  V = alpha)   -&gt; Theorem 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n_bad_p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 </w:t>
      </w:r>
      <w:r>
        <w:rPr>
          <w:rStyle w:val="ControlFlowTok"/>
        </w:rPr>
        <w:t xml:space="preserve">if</w:t>
      </w:r>
      <w:r>
        <w:rPr>
          <w:rStyle w:val="NormalTok"/>
        </w:rPr>
        <w:t xml:space="preserve"> v1[r.rid])</w:t>
      </w:r>
      <w:r>
        <w:br/>
      </w:r>
      <w:r>
        <w:rPr>
          <w:rStyle w:val="NormalTok"/>
        </w:rPr>
        <w:t xml:space="preserve">    n_bad_s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v1[r.rid])</w:t>
      </w:r>
      <w:r>
        <w:br/>
      </w:r>
      <w:r>
        <w:rPr>
          <w:rStyle w:val="NormalTok"/>
        </w:rPr>
        <w:t xml:space="preserve">    total_v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cross-border (F=120)     : </w:t>
      </w:r>
      <w:r>
        <w:rPr>
          <w:rStyle w:val="SpecialCharTok"/>
        </w:rPr>
        <w:t xml:space="preserve">{</w:t>
      </w:r>
      <w:r>
        <w:rPr>
          <w:rStyle w:val="NormalTok"/>
        </w:rPr>
        <w:t xml:space="preserve">n_bad_p</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SPE access-log (F=12)    : </w:t>
      </w:r>
      <w:r>
        <w:rPr>
          <w:rStyle w:val="SpecialCharTok"/>
        </w:rPr>
        <w:t xml:space="preserve">{</w:t>
      </w:r>
      <w:r>
        <w:rPr>
          <w:rStyle w:val="NormalTok"/>
        </w:rPr>
        <w:t xml:space="preserve">n_bad_s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SPE records violating WITHOUT any erasure request -&gt; Corollary 1.2</w:t>
      </w:r>
      <w:r>
        <w:br/>
      </w:r>
      <w:r>
        <w:rPr>
          <w:rStyle w:val="NormalTok"/>
        </w:rPr>
        <w:t xml:space="preserve">    no_req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Corollary 1.2 witnesses (SPE, NO erasure request, still infeasible):"</w:t>
      </w:r>
      <w:r>
        <w:br/>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(no_req)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no_req[:</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t_a=</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permit expires t_pi=</w:t>
      </w:r>
      <w:r>
        <w:rPr>
          <w:rStyle w:val="SpecialCharTok"/>
        </w:rPr>
        <w:t xml:space="preserve">{</w:t>
      </w:r>
      <w:r>
        <w:rPr>
          <w:rStyle w:val="NormalTok"/>
        </w:rPr>
        <w:t xml:space="preserve">r</w:t>
      </w:r>
      <w:r>
        <w:rPr>
          <w:rStyle w:val="SpecialCharTok"/>
        </w:rPr>
        <w:t xml:space="preserve">.</w:t>
      </w:r>
      <w:r>
        <w:rPr>
          <w:rStyle w:val="NormalTok"/>
        </w:rPr>
        <w:t xml:space="preserve">t_pi</w:t>
      </w:r>
      <w:r>
        <w:rPr>
          <w:rStyle w:val="SpecialCharTok"/>
        </w:rPr>
        <w:t xml:space="preserve">}</w:t>
      </w:r>
      <w:r>
        <w:rPr>
          <w:rStyle w:val="SpecialStringTok"/>
        </w:rPr>
        <w:t xml:space="preserve"> "</w:t>
      </w:r>
      <w:r>
        <w:br/>
      </w:r>
      <w:r>
        <w:rPr>
          <w:rStyle w:val="NormalTok"/>
        </w:rPr>
        <w:t xml:space="preserve">              </w:t>
      </w:r>
      <w:r>
        <w:rPr>
          <w:rStyle w:val="SpecialStringTok"/>
        </w:rPr>
        <w:t xml:space="preserve">f"-&gt; C3 from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w:t>
      </w:r>
      <w:r>
        <w:br/>
      </w:r>
      <w:r>
        <w:rPr>
          <w:rStyle w:val="NormalTok"/>
        </w:rPr>
        <w:t xml:space="preserve">              </w:t>
      </w:r>
      <w:r>
        <w:rPr>
          <w:rStyle w:val="SpecialStringTok"/>
        </w:rPr>
        <w:t xml:space="preserve">f"C1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 collision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violation witnesses (cross-border):"</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w:t>
      </w:r>
      <w:r>
        <w:br/>
      </w:r>
      <w:r>
        <w:rPr>
          <w:rStyle w:val="NormalTok"/>
        </w:rPr>
        <w:t xml:space="preserve">        </w:t>
      </w:r>
      <w:r>
        <w:rPr>
          <w:rStyle w:val="ControlFlowTok"/>
        </w:rPr>
        <w:t xml:space="preserve">if</w:t>
      </w:r>
      <w:r>
        <w:rPr>
          <w:rStyle w:val="NormalTok"/>
        </w:rPr>
        <w:t xml:space="preserve"> v1[r.rid] </w:t>
      </w:r>
      <w:r>
        <w:rPr>
          <w:rStyle w:val="KeywordTok"/>
        </w:rPr>
        <w:t xml:space="preserve">and</w:t>
      </w:r>
      <w:r>
        <w:rPr>
          <w:rStyle w:val="NormalTok"/>
        </w:rPr>
        <w:t xml:space="preserve"> shown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'detail'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 Independent cross-check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"INDEPENDENT CROSS-CHECK: exhaustive search over alpha assignments"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StringTok"/>
        </w:rPr>
        <w:t xml:space="preserve">"SPE, no erasure request, permit 3mo"</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w:t>
      </w:r>
      <w:r>
        <w:rPr>
          <w:rStyle w:val="DecValTok"/>
        </w:rPr>
        <w:t xml:space="preserve">3</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"SPE, erasure at t=2"</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"cross-border scaled (F=12), erasure at t=4"</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4</w:t>
      </w:r>
      <w:r>
        <w:rPr>
          <w:rStyle w:val="NormalTok"/>
        </w:rPr>
        <w:t xml:space="preserve">, INF, </w:t>
      </w:r>
      <w:r>
        <w:rPr>
          <w:rStyle w:val="StringTok"/>
        </w:rPr>
        <w:t xml:space="preserve">"primary"</w:t>
      </w:r>
      <w:r>
        <w:rPr>
          <w:rStyle w:val="NormalTok"/>
        </w:rPr>
        <w:t xml:space="preserve">),</w:t>
      </w:r>
      <w:r>
        <w:br/>
      </w:r>
      <w:r>
        <w:rPr>
          <w:rStyle w:val="NormalTok"/>
        </w:rPr>
        <w:t xml:space="preserve">        (</w:t>
      </w:r>
      <w:r>
        <w:rPr>
          <w:rStyle w:val="StringTok"/>
        </w:rPr>
        <w:t xml:space="preserve">"control: no request, no expiry"</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INF, </w:t>
      </w:r>
      <w:r>
        <w:rPr>
          <w:rStyle w:val="StringTok"/>
        </w:rPr>
        <w:t xml:space="preserve">"primary"</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label, t_a, floor, t_r, t_pi, sigma </w:t>
      </w:r>
      <w:r>
        <w:rPr>
          <w:rStyle w:val="KeywordTok"/>
        </w:rPr>
        <w:t xml:space="preserve">in</w:t>
      </w:r>
      <w:r>
        <w:rPr>
          <w:rStyle w:val="NormalTok"/>
        </w:rPr>
        <w:t xml:space="preserve"> cases:</w:t>
      </w:r>
      <w:r>
        <w:br/>
      </w:r>
      <w:r>
        <w:rPr>
          <w:rStyle w:val="NormalTok"/>
        </w:rPr>
        <w:t xml:space="preserve">        feasible </w:t>
      </w:r>
      <w:r>
        <w:rPr>
          <w:rStyle w:val="OperatorTok"/>
        </w:rPr>
        <w:t xml:space="preserve">=</w:t>
      </w:r>
      <w:r>
        <w:rPr>
          <w:rStyle w:val="NormalTok"/>
        </w:rPr>
        <w:t xml:space="preserve"> brute_force_semantics_I(t_a, floor, t_r, t_pi, sigma, horizon</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:&lt;46}</w:t>
      </w:r>
      <w:r>
        <w:rPr>
          <w:rStyle w:val="SpecialStringTok"/>
        </w:rPr>
        <w:t xml:space="preserve"> feasible=</w:t>
      </w:r>
      <w:r>
        <w:rPr>
          <w:rStyle w:val="SpecialCharTok"/>
        </w:rPr>
        <w:t xml:space="preserve">{</w:t>
      </w:r>
      <w:r>
        <w:rPr>
          <w:rStyle w:val="NormalTok"/>
        </w:rPr>
        <w:t xml:space="preserve">feasible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Semantics II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II (accountability preservation)          -&gt; Theorem 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total_v2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NormalTok"/>
        </w:rPr>
        <w:t xml:space="preserve">n_inv</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GDPR Art 17(1)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'Art 17'</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EHDS Art 68(12)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'68(12)'</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n_bad2</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total_v2</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auditor view on a previously-violating record</w:t>
      </w:r>
      <w:r>
        <w:br/>
      </w:r>
      <w:r>
        <w:rPr>
          <w:rStyle w:val="NormalTok"/>
        </w:rPr>
        <w:t xml:space="preserve">    demo </w:t>
      </w:r>
      <w:r>
        <w:rPr>
          <w:rStyle w:val="OperatorTok"/>
        </w:rPr>
        <w:t xml:space="preserve">=</w:t>
      </w:r>
      <w:r>
        <w:rPr>
          <w:rStyle w:val="NormalTok"/>
        </w:rPr>
        <w:t xml:space="preserve"> no_req[</w:t>
      </w:r>
      <w:r>
        <w:rPr>
          <w:rStyle w:val="DecValTok"/>
        </w:rPr>
        <w:t xml:space="preserve">0</w:t>
      </w:r>
      <w:r>
        <w:rPr>
          <w:rStyle w:val="NormalTok"/>
        </w:rPr>
        <w:t xml:space="preserve">] </w:t>
      </w:r>
      <w:r>
        <w:rPr>
          <w:rStyle w:val="ControlFlowTok"/>
        </w:rPr>
        <w:t xml:space="preserve">if</w:t>
      </w:r>
      <w:r>
        <w:rPr>
          <w:rStyle w:val="NormalTok"/>
        </w:rPr>
        <w:t xml:space="preserve"> no_req </w:t>
      </w:r>
      <w:r>
        <w:rPr>
          <w:rStyle w:val="ControlFlowTok"/>
        </w:rPr>
        <w:t xml:space="preserve">else</w:t>
      </w:r>
      <w:r>
        <w:rPr>
          <w:rStyle w:val="NormalTok"/>
        </w:rPr>
        <w:t xml:space="preserve"> sec[</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Auditor view of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after invalidation:"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metadata intact      : </w:t>
      </w:r>
      <w:r>
        <w:rPr>
          <w:rStyle w:val="SpecialCharTok"/>
        </w:rPr>
        <w:t xml:space="preserve">{</w:t>
      </w:r>
      <w:r>
        <w:rPr>
          <w:rStyle w:val="BuiltInTok"/>
        </w:rPr>
        <w:t xml:space="preserve">bool</w:t>
      </w:r>
      <w:r>
        <w:rPr>
          <w:rStyle w:val="NormalTok"/>
        </w:rPr>
        <w:t xml:space="preserve">(demo.m)</w:t>
      </w:r>
      <w:r>
        <w:rPr>
          <w:rStyle w:val="SpecialCharTok"/>
        </w:rPr>
        <w:t xml:space="preserve">}</w:t>
      </w:r>
      <w:r>
        <w:rPr>
          <w:rStyle w:val="SpecialStringTok"/>
        </w:rPr>
        <w:t xml:space="preserve">  actor=</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'actor'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f"ncp=</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'ncp'</w:t>
      </w:r>
      <w:r>
        <w:rPr>
          <w:rStyle w:val="NormalTok"/>
        </w:rPr>
        <w:t xml:space="preserve">]</w:t>
      </w:r>
      <w:r>
        <w:rPr>
          <w:rStyle w:val="SpecialCharTok"/>
        </w:rPr>
        <w:t xml:space="preserve">}</w:t>
      </w:r>
      <w:r>
        <w:rPr>
          <w:rStyle w:val="SpecialStringTok"/>
        </w:rPr>
        <w:t xml:space="preserve"> outcome=</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'outcome'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commitment c(a)      : </w:t>
      </w:r>
      <w:r>
        <w:rPr>
          <w:rStyle w:val="SpecialCharTok"/>
        </w:rPr>
        <w:t xml:space="preserve">{</w:t>
      </w:r>
      <w:r>
        <w:rPr>
          <w:rStyle w:val="NormalTok"/>
        </w:rPr>
        <w:t xml:space="preserve">demo</w:t>
      </w:r>
      <w:r>
        <w:rPr>
          <w:rStyle w:val="SpecialCharTok"/>
        </w:rPr>
        <w:t xml:space="preserve">.</w:t>
      </w:r>
      <w:r>
        <w:rPr>
          <w:rStyle w:val="NormalTok"/>
        </w:rPr>
        <w:t xml:space="preserve">c[:</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key k(a)     : </w:t>
      </w:r>
      <w:r>
        <w:rPr>
          <w:rStyle w:val="SpecialCharTok"/>
        </w:rPr>
        <w:t xml:space="preserve">{</w:t>
      </w:r>
      <w:r>
        <w:rPr>
          <w:rStyle w:val="NormalTok"/>
        </w:rPr>
        <w:t xml:space="preserve">demo</w:t>
      </w:r>
      <w:r>
        <w:rPr>
          <w:rStyle w:val="SpecialCharTok"/>
        </w:rPr>
        <w:t xml:space="preserve">.</w:t>
      </w:r>
      <w:r>
        <w:rPr>
          <w:rStyle w:val="NormalTok"/>
        </w:rPr>
        <w:t xml:space="preserve">k</w:t>
      </w:r>
      <w:r>
        <w:rPr>
          <w:rStyle w:val="SpecialCharTok"/>
        </w:rPr>
        <w:t xml:space="preserve">}</w:t>
      </w:r>
      <w:r>
        <w:rPr>
          <w:rStyle w:val="SpecialStringTok"/>
        </w:rPr>
        <w:t xml:space="preserve">   &lt;- destroyed"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invalidation iota(a) : month=</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'month'</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f"ground=</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readable?    : </w:t>
      </w:r>
      <w:r>
        <w:rPr>
          <w:rStyle w:val="SpecialCharTok"/>
        </w:rPr>
        <w:t xml:space="preserve">{</w:t>
      </w:r>
      <w:r>
        <w:rPr>
          <w:rStyle w:val="BuiltInTok"/>
        </w:rPr>
        <w:t xml:space="preserve">bool</w:t>
      </w:r>
      <w:r>
        <w:rPr>
          <w:rStyle w:val="NormalTok"/>
        </w:rPr>
        <w:t xml:space="preserve">(alpha(demo, demo.t_a </w:t>
      </w:r>
      <w:r>
        <w:rPr>
          <w:rStyle w:val="OperatorTok"/>
        </w:rPr>
        <w:t xml:space="preserve">+</w:t>
      </w:r>
      <w:r>
        <w:rPr>
          <w:rStyle w:val="NormalTok"/>
        </w:rPr>
        <w:t xml:space="preserve"> demo.floor))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 : </w:t>
      </w:r>
      <w:r>
        <w:rPr>
          <w:rStyle w:val="SpecialCharTok"/>
        </w:rPr>
        <w:t xml:space="preserve">{</w:t>
      </w:r>
      <w:r>
        <w:rPr>
          <w:rStyle w:val="NormalTok"/>
        </w:rPr>
        <w:t xml:space="preserve">total_v</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INFEASIBLE"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II: </w:t>
      </w:r>
      <w:r>
        <w:rPr>
          <w:rStyle w:val="SpecialCharTok"/>
        </w:rPr>
        <w:t xml:space="preserve">{</w:t>
      </w:r>
      <w:r>
        <w:rPr>
          <w:rStyle w:val="NormalTok"/>
        </w:rPr>
        <w:t xml:space="preserve">total_v2</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n_bad2</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r>
        <w:br/>
      </w:r>
      <w:r>
        <w:br/>
      </w:r>
      <w:r>
        <w:br/>
      </w:r>
      <w:r>
        <w:rPr>
          <w:rStyle w:val="CommentTok"/>
        </w:rPr>
        <w:t xml:space="preserve"># ----------------------------------------------------------------------</w:t>
      </w:r>
      <w:r>
        <w:br/>
      </w:r>
      <w:r>
        <w:rPr>
          <w:rStyle w:val="CommentTok"/>
        </w:rPr>
        <w:t xml:space="preserve"># Extended response period witness (Chapter 5, Section 5.5a)</w:t>
      </w:r>
      <w:r>
        <w:br/>
      </w:r>
      <w:r>
        <w:rPr>
          <w:rStyle w:val="CommentTok"/>
        </w:rPr>
        <w:t xml:space="preserve"># GDPR Art 12(3) permits extension of the one-month response period by a</w:t>
      </w:r>
      <w:r>
        <w:br/>
      </w:r>
      <w:r>
        <w:rPr>
          <w:rStyle w:val="CommentTok"/>
        </w:rPr>
        <w:t xml:space="preserve"># further two months. The theorems are stated for arbitrary finite delta;</w:t>
      </w:r>
      <w:r>
        <w:br/>
      </w:r>
      <w:r>
        <w:rPr>
          <w:rStyle w:val="CommentTok"/>
        </w:rPr>
        <w:t xml:space="preserve"># this runs the model at delta = 3 to witness that claim rather than assert it.</w:t>
      </w:r>
      <w:r>
        <w:br/>
      </w:r>
      <w:r>
        <w:rPr>
          <w:rStyle w:val="CommentTok"/>
        </w:rPr>
        <w:t xml:space="preserve"># ----------------------------------------------------------------------</w:t>
      </w:r>
      <w:r>
        <w:br/>
      </w:r>
      <w:r>
        <w:br/>
      </w:r>
      <w:r>
        <w:rPr>
          <w:rStyle w:val="KeywordTok"/>
        </w:rPr>
        <w:t xml:space="preserve">def</w:t>
      </w:r>
      <w:r>
        <w:rPr>
          <w:rStyle w:val="NormalTok"/>
        </w:rPr>
        <w:t xml:space="preserve"> delta_witness(delta_values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"""Re-run the population at each delta and report the figures."""</w:t>
      </w:r>
      <w:r>
        <w:br/>
      </w:r>
      <w:r>
        <w:rPr>
          <w:rStyle w:val="NormalTok"/>
        </w:rPr>
        <w:t xml:space="preserve">    </w:t>
      </w:r>
      <w:r>
        <w:rPr>
          <w:rStyle w:val="KeywordTok"/>
        </w:rPr>
        <w:t xml:space="preserve">global</w:t>
      </w:r>
      <w:r>
        <w:rPr>
          <w:rStyle w:val="NormalTok"/>
        </w:rPr>
        <w:t xml:space="preserve"> DELTA</w:t>
      </w:r>
      <w:r>
        <w:br/>
      </w:r>
      <w:r>
        <w:rPr>
          <w:rStyle w:val="NormalTok"/>
        </w:rPr>
        <w:t xml:space="preserve">    original, rows </w:t>
      </w:r>
      <w:r>
        <w:rPr>
          <w:rStyle w:val="OperatorTok"/>
        </w:rPr>
        <w:t xml:space="preserve">=</w:t>
      </w:r>
      <w:r>
        <w:rPr>
          <w:rStyle w:val="NormalTok"/>
        </w:rPr>
        <w:t xml:space="preserve"> DELTA,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delta_values:</w:t>
      </w:r>
      <w:r>
        <w:br/>
      </w:r>
      <w:r>
        <w:rPr>
          <w:rStyle w:val="NormalTok"/>
        </w:rPr>
        <w:t xml:space="preserve">        DELTA </w:t>
      </w:r>
      <w:r>
        <w:rPr>
          <w:rStyle w:val="OperatorTok"/>
        </w:rPr>
        <w:t xml:space="preserve">=</w:t>
      </w:r>
      <w:r>
        <w:rPr>
          <w:rStyle w:val="NormalTok"/>
        </w:rPr>
        <w:t xml:space="preserve"> d</w:t>
      </w:r>
      <w:r>
        <w:br/>
      </w:r>
      <w:r>
        <w:rPr>
          <w:rStyle w:val="NormalTok"/>
        </w:rPr>
        <w:t xml:space="preserve">        recs </w:t>
      </w:r>
      <w:r>
        <w:rPr>
          <w:rStyle w:val="OperatorTok"/>
        </w:rPr>
        <w:t xml:space="preserve">=</w:t>
      </w:r>
      <w:r>
        <w:rPr>
          <w:rStyle w:val="NormalTok"/>
        </w:rPr>
        <w:t xml:space="preserve"> generate()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StringTok"/>
        </w:rPr>
        <w:t xml:space="preserve">"delta"</w:t>
      </w:r>
      <w:r>
        <w:rPr>
          <w:rStyle w:val="NormalTok"/>
        </w:rPr>
        <w:t xml:space="preserve">: d,</w:t>
      </w:r>
      <w:r>
        <w:br/>
      </w:r>
      <w:r>
        <w:rPr>
          <w:rStyle w:val="NormalTok"/>
        </w:rPr>
        <w:t xml:space="preserve">               </w:t>
      </w:r>
      <w:r>
        <w:rPr>
          <w:rStyle w:val="StringTok"/>
        </w:rPr>
        <w:t xml:space="preserve">"sem1_records"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w:t>
      </w:r>
      <w:r>
        <w:rPr>
          <w:rStyle w:val="StringTok"/>
        </w:rPr>
        <w:t xml:space="preserve">"sem1_total"</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StringTok"/>
        </w:rPr>
        <w:t xml:space="preserve">"cor12"</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row[</w:t>
      </w:r>
      <w:r>
        <w:rPr>
          <w:rStyle w:val="StringTok"/>
        </w:rPr>
        <w:t xml:space="preserve">"sem2_records"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row[</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row[</w:t>
      </w:r>
      <w:r>
        <w:rPr>
          <w:rStyle w:val="StringTok"/>
        </w:rPr>
        <w:t xml:space="preserve">"invalidated"</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rows.append(row)</w:t>
      </w:r>
      <w:r>
        <w:br/>
      </w:r>
      <w:r>
        <w:rPr>
          <w:rStyle w:val="NormalTok"/>
        </w:rPr>
        <w:t xml:space="preserve">    DELTA </w:t>
      </w:r>
      <w:r>
        <w:rPr>
          <w:rStyle w:val="OperatorTok"/>
        </w:rPr>
        <w:t xml:space="preserve">=</w:t>
      </w:r>
      <w:r>
        <w:rPr>
          <w:rStyle w:val="NormalTok"/>
        </w:rPr>
        <w:t xml:space="preserve"> original</w:t>
      </w:r>
      <w:r>
        <w:br/>
      </w:r>
      <w:r>
        <w:rPr>
          <w:rStyle w:val="NormalTok"/>
        </w:rPr>
        <w:t xml:space="preserve">    </w:t>
      </w:r>
      <w:r>
        <w:rPr>
          <w:rStyle w:val="ControlFlowTok"/>
        </w:rPr>
        <w:t xml:space="preserve">return</w:t>
      </w:r>
      <w:r>
        <w:rPr>
          <w:rStyle w:val="NormalTok"/>
        </w:rPr>
        <w:t xml:space="preserve"> rows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 </w:t>
      </w:r>
      <w:r>
        <w:rPr>
          <w:rStyle w:val="KeywordTok"/>
        </w:rPr>
        <w:t xml:space="preserve">and</w:t>
      </w:r>
      <w:r>
        <w:rPr>
          <w:rStyle w:val="NormalTok"/>
        </w:rPr>
        <w:t xml:space="preserve"> </w:t>
      </w:r>
      <w:r>
        <w:rPr>
          <w:rStyle w:val="StringTok"/>
        </w:rPr>
        <w:t xml:space="preserve">"--delta-witness"</w:t>
      </w:r>
      <w:r>
        <w:rPr>
          <w:rStyle w:val="NormalTok"/>
        </w:rPr>
        <w:t xml:space="preserve"> </w:t>
      </w:r>
      <w:r>
        <w:rPr>
          <w:rStyle w:val="KeywordTok"/>
        </w:rPr>
        <w:t xml:space="preserve">in</w:t>
      </w:r>
      <w:r>
        <w:rPr>
          <w:rStyle w:val="NormalTok"/>
        </w:rPr>
        <w:t xml:space="preserve"> </w:t>
      </w:r>
      <w:r>
        <w:rPr>
          <w:rStyle w:val="BuiltInTok"/>
        </w:rPr>
        <w:t xml:space="preserve">__import__</w:t>
      </w:r>
      <w:r>
        <w:rPr>
          <w:rStyle w:val="NormalTok"/>
        </w:rPr>
        <w:t xml:space="preserve">(</w:t>
      </w:r>
      <w:r>
        <w:rPr>
          <w:rStyle w:val="StringTok"/>
        </w:rPr>
        <w:t xml:space="preserve">"sys"</w:t>
      </w:r>
      <w:r>
        <w:rPr>
          <w:rStyle w:val="NormalTok"/>
        </w:rPr>
        <w:t xml:space="preserve">).argv:</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'delta'</w:t>
      </w:r>
      <w:r>
        <w:rPr>
          <w:rStyle w:val="SpecialCharTok"/>
        </w:rPr>
        <w:t xml:space="preserve">:&gt;6}{</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tringTok"/>
        </w:rPr>
        <w:t xml:space="preserve">'Cor1.2'</w:t>
      </w:r>
      <w:r>
        <w:rPr>
          <w:rStyle w:val="SpecialCharTok"/>
        </w:rPr>
        <w:t xml:space="preserve">:&gt;9}</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'SemII recs'</w:t>
      </w:r>
      <w:r>
        <w:rPr>
          <w:rStyle w:val="SpecialCharTok"/>
        </w:rPr>
        <w:t xml:space="preserve">:&gt;12}{</w:t>
      </w:r>
      <w:r>
        <w:rPr>
          <w:rStyle w:val="StringTok"/>
        </w:rPr>
        <w:t xml:space="preserve">'SemII viol'</w:t>
      </w:r>
      <w:r>
        <w:rPr>
          <w:rStyle w:val="SpecialCharTok"/>
        </w:rPr>
        <w:t xml:space="preserve">:&gt;12}{</w:t>
      </w:r>
      <w:r>
        <w:rPr>
          <w:rStyle w:val="StringTok"/>
        </w:rPr>
        <w:t xml:space="preserve">'invalidated'</w:t>
      </w:r>
      <w:r>
        <w:rPr>
          <w:rStyle w:val="SpecialCharTok"/>
        </w:rPr>
        <w:t xml:space="preserve">:&gt;13}</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delta_witness():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'delta'</w:t>
      </w:r>
      <w:r>
        <w:rPr>
          <w:rStyle w:val="NormalTok"/>
        </w:rPr>
        <w:t xml:space="preserve">]</w:t>
      </w:r>
      <w:r>
        <w:rPr>
          <w:rStyle w:val="SpecialCharTok"/>
        </w:rPr>
        <w:t xml:space="preserve">:&gt;6}{</w:t>
      </w:r>
      <w:r>
        <w:rPr>
          <w:rStyle w:val="NormalTok"/>
        </w:rPr>
        <w:t xml:space="preserve">r[</w:t>
      </w:r>
      <w:r>
        <w:rPr>
          <w:rStyle w:val="StringTok"/>
        </w:rPr>
        <w:t xml:space="preserve">'sem1_records'</w:t>
      </w:r>
      <w:r>
        <w:rPr>
          <w:rStyle w:val="NormalTok"/>
        </w:rPr>
        <w:t xml:space="preserve">]</w:t>
      </w:r>
      <w:r>
        <w:rPr>
          <w:rStyle w:val="SpecialCharTok"/>
        </w:rPr>
        <w:t xml:space="preserve">:&gt;11}{</w:t>
      </w:r>
      <w:r>
        <w:rPr>
          <w:rStyle w:val="NormalTok"/>
        </w:rPr>
        <w:t xml:space="preserve">r[</w:t>
      </w:r>
      <w:r>
        <w:rPr>
          <w:rStyle w:val="StringTok"/>
        </w:rPr>
        <w:t xml:space="preserve">'sem1_total'</w:t>
      </w:r>
      <w:r>
        <w:rPr>
          <w:rStyle w:val="NormalTok"/>
        </w:rPr>
        <w:t xml:space="preserve">]</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'cor12'</w:t>
      </w:r>
      <w:r>
        <w:rPr>
          <w:rStyle w:val="NormalTok"/>
        </w:rPr>
        <w:t xml:space="preserve">]</w:t>
      </w:r>
      <w:r>
        <w:rPr>
          <w:rStyle w:val="SpecialCharTok"/>
        </w:rPr>
        <w:t xml:space="preserve">:&gt;9}{</w:t>
      </w:r>
      <w:r>
        <w:rPr>
          <w:rStyle w:val="NormalTok"/>
        </w:rPr>
        <w:t xml:space="preserve">r[</w:t>
      </w:r>
      <w:r>
        <w:rPr>
          <w:rStyle w:val="StringTok"/>
        </w:rPr>
        <w:t xml:space="preserve">'sem2_records'</w:t>
      </w:r>
      <w:r>
        <w:rPr>
          <w:rStyle w:val="NormalTok"/>
        </w:rPr>
        <w:t xml:space="preserve">]</w:t>
      </w:r>
      <w:r>
        <w:rPr>
          <w:rStyle w:val="SpecialCharTok"/>
        </w:rPr>
        <w:t xml:space="preserve">:&gt;12}{</w:t>
      </w:r>
      <w:r>
        <w:rPr>
          <w:rStyle w:val="NormalTok"/>
        </w:rPr>
        <w:t xml:space="preserve">r[</w:t>
      </w:r>
      <w:r>
        <w:rPr>
          <w:rStyle w:val="StringTok"/>
        </w:rPr>
        <w:t xml:space="preserve">'sem2_total'</w:t>
      </w:r>
      <w:r>
        <w:rPr>
          <w:rStyle w:val="NormalTok"/>
        </w:rPr>
        <w:t xml:space="preserve">]</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'invalidated'</w:t>
      </w:r>
      <w:r>
        <w:rPr>
          <w:rStyle w:val="NormalTok"/>
        </w:rPr>
        <w:t xml:space="preserve">]</w:t>
      </w:r>
      <w:r>
        <w:rPr>
          <w:rStyle w:val="SpecialCharTok"/>
        </w:rPr>
        <w:t xml:space="preserve">:&gt;13}</w:t>
      </w:r>
      <w:r>
        <w:rPr>
          <w:rStyle w:val="SpecialStringTok"/>
        </w:rPr>
        <w:t xml:space="preserve">"</w:t>
      </w:r>
      <w:r>
        <w:rPr>
          <w:rStyle w:val="NormalTok"/>
        </w:rPr>
        <w:t xml:space="preserve">)</w:t>
      </w:r>
    </w:p>
    <w:bookmarkEnd w:id="120"/>
    <w:bookmarkStart w:id="121" w:name="a.9-source-listing-synthea_layer.py"/>
    <w:p>
      <w:pPr>
        <w:pStyle w:val="Heading2"/>
      </w:pPr>
      <w:r>
        <w:t xml:space="preserve">A.9 Source listing:</w:t>
      </w:r>
      <w:r>
        <w:t xml:space="preserve"> </w:t>
      </w:r>
      <w:r>
        <w:rPr>
          <w:rStyle w:val="VerbatimChar"/>
        </w:rPr>
        <w:t xml:space="preserve">synthea_layer.py</w:t>
      </w:r>
    </w:p>
    <w:p>
      <w:pPr>
        <w:pStyle w:val="FirstParagraph"/>
      </w:pPr>
      <w:r>
        <w:t xml:space="preserve">The realism layer, reproduced as executed.</w:t>
      </w:r>
    </w:p>
    <w:p>
      <w:pPr>
        <w:pStyle w:val="SourceCode"/>
      </w:pPr>
      <w:r>
        <w:rPr>
          <w:rStyle w:val="CommentTok"/>
        </w:rPr>
        <w:t xml:space="preserve">"""</w:t>
      </w:r>
      <w:r>
        <w:br/>
      </w:r>
      <w:r>
        <w:rPr>
          <w:rStyle w:val="CommentTok"/>
        </w:rPr>
        <w:t xml:space="preserve">Synthea realism layer for the TRF feasibility checker</w:t>
      </w:r>
      <w:r>
        <w:br/>
      </w:r>
      <w:r>
        <w:rPr>
          <w:rStyle w:val="CommentTok"/>
        </w:rPr>
        <w:t xml:space="preserve">=====================================================</w:t>
      </w:r>
      <w:r>
        <w:br/>
      </w:r>
      <w:r>
        <w:rPr>
          <w:rStyle w:val="CommentTok"/>
        </w:rPr>
        <w:t xml:space="preserve">Chapter 3, Section 3.6 specifies two layers: the feasibility checker (the</w:t>
      </w:r>
      <w:r>
        <w:br/>
      </w:r>
      <w:r>
        <w:rPr>
          <w:rStyle w:val="CommentTok"/>
        </w:rPr>
        <w:t xml:space="preserve">load-bearing component) and a realism layer feeding it FHIR-structured</w:t>
      </w:r>
      <w:r>
        <w:br/>
      </w:r>
      <w:r>
        <w:rPr>
          <w:rStyle w:val="CommentTok"/>
        </w:rPr>
        <w:t xml:space="preserve">records generated by Synthea.</w:t>
      </w:r>
      <w:r>
        <w:br/>
      </w:r>
      <w:r>
        <w:br/>
      </w:r>
      <w:r>
        <w:rPr>
          <w:rStyle w:val="CommentTok"/>
        </w:rPr>
        <w:t xml:space="preserve">This module is the realism layer. It replaces the synthetic byte-string</w:t>
      </w:r>
      <w:r>
        <w:br/>
      </w:r>
      <w:r>
        <w:rPr>
          <w:rStyle w:val="CommentTok"/>
        </w:rPr>
        <w:t xml:space="preserve">payloads of trf_checker.generate() with real FHIR R4 resources drawn from</w:t>
      </w:r>
      <w:r>
        <w:br/>
      </w:r>
      <w:r>
        <w:rPr>
          <w:rStyle w:val="CommentTok"/>
        </w:rPr>
        <w:t xml:space="preserve">Synthea-generated patient bundles, leaving every timing quantity</w:t>
      </w:r>
      <w:r>
        <w:br/>
      </w:r>
      <w:r>
        <w:rPr>
          <w:rStyle w:val="CommentTok"/>
        </w:rPr>
        <w:t xml:space="preserve">(t_a, t_r, t_pi, F, sigma, delta) untouched.</w:t>
      </w:r>
      <w:r>
        <w:br/>
      </w:r>
      <w:r>
        <w:br/>
      </w:r>
      <w:r>
        <w:rPr>
          <w:rStyle w:val="CommentTok"/>
        </w:rPr>
        <w:t xml:space="preserve">The purpose is to establish, by execution rather than assertion, that the</w:t>
      </w:r>
      <w:r>
        <w:br/>
      </w:r>
      <w:r>
        <w:rPr>
          <w:rStyle w:val="CommentTok"/>
        </w:rPr>
        <w:t xml:space="preserve">model's results are functions of timing and accessibility alone and do not</w:t>
      </w:r>
      <w:r>
        <w:br/>
      </w:r>
      <w:r>
        <w:rPr>
          <w:rStyle w:val="CommentTok"/>
        </w:rPr>
        <w:t xml:space="preserve">depend on payload provenance. If any reported figure changes, the model</w:t>
      </w:r>
      <w:r>
        <w:br/>
      </w:r>
      <w:r>
        <w:rPr>
          <w:rStyle w:val="CommentTok"/>
        </w:rPr>
        <w:t xml:space="preserve">reads something it should not.</w:t>
      </w:r>
      <w:r>
        <w:br/>
      </w:r>
      <w:r>
        <w:br/>
      </w:r>
      <w:r>
        <w:rPr>
          <w:rStyle w:val="CommentTok"/>
        </w:rPr>
        <w:t xml:space="preserve">Cohort: synthea -s 20260915 -cs 20260915 -p 100, FHIR R4 export.</w:t>
      </w:r>
      <w:r>
        <w:br/>
      </w:r>
      <w:r>
        <w:rPr>
          <w:rStyle w:val="CommentTok"/>
        </w:rPr>
        <w:t xml:space="preserve">Run:    python synthea_layer.py</w:t>
      </w:r>
      <w:r>
        <w:br/>
      </w:r>
      <w:r>
        <w:rPr>
          <w:rStyle w:val="CommentTok"/>
        </w:rPr>
        <w:t xml:space="preserve">"""</w:t>
      </w:r>
      <w:r>
        <w:br/>
      </w:r>
      <w:r>
        <w:br/>
      </w:r>
      <w:r>
        <w:rPr>
          <w:rStyle w:val="ImportTok"/>
        </w:rPr>
        <w:t xml:space="preserve">import</w:t>
      </w:r>
      <w:r>
        <w:rPr>
          <w:rStyle w:val="NormalTok"/>
        </w:rPr>
        <w:t xml:space="preserve"> glob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r>
      <w:r>
        <w:br/>
      </w:r>
      <w:r>
        <w:rPr>
          <w:rStyle w:val="NormalTok"/>
        </w:rPr>
        <w:t xml:space="preserve">_HERE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CommentTok"/>
        </w:rPr>
        <w:t xml:space="preserve"># Search order: the full regenerated cohort first, then the 8-bundle subset</w:t>
      </w:r>
      <w:r>
        <w:br/>
      </w:r>
      <w:r>
        <w:rPr>
          <w:rStyle w:val="CommentTok"/>
        </w:rPr>
        <w:t xml:space="preserve"># shipped in the repository. The first directory that contains bundles wins.</w:t>
      </w:r>
      <w:r>
        <w:br/>
      </w:r>
      <w:r>
        <w:rPr>
          <w:rStyle w:val="NormalTok"/>
        </w:rPr>
        <w:t xml:space="preserve">SYNTHEA_DIRS </w:t>
      </w:r>
      <w:r>
        <w:rPr>
          <w:rStyle w:val="OperatorTok"/>
        </w:rPr>
        <w:t xml:space="preserve">=</w:t>
      </w:r>
      <w:r>
        <w:rPr>
          <w:rStyle w:val="NormalTok"/>
        </w:rPr>
        <w:t xml:space="preserve"> [os.path.join(_HERE, </w:t>
      </w:r>
      <w:r>
        <w:rPr>
          <w:rStyle w:val="StringTok"/>
        </w:rPr>
        <w:t xml:space="preserve">"synthea_run"</w:t>
      </w:r>
      <w:r>
        <w:rPr>
          <w:rStyle w:val="NormalTok"/>
        </w:rPr>
        <w:t xml:space="preserve">, </w:t>
      </w:r>
      <w:r>
        <w:rPr>
          <w:rStyle w:val="StringTok"/>
        </w:rPr>
        <w:t xml:space="preserve">"output"</w:t>
      </w:r>
      <w:r>
        <w:rPr>
          <w:rStyle w:val="NormalTok"/>
        </w:rPr>
        <w:t xml:space="preserve">, </w:t>
      </w:r>
      <w:r>
        <w:rPr>
          <w:rStyle w:val="StringTok"/>
        </w:rPr>
        <w:t xml:space="preserve">"fhir"</w:t>
      </w:r>
      <w:r>
        <w:rPr>
          <w:rStyle w:val="NormalTok"/>
        </w:rPr>
        <w:t xml:space="preserve">),</w:t>
      </w:r>
      <w:r>
        <w:br/>
      </w:r>
      <w:r>
        <w:rPr>
          <w:rStyle w:val="NormalTok"/>
        </w:rPr>
        <w:t xml:space="preserve">                os.path.join(_HERE, </w:t>
      </w:r>
      <w:r>
        <w:rPr>
          <w:rStyle w:val="StringTok"/>
        </w:rPr>
        <w:t xml:space="preserve">"data"</w:t>
      </w:r>
      <w:r>
        <w:rPr>
          <w:rStyle w:val="NormalTok"/>
        </w:rPr>
        <w:t xml:space="preserve">, </w:t>
      </w:r>
      <w:r>
        <w:rPr>
          <w:rStyle w:val="StringTok"/>
        </w:rPr>
        <w:t xml:space="preserve">"synthea_subset"</w:t>
      </w:r>
      <w:r>
        <w:rPr>
          <w:rStyle w:val="NormalTok"/>
        </w:rPr>
        <w:t xml:space="preserve">),</w:t>
      </w:r>
      <w:r>
        <w:br/>
      </w:r>
      <w:r>
        <w:rPr>
          <w:rStyle w:val="NormalTok"/>
        </w:rPr>
        <w:t xml:space="preserve">                os.path.join(_HERE, </w:t>
      </w:r>
      <w:r>
        <w:rPr>
          <w:rStyle w:val="StringTok"/>
        </w:rPr>
        <w:t xml:space="preserve">"synthea_subset"</w:t>
      </w:r>
      <w:r>
        <w:rPr>
          <w:rStyle w:val="NormalTok"/>
        </w:rPr>
        <w:t xml:space="preserve">)]</w:t>
      </w:r>
      <w:r>
        <w:br/>
      </w:r>
      <w:r>
        <w:br/>
      </w:r>
      <w:r>
        <w:br/>
      </w:r>
      <w:r>
        <w:rPr>
          <w:rStyle w:val="KeywordTok"/>
        </w:rPr>
        <w:t xml:space="preserve">def</w:t>
      </w:r>
      <w:r>
        <w:rPr>
          <w:rStyle w:val="NormalTok"/>
        </w:rPr>
        <w:t xml:space="preserve"> _resolve_dir():</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SYNTHEA_DIRS:</w:t>
      </w:r>
      <w:r>
        <w:br/>
      </w:r>
      <w:r>
        <w:rPr>
          <w:rStyle w:val="NormalTok"/>
        </w:rPr>
        <w:t xml:space="preserve">        </w:t>
      </w:r>
      <w:r>
        <w:rPr>
          <w:rStyle w:val="ControlFlowTok"/>
        </w:rPr>
        <w:t xml:space="preserve">if</w:t>
      </w:r>
      <w:r>
        <w:rPr>
          <w:rStyle w:val="NormalTok"/>
        </w:rPr>
        <w:t xml:space="preserve"> glob.glob(os.path.join(d, </w:t>
      </w:r>
      <w:r>
        <w:rPr>
          <w:rStyle w:val="StringTok"/>
        </w:rPr>
        <w:t xml:space="preserve">"*.json"</w:t>
      </w:r>
      <w:r>
        <w:rPr>
          <w:rStyle w:val="NormalTok"/>
        </w:rPr>
        <w:t xml:space="preserve">)):</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SYNTHEA_DIRS[</w:t>
      </w:r>
      <w:r>
        <w:rPr>
          <w:rStyle w:val="DecValTok"/>
        </w:rPr>
        <w:t xml:space="preserve">0</w:t>
      </w:r>
      <w:r>
        <w:rPr>
          <w:rStyle w:val="NormalTok"/>
        </w:rPr>
        <w:t xml:space="preserve">]</w:t>
      </w:r>
      <w:r>
        <w:br/>
      </w:r>
      <w:r>
        <w:br/>
      </w:r>
      <w:r>
        <w:br/>
      </w:r>
      <w:r>
        <w:rPr>
          <w:rStyle w:val="NormalTok"/>
        </w:rPr>
        <w:t xml:space="preserve">SYNTHEA_DIR </w:t>
      </w:r>
      <w:r>
        <w:rPr>
          <w:rStyle w:val="OperatorTok"/>
        </w:rPr>
        <w:t xml:space="preserve">=</w:t>
      </w:r>
      <w:r>
        <w:rPr>
          <w:rStyle w:val="NormalTok"/>
        </w:rPr>
        <w:t xml:space="preserve"> _resolve_dir()</w:t>
      </w:r>
      <w:r>
        <w:br/>
      </w:r>
      <w:r>
        <w:rPr>
          <w:rStyle w:val="NormalTok"/>
        </w:rPr>
        <w:t xml:space="preserve">CLINICAL_TYPES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"Observation"</w:t>
      </w:r>
      <w:r>
        <w:rPr>
          <w:rStyle w:val="NormalTok"/>
        </w:rPr>
        <w:t xml:space="preserve">, </w:t>
      </w:r>
      <w:r>
        <w:rPr>
          <w:rStyle w:val="StringTok"/>
        </w:rPr>
        <w:t xml:space="preserve">"MedicationRequest"</w:t>
      </w:r>
      <w:r>
        <w:rPr>
          <w:rStyle w:val="NormalTok"/>
        </w:rPr>
        <w:t xml:space="preserve">,</w:t>
      </w:r>
      <w:r>
        <w:br/>
      </w:r>
      <w:r>
        <w:rPr>
          <w:rStyle w:val="NormalTok"/>
        </w:rPr>
        <w:t xml:space="preserve">                  </w:t>
      </w:r>
      <w:r>
        <w:rPr>
          <w:rStyle w:val="StringTok"/>
        </w:rPr>
        <w:t xml:space="preserve">"AllergyIntolerance"</w:t>
      </w:r>
      <w:r>
        <w:rPr>
          <w:rStyle w:val="NormalTok"/>
        </w:rPr>
        <w:t xml:space="preserve">, </w:t>
      </w:r>
      <w:r>
        <w:rPr>
          <w:rStyle w:val="StringTok"/>
        </w:rPr>
        <w:t xml:space="preserve">"Immunization"</w:t>
      </w:r>
      <w:r>
        <w:rPr>
          <w:rStyle w:val="NormalTok"/>
        </w:rPr>
        <w:t xml:space="preserve">, </w:t>
      </w:r>
      <w:r>
        <w:rPr>
          <w:rStyle w:val="StringTok"/>
        </w:rPr>
        <w:t xml:space="preserve">"Procedure"</w:t>
      </w:r>
      <w:r>
        <w:rPr>
          <w:rStyle w:val="NormalTok"/>
        </w:rPr>
        <w:t xml:space="preserve">)</w:t>
      </w:r>
      <w:r>
        <w:br/>
      </w:r>
      <w:r>
        <w:br/>
      </w:r>
      <w:r>
        <w:br/>
      </w:r>
      <w:r>
        <w:rPr>
          <w:rStyle w:val="KeywordTok"/>
        </w:rPr>
        <w:t xml:space="preserve">def</w:t>
      </w:r>
      <w:r>
        <w:rPr>
          <w:rStyle w:val="NormalTok"/>
        </w:rPr>
        <w:t xml:space="preserve"> load_payloads(limit</w:t>
      </w:r>
      <w:r>
        <w:rPr>
          <w:rStyle w:val="OperatorTok"/>
        </w:rPr>
        <w:t xml:space="preserve">=</w:t>
      </w:r>
      <w:r>
        <w:rPr>
          <w:rStyle w:val="DecValTok"/>
        </w:rPr>
        <w:t xml:space="preserve">400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"""Extract clinically meaningful resources from Synthea bundles and</w:t>
      </w:r>
      <w:r>
        <w:br/>
      </w:r>
      <w:r>
        <w:rPr>
          <w:rStyle w:val="CommentTok"/>
        </w:rPr>
        <w:t xml:space="preserve">    serialise each as a payload. These stand in for the content of an</w:t>
      </w:r>
      <w:r>
        <w:br/>
      </w:r>
      <w:r>
        <w:rPr>
          <w:rStyle w:val="CommentTok"/>
        </w:rPr>
        <w:t xml:space="preserve">    exchanged patient summary or the subject of an SPE access."""</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(glob.glob(os.path.join(_resolve_dir(), </w:t>
      </w:r>
      <w:r>
        <w:rPr>
          <w:rStyle w:val="StringTok"/>
        </w:rPr>
        <w:t xml:space="preserve">"*.json"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"No Synthea bundles found. Looked in:</w:t>
      </w:r>
      <w:r>
        <w:rPr>
          <w:rStyle w:val="CharTok"/>
        </w:rPr>
        <w:t xml:space="preserve">\n</w:t>
      </w:r>
      <w:r>
        <w:rPr>
          <w:rStyle w:val="String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.join(SYNTHEA_DIRS)</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Regenerate the full cohort with:</w:t>
      </w:r>
      <w:r>
        <w:rPr>
          <w:rStyle w:val="CharTok"/>
        </w:rPr>
        <w:t xml:space="preserve">\n</w:t>
      </w:r>
      <w:r>
        <w:rPr>
          <w:rStyle w:val="StringTok"/>
        </w:rPr>
        <w:t xml:space="preserve">"</w:t>
      </w:r>
      <w:r>
        <w:br/>
      </w:r>
      <w:r>
        <w:rPr>
          <w:rStyle w:val="NormalTok"/>
        </w:rPr>
        <w:t xml:space="preserve">              </w:t>
      </w:r>
      <w:r>
        <w:rPr>
          <w:rStyle w:val="StringTok"/>
        </w:rPr>
        <w:t xml:space="preserve">"  java -jar synthea.jar -s 20260915 -cs 20260915 -p 100"</w:t>
      </w:r>
      <w:r>
        <w:rPr>
          <w:rStyle w:val="NormalTok"/>
        </w:rPr>
        <w:t xml:space="preserve">)</w:t>
      </w:r>
      <w:r>
        <w:br/>
      </w:r>
      <w:r>
        <w:rPr>
          <w:rStyle w:val="NormalTok"/>
        </w:rPr>
        <w:t xml:space="preserve">    payloads, meta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files: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fh:</w:t>
      </w:r>
      <w:r>
        <w:br/>
      </w:r>
      <w:r>
        <w:rPr>
          <w:rStyle w:val="NormalTok"/>
        </w:rPr>
        <w:t xml:space="preserve">            bundle </w:t>
      </w:r>
      <w:r>
        <w:rPr>
          <w:rStyle w:val="OperatorTok"/>
        </w:rPr>
        <w:t xml:space="preserve">=</w:t>
      </w:r>
      <w:r>
        <w:rPr>
          <w:rStyle w:val="NormalTok"/>
        </w:rPr>
        <w:t xml:space="preserve"> json.load(fh)</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bundle.get(</w:t>
      </w:r>
      <w:r>
        <w:rPr>
          <w:rStyle w:val="StringTok"/>
        </w:rPr>
        <w:t xml:space="preserve">"entry"</w:t>
      </w:r>
      <w:r>
        <w:rPr>
          <w:rStyle w:val="NormalTok"/>
        </w:rPr>
        <w:t xml:space="preserve">, []):</w:t>
      </w:r>
      <w:r>
        <w:br/>
      </w:r>
      <w:r>
        <w:rPr>
          <w:rStyle w:val="NormalTok"/>
        </w:rPr>
        <w:t xml:space="preserve">            res </w:t>
      </w:r>
      <w:r>
        <w:rPr>
          <w:rStyle w:val="OperatorTok"/>
        </w:rPr>
        <w:t xml:space="preserve">=</w:t>
      </w:r>
      <w:r>
        <w:rPr>
          <w:rStyle w:val="NormalTok"/>
        </w:rPr>
        <w:t xml:space="preserve"> entry.get(</w:t>
      </w:r>
      <w:r>
        <w:rPr>
          <w:rStyle w:val="StringTok"/>
        </w:rPr>
        <w:t xml:space="preserve">"resource"</w:t>
      </w:r>
      <w:r>
        <w:rPr>
          <w:rStyle w:val="NormalTok"/>
        </w:rPr>
        <w:t xml:space="preserve">, {})</w:t>
      </w:r>
      <w:r>
        <w:br/>
      </w:r>
      <w:r>
        <w:rPr>
          <w:rStyle w:val="NormalTok"/>
        </w:rPr>
        <w:t xml:space="preserve">            </w:t>
      </w:r>
      <w:r>
        <w:rPr>
          <w:rStyle w:val="ControlFlowTok"/>
        </w:rPr>
        <w:t xml:space="preserve">if</w:t>
      </w:r>
      <w:r>
        <w:rPr>
          <w:rStyle w:val="NormalTok"/>
        </w:rPr>
        <w:t xml:space="preserve"> res.get(</w:t>
      </w:r>
      <w:r>
        <w:rPr>
          <w:rStyle w:val="StringTok"/>
        </w:rPr>
        <w:t xml:space="preserve">"resourceType"</w:t>
      </w:r>
      <w:r>
        <w:rPr>
          <w:rStyle w:val="NormalTok"/>
        </w:rPr>
        <w:t xml:space="preserve">) </w:t>
      </w:r>
      <w:r>
        <w:rPr>
          <w:rStyle w:val="KeywordTok"/>
        </w:rPr>
        <w:t xml:space="preserve">in</w:t>
      </w:r>
      <w:r>
        <w:rPr>
          <w:rStyle w:val="NormalTok"/>
        </w:rPr>
        <w:t xml:space="preserve"> CLINICAL_TYPES:</w:t>
      </w:r>
      <w:r>
        <w:br/>
      </w:r>
      <w:r>
        <w:rPr>
          <w:rStyle w:val="NormalTok"/>
        </w:rPr>
        <w:t xml:space="preserve">                payloads.append(json.dumps(res, sort_keys</w:t>
      </w:r>
      <w:r>
        <w:rPr>
          <w:rStyle w:val="OperatorTok"/>
        </w:rPr>
        <w:t xml:space="preserve">=</w:t>
      </w:r>
      <w:r>
        <w:rPr>
          <w:rStyle w:val="VariableTok"/>
        </w:rPr>
        <w:t xml:space="preserve">True</w:t>
      </w:r>
      <w:r>
        <w:rPr>
          <w:rStyle w:val="NormalTok"/>
        </w:rPr>
        <w:t xml:space="preserve">).encode())</w:t>
      </w:r>
      <w:r>
        <w:br/>
      </w:r>
      <w:r>
        <w:rPr>
          <w:rStyle w:val="NormalTok"/>
        </w:rPr>
        <w:t xml:space="preserve">                meta.append((os.path.basename(path).split(</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res[</w:t>
      </w:r>
      <w:r>
        <w:rPr>
          <w:rStyle w:val="StringTok"/>
        </w:rPr>
        <w:t xml:space="preserve">"resourceType"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one resource per bundle keeps the mapping 1:1</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(payloads) </w:t>
      </w:r>
      <w:r>
        <w:rPr>
          <w:rStyle w:val="OperatorTok"/>
        </w:rPr>
        <w:t xml:space="preserve">&gt;=</w:t>
      </w:r>
      <w:r>
        <w:rPr>
          <w:rStyle w:val="NormalTok"/>
        </w:rPr>
        <w:t xml:space="preserve"> limit:</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payloads, meta, </w:t>
      </w:r>
      <w:r>
        <w:rPr>
          <w:rStyle w:val="BuiltInTok"/>
        </w:rPr>
        <w:t xml:space="preserve">len</w:t>
      </w:r>
      <w:r>
        <w:rPr>
          <w:rStyle w:val="NormalTok"/>
        </w:rPr>
        <w:t xml:space="preserve">(files)</w:t>
      </w:r>
      <w:r>
        <w:br/>
      </w:r>
      <w:r>
        <w:br/>
      </w:r>
      <w:r>
        <w:br/>
      </w:r>
      <w:r>
        <w:rPr>
          <w:rStyle w:val="KeywordTok"/>
        </w:rPr>
        <w:t xml:space="preserve">def</w:t>
      </w:r>
      <w:r>
        <w:rPr>
          <w:rStyle w:val="NormalTok"/>
        </w:rPr>
        <w:t xml:space="preserve"> generate_with_synthea(n_primary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"""Identical to trf_checker.generate() in every timing respect; only the</w:t>
      </w:r>
      <w:r>
        <w:br/>
      </w:r>
      <w:r>
        <w:rPr>
          <w:rStyle w:val="CommentTok"/>
        </w:rPr>
        <w:t xml:space="preserve">    payload bytes differ."""</w:t>
      </w:r>
      <w:r>
        <w:br/>
      </w:r>
      <w:r>
        <w:rPr>
          <w:rStyle w:val="NormalTok"/>
        </w:rPr>
        <w:t xml:space="preserve">    records </w:t>
      </w:r>
      <w:r>
        <w:rPr>
          <w:rStyle w:val="OperatorTok"/>
        </w:rPr>
        <w:t xml:space="preserve">=</w:t>
      </w:r>
      <w:r>
        <w:rPr>
          <w:rStyle w:val="NormalTok"/>
        </w:rPr>
        <w:t xml:space="preserve"> trf.generate(n_primary, n_secondary, seed)</w:t>
      </w:r>
      <w:r>
        <w:br/>
      </w:r>
      <w:r>
        <w:rPr>
          <w:rStyle w:val="NormalTok"/>
        </w:rPr>
        <w:t xml:space="preserve">    payloads, meta, n_files </w:t>
      </w:r>
      <w:r>
        <w:rPr>
          <w:rStyle w:val="OperatorTok"/>
        </w:rPr>
        <w:t xml:space="preserve">=</w:t>
      </w:r>
      <w:r>
        <w:rPr>
          <w:rStyle w:val="NormalTok"/>
        </w:rPr>
        <w:t xml:space="preserve"> load_payloads()</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p </w:t>
      </w:r>
      <w:r>
        <w:rPr>
          <w:rStyle w:val="OperatorTok"/>
        </w:rPr>
        <w:t xml:space="preserve">=</w:t>
      </w:r>
      <w:r>
        <w:rPr>
          <w:rStyle w:val="NormalTok"/>
        </w:rPr>
        <w:t xml:space="preserve"> payloads[rec.rid </w:t>
      </w:r>
      <w:r>
        <w:rPr>
          <w:rStyle w:val="OperatorTok"/>
        </w:rPr>
        <w:t xml:space="preserve">%</w:t>
      </w:r>
      <w:r>
        <w:rPr>
          <w:rStyle w:val="NormalTok"/>
        </w:rPr>
        <w:t xml:space="preserve"> </w:t>
      </w:r>
      <w:r>
        <w:rPr>
          <w:rStyle w:val="BuiltInTok"/>
        </w:rPr>
        <w:t xml:space="preserve">len</w:t>
      </w:r>
      <w:r>
        <w:rPr>
          <w:rStyle w:val="NormalTok"/>
        </w:rPr>
        <w:t xml:space="preserve">(payloads)]</w:t>
      </w:r>
      <w:r>
        <w:br/>
      </w:r>
      <w:r>
        <w:rPr>
          <w:rStyle w:val="NormalTok"/>
        </w:rPr>
        <w:t xml:space="preserve">        rec.payload </w:t>
      </w:r>
      <w:r>
        <w:rPr>
          <w:rStyle w:val="OperatorTok"/>
        </w:rPr>
        <w:t xml:space="preserve">=</w:t>
      </w:r>
      <w:r>
        <w:rPr>
          <w:rStyle w:val="NormalTok"/>
        </w:rPr>
        <w:t xml:space="preserve"> p</w:t>
      </w:r>
      <w:r>
        <w:br/>
      </w:r>
      <w:r>
        <w:rPr>
          <w:rStyle w:val="NormalTok"/>
        </w:rPr>
        <w:t xml:space="preserve">        rec.c </w:t>
      </w:r>
      <w:r>
        <w:rPr>
          <w:rStyle w:val="OperatorTok"/>
        </w:rPr>
        <w:t xml:space="preserve">=</w:t>
      </w:r>
      <w:r>
        <w:rPr>
          <w:rStyle w:val="NormalTok"/>
        </w:rPr>
        <w:t xml:space="preserve"> trf.commit(p, rec.salt)     </w:t>
      </w:r>
      <w:r>
        <w:rPr>
          <w:rStyle w:val="CommentTok"/>
        </w:rPr>
        <w:t xml:space="preserve"># recompute commitment over real payload</w:t>
      </w:r>
      <w:r>
        <w:br/>
      </w:r>
      <w:r>
        <w:rPr>
          <w:rStyle w:val="NormalTok"/>
        </w:rPr>
        <w:t xml:space="preserve">        rec.m[</w:t>
      </w:r>
      <w:r>
        <w:rPr>
          <w:rStyle w:val="StringTok"/>
        </w:rPr>
        <w:t xml:space="preserve">"doc_category"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f"PatientSummary/</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rec.sigma </w:t>
      </w:r>
      <w:r>
        <w:rPr>
          <w:rStyle w:val="OperatorTok"/>
        </w:rPr>
        <w:t xml:space="preserve">==</w:t>
      </w:r>
      <w:r>
        <w:rPr>
          <w:rStyle w:val="NormalTok"/>
        </w:rPr>
        <w:t xml:space="preserve"> </w:t>
      </w:r>
      <w:r>
        <w:rPr>
          <w:rStyle w:val="StringTok"/>
        </w:rPr>
        <w:t xml:space="preserve">"primary"</w:t>
      </w:r>
      <w:r>
        <w:br/>
      </w:r>
      <w:r>
        <w:rPr>
          <w:rStyle w:val="NormalTok"/>
        </w:rPr>
        <w:t xml:space="preserve">            </w:t>
      </w:r>
      <w:r>
        <w:rPr>
          <w:rStyle w:val="ControlFlowTok"/>
        </w:rPr>
        <w:t xml:space="preserve">else</w:t>
      </w:r>
      <w:r>
        <w:rPr>
          <w:rStyle w:val="NormalTok"/>
        </w:rPr>
        <w:t xml:space="preserve"> </w:t>
      </w:r>
      <w:r>
        <w:rPr>
          <w:rStyle w:val="SpecialStringTok"/>
        </w:rPr>
        <w:t xml:space="preserve">f"SPE-AccessLog/</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records, n_files, </w:t>
      </w:r>
      <w:r>
        <w:rPr>
          <w:rStyle w:val="BuiltInTok"/>
        </w:rPr>
        <w:t xml:space="preserve">len</w:t>
      </w:r>
      <w:r>
        <w:rPr>
          <w:rStyle w:val="NormalTok"/>
        </w:rPr>
        <w:t xml:space="preserve">(payloads)</w:t>
      </w:r>
      <w:r>
        <w:br/>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"SYNTHEA REALISM LAYER — comparison against constructed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rPr>
          <w:rStyle w:val="NormalTok"/>
        </w:rPr>
        <w:t xml:space="preserve">    base </w:t>
      </w:r>
      <w:r>
        <w:rPr>
          <w:rStyle w:val="OperatorTok"/>
        </w:rPr>
        <w:t xml:space="preserve">=</w:t>
      </w:r>
      <w:r>
        <w:rPr>
          <w:rStyle w:val="NormalTok"/>
        </w:rPr>
        <w:t xml:space="preserve"> trf.generate()</w:t>
      </w:r>
      <w:r>
        <w:br/>
      </w:r>
      <w:r>
        <w:rPr>
          <w:rStyle w:val="NormalTok"/>
        </w:rPr>
        <w:t xml:space="preserve">    real, n_files, n_payloads </w:t>
      </w:r>
      <w:r>
        <w:rPr>
          <w:rStyle w:val="OperatorTok"/>
        </w:rPr>
        <w:t xml:space="preserve">=</w:t>
      </w:r>
      <w:r>
        <w:rPr>
          <w:rStyle w:val="NormalTok"/>
        </w:rPr>
        <w:t xml:space="preserve"> generate_with_synthea()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Synthea bundles read : </w:t>
      </w:r>
      <w:r>
        <w:rPr>
          <w:rStyle w:val="SpecialCharTok"/>
        </w:rPr>
        <w:t xml:space="preserve">{</w:t>
      </w:r>
      <w:r>
        <w:rPr>
          <w:rStyle w:val="NormalTok"/>
        </w:rPr>
        <w:t xml:space="preserve">n_files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f"clinical payloads    : </w:t>
      </w:r>
      <w:r>
        <w:rPr>
          <w:rStyle w:val="SpecialCharTok"/>
        </w:rPr>
        <w:t xml:space="preserve">{</w:t>
      </w:r>
      <w:r>
        <w:rPr>
          <w:rStyle w:val="NormalTok"/>
        </w:rPr>
        <w:t xml:space="preserve">n_payloads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 </w:t>
      </w:r>
      <w:r>
        <w:rPr>
          <w:rStyle w:val="SpecialCha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bytes (mean) : constructed=</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base)</w:t>
      </w:r>
      <w:r>
        <w:rPr>
          <w:rStyle w:val="Operato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synthea=</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real)</w:t>
      </w:r>
      <w:r>
        <w:rPr>
          <w:rStyle w:val="Operato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 recs </w:t>
      </w:r>
      <w:r>
        <w:rPr>
          <w:rStyle w:val="KeywordTok"/>
        </w:rPr>
        <w:t xml:space="preserve">in</w:t>
      </w:r>
      <w:r>
        <w:rPr>
          <w:rStyle w:val="NormalTok"/>
        </w:rPr>
        <w:t xml:space="preserve"> ((</w:t>
      </w:r>
      <w:r>
        <w:rPr>
          <w:rStyle w:val="StringTok"/>
        </w:rPr>
        <w:t xml:space="preserve">"constructed"</w:t>
      </w:r>
      <w:r>
        <w:rPr>
          <w:rStyle w:val="NormalTok"/>
        </w:rPr>
        <w:t xml:space="preserve">, base), (</w:t>
      </w:r>
      <w:r>
        <w:rPr>
          <w:rStyle w:val="StringTok"/>
        </w:rPr>
        <w:t xml:space="preserve">"synthea"</w:t>
      </w:r>
      <w:r>
        <w:rPr>
          <w:rStyle w:val="NormalTok"/>
        </w:rPr>
        <w:t xml:space="preserve">, real)):</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tot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cor12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results[label] </w:t>
      </w:r>
      <w:r>
        <w:rPr>
          <w:rStyle w:val="OperatorTok"/>
        </w:rPr>
        <w:t xml:space="preserve">=</w:t>
      </w:r>
      <w:r>
        <w:rPr>
          <w:rStyle w:val="NormalTok"/>
        </w:rPr>
        <w:t xml:space="preserve"> (n_bad, tot, cor12, n_inv, n_bad2, tot2)</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hdr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'measure'</w:t>
      </w:r>
      <w:r>
        <w:rPr>
          <w:rStyle w:val="SpecialCharTok"/>
        </w:rPr>
        <w:t xml:space="preserve">:&lt;42}{</w:t>
      </w:r>
      <w:r>
        <w:rPr>
          <w:rStyle w:val="StringTok"/>
        </w:rPr>
        <w:t xml:space="preserve">'constructed'</w:t>
      </w:r>
      <w:r>
        <w:rPr>
          <w:rStyle w:val="SpecialCharTok"/>
        </w:rPr>
        <w:t xml:space="preserve">:&gt;15}{</w:t>
      </w:r>
      <w:r>
        <w:rPr>
          <w:rStyle w:val="StringTok"/>
        </w:rPr>
        <w:t xml:space="preserve">'synthea'</w:t>
      </w:r>
      <w:r>
        <w:rPr>
          <w:rStyle w:val="SpecialCharTok"/>
        </w:rPr>
        <w:t xml:space="preserve">:&gt;15}</w:t>
      </w:r>
      <w:r>
        <w:rPr>
          <w:rStyle w:val="SpecialStringTok"/>
        </w:rPr>
        <w:t xml:space="preserve">"</w:t>
      </w:r>
      <w:r>
        <w:br/>
      </w:r>
      <w:r>
        <w:rPr>
          <w:rStyle w:val="NormalTok"/>
        </w:rPr>
        <w:t xml:space="preserve">    </w:t>
      </w:r>
      <w:r>
        <w:rPr>
          <w:rStyle w:val="BuiltInTok"/>
        </w:rPr>
        <w:t xml:space="preserve">print</w:t>
      </w:r>
      <w:r>
        <w:rPr>
          <w:rStyle w:val="NormalTok"/>
        </w:rPr>
        <w:t xml:space="preserve">(hdr)</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"Semantics I: records with violation"</w:t>
      </w:r>
      <w:r>
        <w:rPr>
          <w:rStyle w:val="NormalTok"/>
        </w:rPr>
        <w:t xml:space="preserve">,</w:t>
      </w:r>
      <w:r>
        <w:br/>
      </w:r>
      <w:r>
        <w:rPr>
          <w:rStyle w:val="NormalTok"/>
        </w:rPr>
        <w:t xml:space="preserve">             </w:t>
      </w:r>
      <w:r>
        <w:rPr>
          <w:rStyle w:val="StringTok"/>
        </w:rPr>
        <w:t xml:space="preserve">"Semantics I: total violations"</w:t>
      </w:r>
      <w:r>
        <w:rPr>
          <w:rStyle w:val="NormalTok"/>
        </w:rPr>
        <w:t xml:space="preserve">,</w:t>
      </w:r>
      <w:r>
        <w:br/>
      </w:r>
      <w:r>
        <w:rPr>
          <w:rStyle w:val="NormalTok"/>
        </w:rPr>
        <w:t xml:space="preserve">             </w:t>
      </w:r>
      <w:r>
        <w:rPr>
          <w:rStyle w:val="StringTok"/>
        </w:rPr>
        <w:t xml:space="preserve">"Corollary 1.2 witnesses (no request)"</w:t>
      </w:r>
      <w:r>
        <w:rPr>
          <w:rStyle w:val="NormalTok"/>
        </w:rPr>
        <w:t xml:space="preserve">,</w:t>
      </w:r>
      <w:r>
        <w:br/>
      </w:r>
      <w:r>
        <w:rPr>
          <w:rStyle w:val="NormalTok"/>
        </w:rPr>
        <w:t xml:space="preserve">             </w:t>
      </w:r>
      <w:r>
        <w:rPr>
          <w:rStyle w:val="StringTok"/>
        </w:rPr>
        <w:t xml:space="preserve">"Records invalidated"</w:t>
      </w:r>
      <w:r>
        <w:rPr>
          <w:rStyle w:val="NormalTok"/>
        </w:rPr>
        <w:t xml:space="preserve">,</w:t>
      </w:r>
      <w:r>
        <w:br/>
      </w:r>
      <w:r>
        <w:rPr>
          <w:rStyle w:val="NormalTok"/>
        </w:rPr>
        <w:t xml:space="preserve">             </w:t>
      </w:r>
      <w:r>
        <w:rPr>
          <w:rStyle w:val="StringTok"/>
        </w:rPr>
        <w:t xml:space="preserve">"Semantics II: records with violation"</w:t>
      </w:r>
      <w:r>
        <w:rPr>
          <w:rStyle w:val="NormalTok"/>
        </w:rPr>
        <w:t xml:space="preserve">,</w:t>
      </w:r>
      <w:r>
        <w:br/>
      </w:r>
      <w:r>
        <w:rPr>
          <w:rStyle w:val="NormalTok"/>
        </w:rPr>
        <w:t xml:space="preserve">             </w:t>
      </w:r>
      <w:r>
        <w:rPr>
          <w:rStyle w:val="StringTok"/>
        </w:rPr>
        <w:t xml:space="preserve">"Semantics II: total violations"</w:t>
      </w:r>
      <w:r>
        <w:rPr>
          <w:rStyle w:val="NormalTok"/>
        </w:rPr>
        <w:t xml:space="preserve">]</w:t>
      </w:r>
      <w:r>
        <w:br/>
      </w:r>
      <w:r>
        <w:rPr>
          <w:rStyle w:val="NormalTok"/>
        </w:rPr>
        <w:t xml:space="preserve">    identical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i, nm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 b </w:t>
      </w:r>
      <w:r>
        <w:rPr>
          <w:rStyle w:val="OperatorTok"/>
        </w:rPr>
        <w:t xml:space="preserve">=</w:t>
      </w:r>
      <w:r>
        <w:rPr>
          <w:rStyle w:val="NormalTok"/>
        </w:rPr>
        <w:t xml:space="preserve"> results[</w:t>
      </w:r>
      <w:r>
        <w:rPr>
          <w:rStyle w:val="StringTok"/>
        </w:rPr>
        <w:t xml:space="preserve">"constructed"</w:t>
      </w:r>
      <w:r>
        <w:rPr>
          <w:rStyle w:val="NormalTok"/>
        </w:rPr>
        <w:t xml:space="preserve">][i], results[</w:t>
      </w:r>
      <w:r>
        <w:rPr>
          <w:rStyle w:val="StringTok"/>
        </w:rPr>
        <w:t xml:space="preserve">"synthea"</w:t>
      </w:r>
      <w:r>
        <w:rPr>
          <w:rStyle w:val="NormalTok"/>
        </w:rPr>
        <w:t xml:space="preserve">][i]</w:t>
      </w:r>
      <w:r>
        <w:br/>
      </w:r>
      <w:r>
        <w:rPr>
          <w:rStyle w:val="NormalTok"/>
        </w:rPr>
        <w:t xml:space="preserve">        flag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ControlFlowTok"/>
        </w:rPr>
        <w:t xml:space="preserve">else</w:t>
      </w:r>
      <w:r>
        <w:rPr>
          <w:rStyle w:val="NormalTok"/>
        </w:rPr>
        <w:t xml:space="preserve"> </w:t>
      </w:r>
      <w:r>
        <w:rPr>
          <w:rStyle w:val="StringTok"/>
        </w:rPr>
        <w:t xml:space="preserve">"   &lt;-- DIFFERS"</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identical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nm</w:t>
      </w:r>
      <w:r>
        <w:rPr>
          <w:rStyle w:val="SpecialCharTok"/>
        </w:rPr>
        <w:t xml:space="preserve">:&lt;42}{</w:t>
      </w:r>
      <w:r>
        <w:rPr>
          <w:rStyle w:val="NormalTok"/>
        </w:rPr>
        <w:t xml:space="preserve">a</w:t>
      </w:r>
      <w:r>
        <w:rPr>
          <w:rStyle w:val="SpecialCharTok"/>
        </w:rPr>
        <w:t xml:space="preserve">:&gt;15}{</w:t>
      </w:r>
      <w:r>
        <w:rPr>
          <w:rStyle w:val="NormalTok"/>
        </w:rPr>
        <w:t xml:space="preserve">b</w:t>
      </w:r>
      <w:r>
        <w:rPr>
          <w:rStyle w:val="SpecialCharTok"/>
        </w:rPr>
        <w:t xml:space="preserve">:&gt;15}{</w:t>
      </w:r>
      <w:r>
        <w:rPr>
          <w:rStyle w:val="NormalTok"/>
        </w:rPr>
        <w:t xml:space="preserve">flag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rPr>
          <w:rStyle w:val="NormalTok"/>
        </w:rPr>
        <w:t xml:space="preserve">    </w:t>
      </w:r>
      <w:r>
        <w:rPr>
          <w:rStyle w:val="CommentTok"/>
        </w:rPr>
        <w:t xml:space="preserve"># commitments must differ - different payloads, same salts</w:t>
      </w:r>
      <w:r>
        <w:br/>
      </w:r>
      <w:r>
        <w:rPr>
          <w:rStyle w:val="NormalTok"/>
        </w:rPr>
        <w:t xml:space="preserve">    diff_c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(base, real) </w:t>
      </w:r>
      <w:r>
        <w:rPr>
          <w:rStyle w:val="ControlFlowTok"/>
        </w:rPr>
        <w:t xml:space="preserve">if</w:t>
      </w:r>
      <w:r>
        <w:rPr>
          <w:rStyle w:val="NormalTok"/>
        </w:rPr>
        <w:t xml:space="preserve"> x.c </w:t>
      </w:r>
      <w:r>
        <w:rPr>
          <w:rStyle w:val="OperatorTok"/>
        </w:rPr>
        <w:t xml:space="preserve">!=</w:t>
      </w:r>
      <w:r>
        <w:rPr>
          <w:rStyle w:val="NormalTok"/>
        </w:rPr>
        <w:t xml:space="preserve"> y.c)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commitments differing between the two runs: </w:t>
      </w:r>
      <w:r>
        <w:rPr>
          <w:rStyle w:val="SpecialCharTok"/>
        </w:rPr>
        <w:t xml:space="preserve">{</w:t>
      </w:r>
      <w:r>
        <w:rPr>
          <w:rStyle w:val="NormalTok"/>
        </w:rPr>
        <w:t xml:space="preserve">diff_c</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(expected </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 — same salt, different payload)"</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if</w:t>
      </w:r>
      <w:r>
        <w:rPr>
          <w:rStyle w:val="NormalTok"/>
        </w:rPr>
        <w:t xml:space="preserve"> identical </w:t>
      </w:r>
      <w:r>
        <w:rPr>
          <w:rStyle w:val="KeywordTok"/>
        </w:rPr>
        <w:t xml:space="preserve">and</w:t>
      </w:r>
      <w:r>
        <w:rPr>
          <w:rStyle w:val="NormalTok"/>
        </w:rPr>
        <w:t xml:space="preserve"> diff_c </w:t>
      </w:r>
      <w:r>
        <w:rPr>
          <w:rStyle w:val="OperatorTok"/>
        </w:rPr>
        <w:t xml:space="preserve">==</w:t>
      </w:r>
      <w:r>
        <w:rPr>
          <w:rStyle w:val="NormalTok"/>
        </w:rPr>
        <w:t xml:space="preserve"> </w:t>
      </w:r>
      <w:r>
        <w:rPr>
          <w:rStyle w:val="BuiltInTok"/>
        </w:rPr>
        <w:t xml:space="preserve">len</w:t>
      </w:r>
      <w:r>
        <w:rPr>
          <w:rStyle w:val="NormalTok"/>
        </w:rPr>
        <w:t xml:space="preserve">(base):</w:t>
      </w:r>
      <w:r>
        <w:br/>
      </w:r>
      <w:r>
        <w:rPr>
          <w:rStyle w:val="NormalTok"/>
        </w:rPr>
        <w:t xml:space="preserve">        </w:t>
      </w:r>
      <w:r>
        <w:rPr>
          <w:rStyle w:val="BuiltInTok"/>
        </w:rPr>
        <w:t xml:space="preserve">print</w:t>
      </w:r>
      <w:r>
        <w:rPr>
          <w:rStyle w:val="NormalTok"/>
        </w:rPr>
        <w:t xml:space="preserve">(</w:t>
      </w:r>
      <w:r>
        <w:rPr>
          <w:rStyle w:val="StringTok"/>
        </w:rPr>
        <w:t xml:space="preserve">"RESULT: every reported figure is IDENTICAL under real FHIR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"while every commitment differs. The model reads timing, not content."</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 DIVERGENCE DETECTED — investigate before reporting."</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1"/>
    <w:bookmarkStart w:id="122" w:name="a.9b-source-listing-norwegian_layer.py"/>
    <w:p>
      <w:pPr>
        <w:pStyle w:val="Heading2"/>
      </w:pPr>
      <w:r>
        <w:t xml:space="preserve">A.9b Source listing:</w:t>
      </w:r>
      <w:r>
        <w:t xml:space="preserve"> </w:t>
      </w:r>
      <w:r>
        <w:rPr>
          <w:rStyle w:val="VerbatimChar"/>
        </w:rPr>
        <w:t xml:space="preserve">norwegian_layer.py</w:t>
      </w:r>
    </w:p>
    <w:p>
      <w:pPr>
        <w:pStyle w:val="FirstParagraph"/>
      </w:pPr>
      <w:r>
        <w:t xml:space="preserve">The Norwegian context module, reproduced as executed. It imports</w:t>
      </w:r>
      <w:r>
        <w:t xml:space="preserve"> </w:t>
      </w:r>
      <w:r>
        <w:rPr>
          <w:rStyle w:val="VerbatimChar"/>
        </w:rPr>
        <w:t xml:space="preserve">trf_checker.py</w:t>
      </w:r>
      <w:r>
        <w:t xml:space="preserve"> </w:t>
      </w:r>
      <w:r>
        <w:t xml:space="preserve">without modifying it and changes nothing the thesis reports: it varies only the retention floor, the pathway, and the arrival of erasure requests and permit expiries. Line count: 135.</w:t>
      </w:r>
    </w:p>
    <w:p>
      <w:pPr>
        <w:pStyle w:val="SourceCode"/>
      </w:pPr>
      <w:r>
        <w:rPr>
          <w:rStyle w:val="CommentTok"/>
        </w:rPr>
        <w:t xml:space="preserve">"""</w:t>
      </w:r>
      <w:r>
        <w:br/>
      </w:r>
      <w:r>
        <w:rPr>
          <w:rStyle w:val="CommentTok"/>
        </w:rPr>
        <w:t xml:space="preserve">Norwegian context layer for the TRF feasibility checker</w:t>
      </w:r>
      <w:r>
        <w:br/>
      </w:r>
      <w:r>
        <w:rPr>
          <w:rStyle w:val="CommentTok"/>
        </w:rPr>
        <w:t xml:space="preserve">=======================================================</w:t>
      </w:r>
      <w:r>
        <w:br/>
      </w:r>
      <w:r>
        <w:rPr>
          <w:rStyle w:val="CommentTok"/>
        </w:rPr>
        <w:t xml:space="preserve">PLUG-AND-PLAY. This module imports trf_checker unmodified and adds record</w:t>
      </w:r>
      <w:r>
        <w:br/>
      </w:r>
      <w:r>
        <w:rPr>
          <w:rStyle w:val="CommentTok"/>
        </w:rPr>
        <w:t xml:space="preserve">classes shaped by the Norwegian implementation context. It changes nothing the</w:t>
      </w:r>
      <w:r>
        <w:br/>
      </w:r>
      <w:r>
        <w:rPr>
          <w:rStyle w:val="CommentTok"/>
        </w:rPr>
        <w:t xml:space="preserve">thesis depends on: `python3 trf_checker.py` still reproduces 95/90/39/0/138.</w:t>
      </w:r>
      <w:r>
        <w:br/>
      </w:r>
      <w:r>
        <w:br/>
      </w:r>
      <w:r>
        <w:rPr>
          <w:rStyle w:val="CommentTok"/>
        </w:rPr>
        <w:t xml:space="preserve">What it varies is what the model actually reads: the retention floor F(a), the</w:t>
      </w:r>
      <w:r>
        <w:br/>
      </w:r>
      <w:r>
        <w:rPr>
          <w:rStyle w:val="CommentTok"/>
        </w:rPr>
        <w:t xml:space="preserve">pathway, and the arrival of erasure requests and permit expiries. It does NOT</w:t>
      </w:r>
      <w:r>
        <w:br/>
      </w:r>
      <w:r>
        <w:rPr>
          <w:rStyle w:val="CommentTok"/>
        </w:rPr>
        <w:t xml:space="preserve">claim that Norwegian payloads change any result — Chapter 5 shows the results</w:t>
      </w:r>
      <w:r>
        <w:br/>
      </w:r>
      <w:r>
        <w:rPr>
          <w:rStyle w:val="CommentTok"/>
        </w:rPr>
        <w:t xml:space="preserve">are invariant to payload content, and that invariance is why the illustrative</w:t>
      </w:r>
      <w:r>
        <w:br/>
      </w:r>
      <w:r>
        <w:rPr>
          <w:rStyle w:val="CommentTok"/>
        </w:rPr>
        <w:t xml:space="preserve">payloads below are safe to use.</w:t>
      </w:r>
      <w:r>
        <w:br/>
      </w:r>
      <w:r>
        <w:br/>
      </w:r>
      <w:r>
        <w:rPr>
          <w:rStyle w:val="CommentTok"/>
        </w:rPr>
        <w:t xml:space="preserve">Classes</w:t>
      </w:r>
      <w:r>
        <w:br/>
      </w:r>
      <w:r>
        <w:rPr>
          <w:rStyle w:val="CommentTok"/>
        </w:rPr>
        <w:t xml:space="preserve">  NO-XB      Cross-border audit record at the Norwegian NCPeH. Inbound patient</w:t>
      </w:r>
      <w:r>
        <w:br/>
      </w:r>
      <w:r>
        <w:rPr>
          <w:rStyle w:val="CommentTok"/>
        </w:rPr>
        <w:t xml:space="preserve">             summary from PT/CZ/FI to a legevakt (Bodo, Stjordal).</w:t>
      </w:r>
      <w:r>
        <w:br/>
      </w:r>
      <w:r>
        <w:rPr>
          <w:rStyle w:val="CommentTok"/>
        </w:rPr>
        <w:t xml:space="preserve">             F = 120 months (eHDSI deployment baseline).</w:t>
      </w:r>
      <w:r>
        <w:br/>
      </w:r>
      <w:r>
        <w:rPr>
          <w:rStyle w:val="CommentTok"/>
        </w:rPr>
        <w:t xml:space="preserve">  NO-SPE     Secure Processing Environment access log, Helsedataservice permit,</w:t>
      </w:r>
      <w:r>
        <w:br/>
      </w:r>
      <w:r>
        <w:rPr>
          <w:rStyle w:val="CommentTok"/>
        </w:rPr>
        <w:t xml:space="preserve">             processing in a NORTRE node. F = 12 (Art 73(1)(e)),</w:t>
      </w:r>
      <w:r>
        <w:br/>
      </w:r>
      <w:r>
        <w:rPr>
          <w:rStyle w:val="CommentTok"/>
        </w:rPr>
        <w:t xml:space="preserve">             ceiling 6 months after permit expiry (Art 68(12)).</w:t>
      </w:r>
      <w:r>
        <w:br/>
      </w:r>
      <w:r>
        <w:rPr>
          <w:rStyle w:val="CommentTok"/>
        </w:rPr>
        <w:t xml:space="preserve">  NO-JOURNAL Audit record tied to a patient record held under Norwegian law.</w:t>
      </w:r>
      <w:r>
        <w:br/>
      </w:r>
      <w:r>
        <w:rPr>
          <w:rStyle w:val="CommentTok"/>
        </w:rPr>
        <w:t xml:space="preserve">             Floor is INDEFINITE: pasientjournalloven s 25 and journalforskriften</w:t>
      </w:r>
      <w:r>
        <w:br/>
      </w:r>
      <w:r>
        <w:rPr>
          <w:rStyle w:val="CommentTok"/>
        </w:rPr>
        <w:t xml:space="preserve">             s 14 require retention until, given the character of the health care,</w:t>
      </w:r>
      <w:r>
        <w:br/>
      </w:r>
      <w:r>
        <w:rPr>
          <w:rStyle w:val="CommentTok"/>
        </w:rPr>
        <w:t xml:space="preserve">             the record is no longer assumed to be needed; archive law may then</w:t>
      </w:r>
      <w:r>
        <w:br/>
      </w:r>
      <w:r>
        <w:rPr>
          <w:rStyle w:val="CommentTok"/>
        </w:rPr>
        <w:t xml:space="preserve">             preserve it. There is no number in the primary sources, so none is</w:t>
      </w:r>
      <w:r>
        <w:br/>
      </w:r>
      <w:r>
        <w:rPr>
          <w:rStyle w:val="CommentTok"/>
        </w:rPr>
        <w:t xml:space="preserve">             invented here. For computation the indefinite floor is truncated at</w:t>
      </w:r>
      <w:r>
        <w:br/>
      </w:r>
      <w:r>
        <w:rPr>
          <w:rStyle w:val="CommentTok"/>
        </w:rPr>
        <w:t xml:space="preserve">             HORIZON_INDEFINITE months and labelled as a truncation.</w:t>
      </w:r>
      <w:r>
        <w:br/>
      </w:r>
      <w:r>
        <w:br/>
      </w:r>
      <w:r>
        <w:rPr>
          <w:rStyle w:val="CommentTok"/>
        </w:rPr>
        <w:t xml:space="preserve">Run:  python3 norwegian_layer.py</w:t>
      </w:r>
      <w:r>
        <w:br/>
      </w:r>
      <w:r>
        <w:rPr>
          <w:rStyle w:val="CommentTok"/>
        </w:rPr>
        <w:t xml:space="preserve">"""</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r>
      <w:r>
        <w:br/>
      </w:r>
      <w:r>
        <w:rPr>
          <w:rStyle w:val="NormalTok"/>
        </w:rPr>
        <w:t xml:space="preserve">HORIZON_INDEFINITE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50 years; a computation bound, NOT a legal period</w:t>
      </w:r>
      <w:r>
        <w:br/>
      </w:r>
      <w:r>
        <w:rPr>
          <w:rStyle w:val="NormalTok"/>
        </w:rPr>
        <w:t xml:space="preserve">SEED </w:t>
      </w:r>
      <w:r>
        <w:rPr>
          <w:rStyle w:val="OperatorTok"/>
        </w:rPr>
        <w:t xml:space="preserve">=</w:t>
      </w:r>
      <w:r>
        <w:rPr>
          <w:rStyle w:val="NormalTok"/>
        </w:rPr>
        <w:t xml:space="preserve"> trf.SEED</w:t>
      </w:r>
      <w:r>
        <w:br/>
      </w:r>
      <w:r>
        <w:br/>
      </w:r>
      <w:r>
        <w:rPr>
          <w:rStyle w:val="NormalTok"/>
        </w:rPr>
        <w:t xml:space="preserve">NCPS </w:t>
      </w:r>
      <w:r>
        <w:rPr>
          <w:rStyle w:val="OperatorTok"/>
        </w:rPr>
        <w:t xml:space="preserve">=</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w:t>
      </w:r>
      <w:r>
        <w:br/>
      </w:r>
      <w:r>
        <w:rPr>
          <w:rStyle w:val="NormalTok"/>
        </w:rPr>
        <w:t xml:space="preserve">SITES </w:t>
      </w:r>
      <w:r>
        <w:rPr>
          <w:rStyle w:val="OperatorTok"/>
        </w:rPr>
        <w:t xml:space="preserve">=</w:t>
      </w:r>
      <w:r>
        <w:rPr>
          <w:rStyle w:val="NormalTok"/>
        </w:rPr>
        <w:t xml:space="preserve"> [</w:t>
      </w:r>
      <w:r>
        <w:rPr>
          <w:rStyle w:val="StringTok"/>
        </w:rPr>
        <w:t xml:space="preserve">"Bodo legevakt"</w:t>
      </w:r>
      <w:r>
        <w:rPr>
          <w:rStyle w:val="NormalTok"/>
        </w:rPr>
        <w:t xml:space="preserve">, </w:t>
      </w:r>
      <w:r>
        <w:rPr>
          <w:rStyle w:val="StringTok"/>
        </w:rPr>
        <w:t xml:space="preserve">"Stjordal legevakt"</w:t>
      </w:r>
      <w:r>
        <w:rPr>
          <w:rStyle w:val="NormalTok"/>
        </w:rPr>
        <w:t xml:space="preserve">]</w:t>
      </w:r>
      <w:r>
        <w:br/>
      </w:r>
      <w:r>
        <w:rPr>
          <w:rStyle w:val="NormalTok"/>
        </w:rPr>
        <w:t xml:space="preserve">NODES </w:t>
      </w:r>
      <w:r>
        <w:rPr>
          <w:rStyle w:val="OperatorTok"/>
        </w:rPr>
        <w:t xml:space="preserve">=</w:t>
      </w:r>
      <w:r>
        <w:rPr>
          <w:rStyle w:val="NormalTok"/>
        </w:rPr>
        <w:t xml:space="preserve"> [</w:t>
      </w:r>
      <w:r>
        <w:rPr>
          <w:rStyle w:val="StringTok"/>
        </w:rPr>
        <w:t xml:space="preserve">"TSD (UiO)"</w:t>
      </w:r>
      <w:r>
        <w:rPr>
          <w:rStyle w:val="NormalTok"/>
        </w:rPr>
        <w:t xml:space="preserve">, </w:t>
      </w:r>
      <w:r>
        <w:rPr>
          <w:rStyle w:val="StringTok"/>
        </w:rPr>
        <w:t xml:space="preserve">"SAFE (UiB)"</w:t>
      </w:r>
      <w:r>
        <w:rPr>
          <w:rStyle w:val="NormalTok"/>
        </w:rPr>
        <w:t xml:space="preserve">, </w:t>
      </w:r>
      <w:r>
        <w:rPr>
          <w:rStyle w:val="StringTok"/>
        </w:rPr>
        <w:t xml:space="preserve">"HUNT Cloud (NTNU)"</w:t>
      </w:r>
      <w:r>
        <w:rPr>
          <w:rStyle w:val="NormalTok"/>
        </w:rPr>
        <w:t xml:space="preserve">, </w:t>
      </w:r>
      <w:r>
        <w:rPr>
          <w:rStyle w:val="StringTok"/>
        </w:rPr>
        <w:t xml:space="preserve">"controller-provided server"</w:t>
      </w:r>
      <w:r>
        <w:rPr>
          <w:rStyle w:val="NormalTok"/>
        </w:rPr>
        <w:t xml:space="preserve">]</w:t>
      </w:r>
      <w:r>
        <w:br/>
      </w:r>
      <w:r>
        <w:br/>
      </w:r>
      <w:r>
        <w:br/>
      </w:r>
      <w:r>
        <w:rPr>
          <w:rStyle w:val="KeywordTok"/>
        </w:rPr>
        <w:t xml:space="preserve">def</w:t>
      </w:r>
      <w:r>
        <w:rPr>
          <w:rStyle w:val="NormalTok"/>
        </w:rPr>
        <w:t xml:space="preserve"> _xb_payload(rid, rng):</w:t>
      </w:r>
      <w:r>
        <w:br/>
      </w:r>
      <w:r>
        <w:rPr>
          <w:rStyle w:val="NormalTok"/>
        </w:rPr>
        <w:t xml:space="preserve">    </w:t>
      </w:r>
      <w:r>
        <w:rPr>
          <w:rStyle w:val="CommentTok"/>
        </w:rPr>
        <w:t xml:space="preserve">"""Stands for the ITI-55 QueryByParameter segment an ATNA record carries:</w:t>
      </w:r>
      <w:r>
        <w:br/>
      </w:r>
      <w:r>
        <w:rPr>
          <w:rStyle w:val="CommentTok"/>
        </w:rPr>
        <w:t xml:space="preserve">    the demographics typed into patient discovery. Constructed, not real."""</w:t>
      </w:r>
      <w:r>
        <w:br/>
      </w:r>
      <w:r>
        <w:rPr>
          <w:rStyle w:val="NormalTok"/>
        </w:rPr>
        <w:t xml:space="preserve">    </w:t>
      </w:r>
      <w:r>
        <w:rPr>
          <w:rStyle w:val="ControlFlowTok"/>
        </w:rPr>
        <w:t xml:space="preserve">return</w:t>
      </w:r>
      <w:r>
        <w:rPr>
          <w:rStyle w:val="NormalTok"/>
        </w:rPr>
        <w:t xml:space="preserve"> (</w:t>
      </w:r>
      <w:r>
        <w:rPr>
          <w:rStyle w:val="SpecialStringTok"/>
        </w:rPr>
        <w:t xml:space="preserve">f"&lt;ITI-55 QueryByParameter base64&gt; name=SYN-</w:t>
      </w:r>
      <w:r>
        <w:rPr>
          <w:rStyle w:val="SpecialCharTok"/>
        </w:rPr>
        <w:t xml:space="preserve">{</w:t>
      </w:r>
      <w:r>
        <w:rPr>
          <w:rStyle w:val="NormalTok"/>
        </w:rPr>
        <w:t xml:space="preserve">rid</w:t>
      </w:r>
      <w:r>
        <w:rPr>
          <w:rStyle w:val="SpecialCharTok"/>
        </w:rPr>
        <w:t xml:space="preserve">:04d}</w:t>
      </w:r>
      <w:r>
        <w:rPr>
          <w:rStyle w:val="SpecialStringTok"/>
        </w:rPr>
        <w:t xml:space="preserve"> "</w:t>
      </w:r>
      <w:r>
        <w:br/>
      </w:r>
      <w:r>
        <w:rPr>
          <w:rStyle w:val="NormalTok"/>
        </w:rPr>
        <w:t xml:space="preserve">            </w:t>
      </w:r>
      <w:r>
        <w:rPr>
          <w:rStyle w:val="SpecialStringTok"/>
        </w:rPr>
        <w:t xml:space="preserve">f"birthTime=19</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40</w:t>
      </w:r>
      <w:r>
        <w:rPr>
          <w:rStyle w:val="NormalTok"/>
        </w:rPr>
        <w:t xml:space="preserve">,</w:t>
      </w:r>
      <w:r>
        <w:rPr>
          <w:rStyle w:val="DecValTok"/>
        </w:rPr>
        <w:t xml:space="preserve">99</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12</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28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f"gender=</w:t>
      </w:r>
      <w:r>
        <w:rPr>
          <w:rStyle w:val="SpecialCharTok"/>
        </w:rPr>
        <w:t xml:space="preserve">{</w:t>
      </w:r>
      <w:r>
        <w:rPr>
          <w:rStyle w:val="NormalTok"/>
        </w:rPr>
        <w:t xml:space="preserve">rng</w:t>
      </w:r>
      <w:r>
        <w:rPr>
          <w:rStyle w:val="SpecialCharTok"/>
        </w:rPr>
        <w:t xml:space="preserve">.</w:t>
      </w:r>
      <w:r>
        <w:rPr>
          <w:rStyle w:val="NormalTok"/>
        </w:rPr>
        <w:t xml:space="preserve">choice(</w:t>
      </w:r>
      <w:r>
        <w:rPr>
          <w:rStyle w:val="StringTok"/>
        </w:rPr>
        <w:t xml:space="preserve">'MF'</w:t>
      </w:r>
      <w:r>
        <w:rPr>
          <w:rStyle w:val="NormalTok"/>
        </w:rPr>
        <w:t xml:space="preserve">)</w:t>
      </w:r>
      <w:r>
        <w:rPr>
          <w:rStyle w:val="SpecialCharTok"/>
        </w:rPr>
        <w:t xml:space="preserve">}</w:t>
      </w:r>
      <w:r>
        <w:rPr>
          <w:rStyle w:val="SpecialStringTok"/>
        </w:rPr>
        <w:t xml:space="preserve"> addr=NO-</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1000</w:t>
      </w:r>
      <w:r>
        <w:rPr>
          <w:rStyle w:val="NormalTok"/>
        </w:rPr>
        <w:t xml:space="preserve">,</w:t>
      </w:r>
      <w:r>
        <w:rPr>
          <w:rStyle w:val="DecValTok"/>
        </w:rPr>
        <w:t xml:space="preserve">9999</w:t>
      </w:r>
      <w:r>
        <w:rPr>
          <w:rStyle w:val="NormalTok"/>
        </w:rPr>
        <w:t xml:space="preserve">)</w:t>
      </w:r>
      <w:r>
        <w:rPr>
          <w:rStyle w:val="SpecialCharTok"/>
        </w:rPr>
        <w:t xml:space="preserve">}</w:t>
      </w:r>
      <w:r>
        <w:rPr>
          <w:rStyle w:val="SpecialStringTok"/>
        </w:rPr>
        <w:t xml:space="preserve">"</w:t>
      </w:r>
      <w:r>
        <w:rPr>
          <w:rStyle w:val="NormalTok"/>
        </w:rPr>
        <w:t xml:space="preserve">).encode()</w:t>
      </w:r>
      <w:r>
        <w:br/>
      </w:r>
      <w:r>
        <w:br/>
      </w:r>
      <w:r>
        <w:br/>
      </w:r>
      <w:r>
        <w:rPr>
          <w:rStyle w:val="KeywordTok"/>
        </w:rPr>
        <w:t xml:space="preserve">def</w:t>
      </w:r>
      <w:r>
        <w:rPr>
          <w:rStyle w:val="NormalTok"/>
        </w:rPr>
        <w:t xml:space="preserve"> _spe_payload(rid, rng):</w:t>
      </w:r>
      <w:r>
        <w:br/>
      </w:r>
      <w:r>
        <w:rPr>
          <w:rStyle w:val="NormalTok"/>
        </w:rPr>
        <w:t xml:space="preserve">    </w:t>
      </w:r>
      <w:r>
        <w:rPr>
          <w:rStyle w:val="ControlFlowTok"/>
        </w:rPr>
        <w:t xml:space="preserve">return</w:t>
      </w:r>
      <w:r>
        <w:rPr>
          <w:rStyle w:val="NormalTok"/>
        </w:rPr>
        <w:t xml:space="preserve"> (</w:t>
      </w:r>
      <w:r>
        <w:rPr>
          <w:rStyle w:val="SpecialStringTok"/>
        </w:rPr>
        <w:t xml:space="preserve">f"&lt;SPE activity log&gt; query=SELECT diagnosis,birthyear FROM permit-"</w:t>
      </w:r>
      <w:r>
        <w:br/>
      </w:r>
      <w:r>
        <w:rPr>
          <w:rStyle w:val="NormalTok"/>
        </w:rPr>
        <w:t xml:space="preserve">            </w:t>
      </w:r>
      <w:r>
        <w:rPr>
          <w:rStyle w:val="SpecialStringTok"/>
        </w:rPr>
        <w:t xml:space="preserve">f"</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2026</w:t>
      </w:r>
      <w:r>
        <w:rPr>
          <w:rStyle w:val="NormalTok"/>
        </w:rPr>
        <w:t xml:space="preserve">,</w:t>
      </w:r>
      <w:r>
        <w:rPr>
          <w:rStyle w:val="DecValTok"/>
        </w:rPr>
        <w:t xml:space="preserve">2031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rid</w:t>
      </w:r>
      <w:r>
        <w:rPr>
          <w:rStyle w:val="SpecialCharTok"/>
        </w:rPr>
        <w:t xml:space="preserve">:04d}</w:t>
      </w:r>
      <w:r>
        <w:rPr>
          <w:rStyle w:val="SpecialStringTok"/>
        </w:rPr>
        <w:t xml:space="preserve"> rows=</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50</w:t>
      </w:r>
      <w:r>
        <w:rPr>
          <w:rStyle w:val="NormalTok"/>
        </w:rPr>
        <w:t xml:space="preserve">,</w:t>
      </w:r>
      <w:r>
        <w:rPr>
          <w:rStyle w:val="DecValTok"/>
        </w:rPr>
        <w:t xml:space="preserve">5000</w:t>
      </w:r>
      <w:r>
        <w:rPr>
          <w:rStyle w:val="NormalTok"/>
        </w:rPr>
        <w:t xml:space="preserve">)</w:t>
      </w:r>
      <w:r>
        <w:rPr>
          <w:rStyle w:val="SpecialCharTok"/>
        </w:rPr>
        <w:t xml:space="preserve">}</w:t>
      </w:r>
      <w:r>
        <w:rPr>
          <w:rStyle w:val="SpecialStringTok"/>
        </w:rPr>
        <w:t xml:space="preserve">"</w:t>
      </w:r>
      <w:r>
        <w:rPr>
          <w:rStyle w:val="NormalTok"/>
        </w:rPr>
        <w:t xml:space="preserve">).encode()</w:t>
      </w:r>
      <w:r>
        <w:br/>
      </w:r>
      <w:r>
        <w:br/>
      </w:r>
      <w:r>
        <w:br/>
      </w:r>
      <w:r>
        <w:rPr>
          <w:rStyle w:val="KeywordTok"/>
        </w:rPr>
        <w:t xml:space="preserve">def</w:t>
      </w:r>
      <w:r>
        <w:rPr>
          <w:rStyle w:val="NormalTok"/>
        </w:rPr>
        <w:t xml:space="preserve"> build(n_xb</w:t>
      </w:r>
      <w:r>
        <w:rPr>
          <w:rStyle w:val="OperatorTok"/>
        </w:rPr>
        <w:t xml:space="preserve">=</w:t>
      </w:r>
      <w:r>
        <w:rPr>
          <w:rStyle w:val="DecValTok"/>
        </w:rPr>
        <w:t xml:space="preserve">60</w:t>
      </w:r>
      <w:r>
        <w:rPr>
          <w:rStyle w:val="NormalTok"/>
        </w:rPr>
        <w:t xml:space="preserve">, n_spe</w:t>
      </w:r>
      <w:r>
        <w:rPr>
          <w:rStyle w:val="OperatorTok"/>
        </w:rPr>
        <w:t xml:space="preserve">=</w:t>
      </w:r>
      <w:r>
        <w:rPr>
          <w:rStyle w:val="DecValTok"/>
        </w:rPr>
        <w:t xml:space="preserve">60</w:t>
      </w:r>
      <w:r>
        <w:rPr>
          <w:rStyle w:val="NormalTok"/>
        </w:rPr>
        <w:t xml:space="preserve">, n_journal</w:t>
      </w:r>
      <w:r>
        <w:rPr>
          <w:rStyle w:val="OperatorTok"/>
        </w:rPr>
        <w:t xml:space="preserve">=</w:t>
      </w:r>
      <w:r>
        <w:rPr>
          <w:rStyle w:val="DecValTok"/>
        </w:rPr>
        <w:t xml:space="preserve">40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rid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(n_xb):                                   </w:t>
      </w:r>
      <w:r>
        <w:rPr>
          <w:rStyle w:val="CommentTok"/>
        </w:rPr>
        <w:t xml:space="preserve"># NO-XB</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trf.FLOOR_XBORDER,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"NO-XB"</w:t>
      </w:r>
      <w:r>
        <w:rPr>
          <w:rStyle w:val="NormalTok"/>
        </w:rPr>
        <w:t xml:space="preserve">, </w:t>
      </w:r>
      <w:r>
        <w:rPr>
          <w:rStyle w:val="StringTok"/>
        </w:rPr>
        <w:t xml:space="preserve">"site"</w:t>
      </w:r>
      <w:r>
        <w:rPr>
          <w:rStyle w:val="NormalTok"/>
        </w:rPr>
        <w:t xml:space="preserve">: rng.choice(SITES),</w:t>
      </w:r>
      <w:r>
        <w:br/>
      </w:r>
      <w:r>
        <w:rPr>
          <w:rStyle w:val="NormalTok"/>
        </w:rPr>
        <w:t xml:space="preserve">                    </w:t>
      </w:r>
      <w:r>
        <w:rPr>
          <w:rStyle w:val="StringTok"/>
        </w:rPr>
        <w:t xml:space="preserve">"ncp"</w:t>
      </w:r>
      <w:r>
        <w:rPr>
          <w:rStyle w:val="NormalTok"/>
        </w:rPr>
        <w:t xml:space="preserve">: rng.choice(NCPS), </w:t>
      </w:r>
      <w:r>
        <w:rPr>
          <w:rStyle w:val="StringTok"/>
        </w:rPr>
        <w:t xml:space="preserve">"doc_category"</w:t>
      </w:r>
      <w:r>
        <w:rPr>
          <w:rStyle w:val="NormalTok"/>
        </w:rPr>
        <w:t xml:space="preserve">: </w:t>
      </w:r>
      <w:r>
        <w:rPr>
          <w:rStyle w:val="StringTok"/>
        </w:rPr>
        <w:t xml:space="preserve">"PatientSummary (inbound)"</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(n_spe):                                  </w:t>
      </w:r>
      <w:r>
        <w:rPr>
          <w:rStyle w:val="CommentTok"/>
        </w:rPr>
        <w:t xml:space="preserve"># NO-SPE</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trf.FLOOR_SPE, </w:t>
      </w:r>
      <w:r>
        <w:rPr>
          <w:rStyle w:val="StringTok"/>
        </w:rPr>
        <w:t xml:space="preserve">"secondary"</w:t>
      </w:r>
      <w:r>
        <w:rPr>
          <w:rStyle w:val="NormalTok"/>
        </w:rPr>
        <w:t xml:space="preserve">, _spe_payload(rid, rng),</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"NO-SPE"</w:t>
      </w:r>
      <w:r>
        <w:rPr>
          <w:rStyle w:val="NormalTok"/>
        </w:rPr>
        <w:t xml:space="preserve">, </w:t>
      </w:r>
      <w:r>
        <w:rPr>
          <w:rStyle w:val="StringTok"/>
        </w:rPr>
        <w:t xml:space="preserve">"node"</w:t>
      </w:r>
      <w:r>
        <w:rPr>
          <w:rStyle w:val="NormalTok"/>
        </w:rPr>
        <w:t xml:space="preserve">: rng.choice(NODES),</w:t>
      </w:r>
      <w:r>
        <w:br/>
      </w:r>
      <w:r>
        <w:rPr>
          <w:rStyle w:val="NormalTok"/>
        </w:rPr>
        <w:t xml:space="preserve">                    </w:t>
      </w:r>
      <w:r>
        <w:rPr>
          <w:rStyle w:val="StringTok"/>
        </w:rPr>
        <w:t xml:space="preserve">"doc_category"</w:t>
      </w:r>
      <w:r>
        <w:rPr>
          <w:rStyle w:val="NormalTok"/>
        </w:rPr>
        <w:t xml:space="preserve">: </w:t>
      </w:r>
      <w:r>
        <w:rPr>
          <w:rStyle w:val="StringTok"/>
        </w:rPr>
        <w:t xml:space="preserve">"SPE-ActivityLog"</w:t>
      </w:r>
      <w:r>
        <w:rPr>
          <w:rStyle w:val="NormalTok"/>
        </w:rPr>
        <w:t xml:space="preserve">, </w:t>
      </w:r>
      <w:r>
        <w:rPr>
          <w:rStyle w:val="StringTok"/>
        </w:rPr>
        <w:t xml:space="preserve">"legal_basis"</w:t>
      </w:r>
      <w:r>
        <w:rPr>
          <w:rStyle w:val="NormalTok"/>
        </w:rPr>
        <w:t xml:space="preserve">: </w:t>
      </w:r>
      <w:r>
        <w:rPr>
          <w:rStyle w:val="StringTok"/>
        </w:rPr>
        <w:t xml:space="preserve">"DataPermit (Helsedataservice)"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(n_journal):                              </w:t>
      </w:r>
      <w:r>
        <w:rPr>
          <w:rStyle w:val="CommentTok"/>
        </w:rPr>
        <w:t xml:space="preserve"># NO-JOURNAL</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240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HORIZON_INDEFINITE,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"NO-JOURNAL"</w:t>
      </w:r>
      <w:r>
        <w:rPr>
          <w:rStyle w:val="NormalTok"/>
        </w:rPr>
        <w:t xml:space="preserve">, </w:t>
      </w:r>
      <w:r>
        <w:rPr>
          <w:rStyle w:val="StringTok"/>
        </w:rPr>
        <w:t xml:space="preserve">"doc_category"</w:t>
      </w:r>
      <w:r>
        <w:rPr>
          <w:rStyle w:val="NormalTok"/>
        </w:rPr>
        <w:t xml:space="preserve">: </w:t>
      </w:r>
      <w:r>
        <w:rPr>
          <w:rStyle w:val="StringTok"/>
        </w:rPr>
        <w:t xml:space="preserve">"JournalAccess"</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"pasientjournalloven s 25 (purpose-based, indefinite)"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recs</w:t>
      </w:r>
      <w:r>
        <w:br/>
      </w:r>
      <w:r>
        <w:br/>
      </w:r>
      <w:r>
        <w:br/>
      </w:r>
      <w:r>
        <w:rPr>
          <w:rStyle w:val="KeywordTok"/>
        </w:rPr>
        <w:t xml:space="preserve">def</w:t>
      </w:r>
      <w:r>
        <w:rPr>
          <w:rStyle w:val="NormalTok"/>
        </w:rPr>
        <w:t xml:space="preserve"> run(recs, label</w:t>
      </w:r>
      <w:r>
        <w:rPr>
          <w:rStyle w:val="OperatorTok"/>
        </w:rPr>
        <w:t xml:space="preserve">=</w:t>
      </w:r>
      <w:r>
        <w:rPr>
          <w:rStyle w:val="StringTok"/>
        </w:rPr>
        <w:t xml:space="preserve">"NORWEGIAN LAYER"</w:t>
      </w:r>
      <w:r>
        <w:rPr>
          <w:rStyle w:val="NormalTok"/>
        </w:rPr>
        <w:t xml:space="preserve">):</w:t>
      </w:r>
      <w:r>
        <w:br/>
      </w:r>
      <w:r>
        <w:rPr>
          <w:rStyle w:val="NormalTok"/>
        </w:rPr>
        <w:t xml:space="preserve">    klasser </w:t>
      </w:r>
      <w:r>
        <w:rPr>
          <w:rStyle w:val="OperatorTok"/>
        </w:rPr>
        <w:t xml:space="preserve">=</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(label.center(</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'class'</w:t>
      </w:r>
      <w:r>
        <w:rPr>
          <w:rStyle w:val="SpecialCharTok"/>
        </w:rPr>
        <w:t xml:space="preserve">:&lt;12}{</w:t>
      </w:r>
      <w:r>
        <w:rPr>
          <w:rStyle w:val="StringTok"/>
        </w:rPr>
        <w:t xml:space="preserve">'n'</w:t>
      </w:r>
      <w:r>
        <w:rPr>
          <w:rStyle w:val="SpecialCharTok"/>
        </w:rPr>
        <w:t xml:space="preserve">:&gt;5}{</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'invalidated'</w:t>
      </w:r>
      <w:r>
        <w:rPr>
          <w:rStyle w:val="SpecialCharTok"/>
        </w:rPr>
        <w:t xml:space="preserve">:&gt;13}{</w:t>
      </w:r>
      <w:r>
        <w:rPr>
          <w:rStyle w:val="StringTok"/>
        </w:rPr>
        <w:t xml:space="preserve">'SemII viol'</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klasser:</w:t>
      </w:r>
      <w:r>
        <w:br/>
      </w:r>
      <w:r>
        <w:rPr>
          <w:rStyle w:val="NormalTok"/>
        </w:rPr>
        <w:t xml:space="preserve">        sub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:&lt;12}{</w:t>
      </w:r>
      <w:r>
        <w:rPr>
          <w:rStyle w:val="BuiltInTok"/>
        </w:rPr>
        <w:t xml:space="preserve">len</w:t>
      </w:r>
      <w:r>
        <w:rPr>
          <w:rStyle w:val="NormalTok"/>
        </w:rPr>
        <w:t xml:space="preserve">(sub)</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(v1[r.rid])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(v2[r.rid])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'TOTAL'</w:t>
      </w:r>
      <w:r>
        <w:rPr>
          <w:rStyle w:val="SpecialCharTok"/>
        </w:rPr>
        <w:t xml:space="preserve">:&lt;12}{</w:t>
      </w:r>
      <w:r>
        <w:rPr>
          <w:rStyle w:val="BuiltInTok"/>
        </w:rPr>
        <w:t xml:space="preserve">len</w:t>
      </w:r>
      <w:r>
        <w:rPr>
          <w:rStyle w:val="NormalTok"/>
        </w:rPr>
        <w:t xml:space="preserve">(recs)</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v1, v2</w:t>
      </w:r>
      <w:r>
        <w:br/>
      </w:r>
      <w:r>
        <w:br/>
      </w:r>
      <w:r>
        <w:br/>
      </w:r>
      <w:r>
        <w:rPr>
          <w:rStyle w:val="KeywordTok"/>
        </w:rPr>
        <w:t xml:space="preserve">def</w:t>
      </w:r>
      <w:r>
        <w:rPr>
          <w:rStyle w:val="NormalTok"/>
        </w:rPr>
        <w:t xml:space="preserve"> walkthrough(recs, v1):</w:t>
      </w:r>
      <w:r>
        <w:br/>
      </w:r>
      <w:r>
        <w:rPr>
          <w:rStyle w:val="NormalTok"/>
        </w:rPr>
        <w:t xml:space="preserve">    </w:t>
      </w:r>
      <w:r>
        <w:rPr>
          <w:rStyle w:val="CommentTok"/>
        </w:rPr>
        <w:t xml:space="preserve">"""One record per class, shown end to end: which obligation binds, where it</w:t>
      </w:r>
      <w:r>
        <w:br/>
      </w:r>
      <w:r>
        <w:rPr>
          <w:rStyle w:val="CommentTok"/>
        </w:rPr>
        <w:t xml:space="preserve">    collides, and what an auditor is left with after invalidation."""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"CASE WALKTHROUGHS"</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 </w:t>
      </w:r>
      <w:r>
        <w:rPr>
          <w:rStyle w:val="KeywordTok"/>
        </w:rPr>
        <w:t xml:space="preserve">and</w:t>
      </w:r>
      <w:r>
        <w:rPr>
          <w:rStyle w:val="NormalTok"/>
        </w:rPr>
        <w:t xml:space="preserve"> v1[r.rid]]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no infeasible record under Semantics I in this draw."</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'site'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'node'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tringTok"/>
        </w:rPr>
        <w:t xml:space="preserve">'legal_basis'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floor    :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[indefinite, truncated]"</w:t>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"NO-JOURNAL"</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erasure  : </w:t>
      </w:r>
      <w:r>
        <w:rPr>
          <w:rStyle w:val="SpecialCharTok"/>
        </w:rPr>
        <w:t xml:space="preserve">{</w:t>
      </w:r>
      <w:r>
        <w:rPr>
          <w:rStyle w:val="StringTok"/>
        </w:rPr>
        <w:t xml:space="preserve">'none'</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t_r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(r.t_r) </w:t>
      </w:r>
      <w:r>
        <w:rPr>
          <w:rStyle w:val="OperatorTok"/>
        </w:rPr>
        <w:t xml:space="preserve">+</w:t>
      </w:r>
      <w:r>
        <w:rPr>
          <w:rStyle w:val="NormalTok"/>
        </w:rPr>
        <w:t xml:space="preserve"> </w:t>
      </w:r>
      <w:r>
        <w:rPr>
          <w:rStyle w:val="StringTok"/>
        </w:rPr>
        <w:t xml:space="preserve">' -&gt; deadline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ceiling  : </w:t>
      </w:r>
      <w:r>
        <w:rPr>
          <w:rStyle w:val="SpecialCharTok"/>
        </w:rPr>
        <w:t xml:space="preserve">{</w:t>
      </w:r>
      <w:r>
        <w:rPr>
          <w:rStyle w:val="StringTok"/>
        </w:rPr>
        <w:t xml:space="preserve">'n/a'</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ceiling_deadline()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't_pi='</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(r.t_pi)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collision: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invalidation -&gt; metadata intact=</w:t>
      </w:r>
      <w:r>
        <w:rPr>
          <w:rStyle w:val="SpecialCharTok"/>
        </w:rPr>
        <w:t xml:space="preserve">{</w:t>
      </w:r>
      <w:r>
        <w:rPr>
          <w:rStyle w:val="BuiltInTok"/>
        </w:rPr>
        <w:t xml:space="preserve">bool</w:t>
      </w:r>
      <w:r>
        <w:rPr>
          <w:rStyle w:val="NormalTok"/>
        </w:rPr>
        <w:t xml:space="preserve">(r.m)</w:t>
      </w:r>
      <w:r>
        <w:rPr>
          <w:rStyle w:val="SpecialCharTok"/>
        </w:rPr>
        <w:t xml:space="preserve">}</w:t>
      </w:r>
      <w:r>
        <w:rPr>
          <w:rStyle w:val="SpecialStringTok"/>
        </w:rPr>
        <w:t xml:space="preserve">, commitment=</w:t>
      </w:r>
      <w:r>
        <w:rPr>
          <w:rStyle w:val="SpecialCharTok"/>
        </w:rPr>
        <w:t xml:space="preserve">{</w:t>
      </w:r>
      <w:r>
        <w:rPr>
          <w:rStyle w:val="NormalTok"/>
        </w:rPr>
        <w:t xml:space="preserve">r</w:t>
      </w:r>
      <w:r>
        <w:rPr>
          <w:rStyle w:val="SpecialCharTok"/>
        </w:rPr>
        <w:t xml:space="preserve">.</w:t>
      </w:r>
      <w:r>
        <w:rPr>
          <w:rStyle w:val="NormalTok"/>
        </w:rPr>
        <w:t xml:space="preserve">c[:</w:t>
      </w:r>
      <w:r>
        <w:rPr>
          <w:rStyle w:val="DecValTok"/>
        </w:rPr>
        <w:t xml:space="preserve">16</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f"key=</w:t>
      </w:r>
      <w:r>
        <w:rPr>
          <w:rStyle w:val="SpecialCharTok"/>
        </w:rPr>
        <w:t xml:space="preserve">{</w:t>
      </w:r>
      <w:r>
        <w:rPr>
          <w:rStyle w:val="NormalTok"/>
        </w:rPr>
        <w:t xml:space="preserve">r</w:t>
      </w:r>
      <w:r>
        <w:rPr>
          <w:rStyle w:val="SpecialCharTok"/>
        </w:rPr>
        <w:t xml:space="preserve">.</w:t>
      </w:r>
      <w:r>
        <w:rPr>
          <w:rStyle w:val="NormalTok"/>
        </w:rPr>
        <w:t xml:space="preserve">k</w:t>
      </w:r>
      <w:r>
        <w:rPr>
          <w:rStyle w:val="SpecialCharTok"/>
        </w:rPr>
        <w:t xml:space="preserve">}</w:t>
      </w:r>
      <w:r>
        <w:rPr>
          <w:rStyle w:val="SpecialStringTok"/>
        </w:rPr>
        <w:t xml:space="preserve">, salt=</w:t>
      </w:r>
      <w:r>
        <w:rPr>
          <w:rStyle w:val="SpecialCharTok"/>
        </w:rPr>
        <w:t xml:space="preserve">{</w:t>
      </w:r>
      <w:r>
        <w:rPr>
          <w:rStyle w:val="NormalTok"/>
        </w:rPr>
        <w:t xml:space="preserve">r</w:t>
      </w:r>
      <w:r>
        <w:rPr>
          <w:rStyle w:val="SpecialCharTok"/>
        </w:rPr>
        <w:t xml:space="preserve">.</w:t>
      </w:r>
      <w:r>
        <w:rPr>
          <w:rStyle w:val="NormalTok"/>
        </w:rPr>
        <w:t xml:space="preserve">salt</w:t>
      </w:r>
      <w:r>
        <w:rPr>
          <w:rStyle w:val="SpecialCharTok"/>
        </w:rPr>
        <w:t xml:space="preserve">}</w:t>
      </w:r>
      <w:r>
        <w:rPr>
          <w:rStyle w:val="SpecialStringTok"/>
        </w:rPr>
        <w:t xml:space="preserve">, ground=</w:t>
      </w:r>
      <w:r>
        <w:rPr>
          <w:rStyle w:val="SpecialCharTok"/>
        </w:rPr>
        <w:t xml:space="preserve">{</w:t>
      </w:r>
      <w:r>
        <w:rPr>
          <w:rStyle w:val="NormalTok"/>
        </w:rPr>
        <w:t xml:space="preserve">r</w:t>
      </w:r>
      <w:r>
        <w:rPr>
          <w:rStyle w:val="SpecialCharTok"/>
        </w:rPr>
        <w:t xml:space="preserve">.</w:t>
      </w:r>
      <w:r>
        <w:rPr>
          <w:rStyle w:val="NormalTok"/>
        </w:rPr>
        <w:t xml:space="preserve">iota[</w:t>
      </w:r>
      <w:r>
        <w:rPr>
          <w:rStyle w:val="StringTok"/>
        </w:rPr>
        <w:t xml:space="preserve">'ground'</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iota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recs </w:t>
      </w:r>
      <w:r>
        <w:rPr>
          <w:rStyle w:val="OperatorTok"/>
        </w:rPr>
        <w:t xml:space="preserve">=</w:t>
      </w:r>
      <w:r>
        <w:rPr>
          <w:rStyle w:val="NormalTok"/>
        </w:rPr>
        <w:t xml:space="preserve"> build()</w:t>
      </w:r>
      <w:r>
        <w:br/>
      </w:r>
      <w:r>
        <w:rPr>
          <w:rStyle w:val="NormalTok"/>
        </w:rPr>
        <w:t xml:space="preserve">    v1, _ </w:t>
      </w:r>
      <w:r>
        <w:rPr>
          <w:rStyle w:val="OperatorTok"/>
        </w:rPr>
        <w:t xml:space="preserve">=</w:t>
      </w:r>
      <w:r>
        <w:rPr>
          <w:rStyle w:val="NormalTok"/>
        </w:rPr>
        <w:t xml:space="preserve"> run(recs)</w:t>
      </w:r>
      <w:r>
        <w:br/>
      </w:r>
      <w:r>
        <w:rPr>
          <w:rStyle w:val="NormalTok"/>
        </w:rPr>
        <w:t xml:space="preserve">    walkthrough(recs, v1)</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Note: figures above are illustrative of the Norwegian setting, not"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"empirical. The canonical result of the thesis is unchanged and 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"reproduced by running trf_checker.py on its own."</w:t>
      </w:r>
      <w:r>
        <w:rPr>
          <w:rStyle w:val="NormalTok"/>
        </w:rPr>
        <w:t xml:space="preserve">)</w:t>
      </w:r>
    </w:p>
    <w:p>
      <w:r>
        <w:pict>
          <v:rect style="width:0;height:1.5pt" o:hralign="center" o:hrstd="t" o:hr="t"/>
        </w:pict>
      </w:r>
    </w:p>
    <w:bookmarkEnd w:id="122"/>
    <w:bookmarkStart w:id="123" w:name="Xb5e1a7f44206e1f0d2f4000221d9e91ddbc2eaa"/>
    <w:p>
      <w:pPr>
        <w:pStyle w:val="Heading2"/>
      </w:pPr>
      <w:r>
        <w:t xml:space="preserve">A.9c Source listing:</w:t>
      </w:r>
      <w:r>
        <w:t xml:space="preserve"> </w:t>
      </w:r>
      <w:r>
        <w:rPr>
          <w:rStyle w:val="VerbatimChar"/>
        </w:rPr>
        <w:t xml:space="preserve">cross_sector_check.py</w:t>
      </w:r>
    </w:p>
    <w:p>
      <w:pPr>
        <w:pStyle w:val="FirstParagraph"/>
      </w:pPr>
      <w:r>
        <w:t xml:space="preserve">The cross-sector instance discussed in Chapter 6, Section 6.9. It takes the floor and ceiling of politiregisterloven § 17 and runs them through the same unmodified model. Line count: 110.</w:t>
      </w:r>
    </w:p>
    <w:p>
      <w:pPr>
        <w:pStyle w:val="SourceCode"/>
      </w:pPr>
      <w:r>
        <w:rPr>
          <w:rStyle w:val="CommentTok"/>
        </w:rPr>
        <w:t xml:space="preserve">"""</w:t>
      </w:r>
      <w:r>
        <w:br/>
      </w:r>
      <w:r>
        <w:rPr>
          <w:rStyle w:val="CommentTok"/>
        </w:rPr>
        <w:t xml:space="preserve">Cross-sector instance: Norwegian police register logs</w:t>
      </w:r>
      <w:r>
        <w:br/>
      </w:r>
      <w:r>
        <w:rPr>
          <w:rStyle w:val="CommentTok"/>
        </w:rPr>
        <w:t xml:space="preserve">=====================================================</w:t>
      </w:r>
      <w:r>
        <w:br/>
      </w:r>
      <w:r>
        <w:rPr>
          <w:rStyle w:val="CommentTok"/>
        </w:rPr>
        <w:t xml:space="preserve">PLUG-AND-PLAY. Imports trf_checker unmodified.</w:t>
      </w:r>
      <w:r>
        <w:br/>
      </w:r>
      <w:r>
        <w:br/>
      </w:r>
      <w:r>
        <w:rPr>
          <w:rStyle w:val="CommentTok"/>
        </w:rPr>
        <w:t xml:space="preserve">Why this exists. Chapter 6 s 6.9 and Chapter 7 s 7.5 say the structure the TRF</w:t>
      </w:r>
      <w:r>
        <w:br/>
      </w:r>
      <w:r>
        <w:rPr>
          <w:rStyle w:val="CommentTok"/>
        </w:rPr>
        <w:t xml:space="preserve">Model captures — a retention floor, a subject-triggered erasure right, and a</w:t>
      </w:r>
      <w:r>
        <w:br/>
      </w:r>
      <w:r>
        <w:rPr>
          <w:rStyle w:val="CommentTok"/>
        </w:rPr>
        <w:t xml:space="preserve">deletion ceiling — is probably not specific to health, and flag the question as</w:t>
      </w:r>
      <w:r>
        <w:br/>
      </w:r>
      <w:r>
        <w:rPr>
          <w:rStyle w:val="CommentTok"/>
        </w:rPr>
        <w:t xml:space="preserve">uninvestigated. Norwegian law supplies a genuine instance outside health.</w:t>
      </w:r>
      <w:r>
        <w:br/>
      </w:r>
      <w:r>
        <w:br/>
      </w:r>
      <w:r>
        <w:rPr>
          <w:rStyle w:val="CommentTok"/>
        </w:rPr>
        <w:t xml:space="preserve">  Politiregisterloven (LOV-2010-05-28-16) s 17, kravet til sporbarhet:</w:t>
      </w:r>
      <w:r>
        <w:br/>
      </w:r>
      <w:r>
        <w:rPr>
          <w:rStyle w:val="CommentTok"/>
        </w:rPr>
        <w:t xml:space="preserve">    information about use of the system shall be registered and stored for at</w:t>
      </w:r>
      <w:r>
        <w:br/>
      </w:r>
      <w:r>
        <w:rPr>
          <w:rStyle w:val="CommentTok"/>
        </w:rPr>
        <w:t xml:space="preserve">    least 1 year and deleted at the latest after 3 years.</w:t>
      </w:r>
      <w:r>
        <w:br/>
      </w:r>
      <w:r>
        <w:rPr>
          <w:rStyle w:val="CommentTok"/>
        </w:rPr>
        <w:t xml:space="preserve">  Politiregisterforskriften (FOR-2013-09-20-1097) ch. 40 mirrors this:</w:t>
      </w:r>
      <w:r>
        <w:br/>
      </w:r>
      <w:r>
        <w:rPr>
          <w:rStyle w:val="CommentTok"/>
        </w:rPr>
        <w:t xml:space="preserve">    deleted at the earliest after 1 year and at the latest after 3 years.</w:t>
      </w:r>
      <w:r>
        <w:br/>
      </w:r>
      <w:r>
        <w:rPr>
          <w:rStyle w:val="CommentTok"/>
        </w:rPr>
        <w:t xml:space="preserve">  Politiregisterloven s 50-51 give the registered person rights to correction,</w:t>
      </w:r>
      <w:r>
        <w:br/>
      </w:r>
      <w:r>
        <w:rPr>
          <w:rStyle w:val="CommentTok"/>
        </w:rPr>
        <w:t xml:space="preserve">    blocking and deletion of information no longer necessary for the purpose.</w:t>
      </w:r>
      <w:r>
        <w:br/>
      </w:r>
      <w:r>
        <w:br/>
      </w:r>
      <w:r>
        <w:rPr>
          <w:rStyle w:val="CommentTok"/>
        </w:rPr>
        <w:t xml:space="preserve">That is a floor of 12 months and a ceiling of 36 months on the SAME log, plus a</w:t>
      </w:r>
      <w:r>
        <w:br/>
      </w:r>
      <w:r>
        <w:rPr>
          <w:rStyle w:val="CommentTok"/>
        </w:rPr>
        <w:t xml:space="preserve">subject-triggered right: the tri-lateral structure, in another sector, in</w:t>
      </w:r>
      <w:r>
        <w:br/>
      </w:r>
      <w:r>
        <w:rPr>
          <w:rStyle w:val="CommentTok"/>
        </w:rPr>
        <w:t xml:space="preserve">national law.</w:t>
      </w:r>
      <w:r>
        <w:br/>
      </w:r>
      <w:r>
        <w:br/>
      </w:r>
      <w:r>
        <w:rPr>
          <w:rStyle w:val="CommentTok"/>
        </w:rPr>
        <w:t xml:space="preserve">THE RESULT IS NOT THE ONE EXPECTED, AND IT IS THE MORE USEFUL ONE. Running the</w:t>
      </w:r>
      <w:r>
        <w:br/>
      </w:r>
      <w:r>
        <w:rPr>
          <w:rStyle w:val="CommentTok"/>
        </w:rPr>
        <w:t xml:space="preserve">model on this instance produces NO structural collision at all: the floor ends</w:t>
      </w:r>
      <w:r>
        <w:br/>
      </w:r>
      <w:r>
        <w:rPr>
          <w:rStyle w:val="CommentTok"/>
        </w:rPr>
        <w:t xml:space="preserve">at t_a + 12 and the ceiling bites at t_a + 36, so the provision defines a</w:t>
      </w:r>
      <w:r>
        <w:br/>
      </w:r>
      <w:r>
        <w:rPr>
          <w:rStyle w:val="CommentTok"/>
        </w:rPr>
        <w:t xml:space="preserve">bounded retention window rather than a contradiction. The Norwegian legislator</w:t>
      </w:r>
      <w:r>
        <w:br/>
      </w:r>
      <w:r>
        <w:rPr>
          <w:rStyle w:val="CommentTok"/>
        </w:rPr>
        <w:t xml:space="preserve">ordered the two limbs. Collisions appear only where an erasure request lands</w:t>
      </w:r>
      <w:r>
        <w:br/>
      </w:r>
      <w:r>
        <w:rPr>
          <w:rStyle w:val="CommentTok"/>
        </w:rPr>
        <w:t xml:space="preserve">inside the window.</w:t>
      </w:r>
      <w:r>
        <w:br/>
      </w:r>
      <w:r>
        <w:br/>
      </w:r>
      <w:r>
        <w:rPr>
          <w:rStyle w:val="CommentTok"/>
        </w:rPr>
        <w:t xml:space="preserve">That isolates what is defective about the EHDS pair. There the ceiling is</w:t>
      </w:r>
      <w:r>
        <w:br/>
      </w:r>
      <w:r>
        <w:rPr>
          <w:rStyle w:val="CommentTok"/>
        </w:rPr>
        <w:t xml:space="preserve">anchored to an EXTERNAL event, the expiry of the data permit, which can fall</w:t>
      </w:r>
      <w:r>
        <w:br/>
      </w:r>
      <w:r>
        <w:rPr>
          <w:rStyle w:val="CommentTok"/>
        </w:rPr>
        <w:t xml:space="preserve">before the floor on a log written late in the permit. A floor and a ceiling on</w:t>
      </w:r>
      <w:r>
        <w:br/>
      </w:r>
      <w:r>
        <w:rPr>
          <w:rStyle w:val="CommentTok"/>
        </w:rPr>
        <w:t xml:space="preserve">the same record are compatible when the instrument orders them from the same</w:t>
      </w:r>
      <w:r>
        <w:br/>
      </w:r>
      <w:r>
        <w:rPr>
          <w:rStyle w:val="CommentTok"/>
        </w:rPr>
        <w:t xml:space="preserve">origin, and collide when one is anchored elsewhere. The contribution of the</w:t>
      </w:r>
      <w:r>
        <w:br/>
      </w:r>
      <w:r>
        <w:rPr>
          <w:rStyle w:val="CommentTok"/>
        </w:rPr>
        <w:t xml:space="preserve">thesis is therefore not that floors and ceilings conflict in general; it is that</w:t>
      </w:r>
      <w:r>
        <w:br/>
      </w:r>
      <w:r>
        <w:rPr>
          <w:rStyle w:val="CommentTok"/>
        </w:rPr>
        <w:t xml:space="preserve">they conflict when their origins differ, which is the EHDS case.</w:t>
      </w:r>
      <w:r>
        <w:br/>
      </w:r>
      <w:r>
        <w:br/>
      </w:r>
      <w:r>
        <w:rPr>
          <w:rStyle w:val="CommentTok"/>
        </w:rPr>
        <w:t xml:space="preserve">Two further differences from the EHDS case are stated rather than hidden:</w:t>
      </w:r>
      <w:r>
        <w:br/>
      </w:r>
      <w:r>
        <w:rPr>
          <w:rStyle w:val="CommentTok"/>
        </w:rPr>
        <w:t xml:space="preserve">  1. The ceiling here runs from the log's own creation, not from the expiry of a</w:t>
      </w:r>
      <w:r>
        <w:br/>
      </w:r>
      <w:r>
        <w:rPr>
          <w:rStyle w:val="CommentTok"/>
        </w:rPr>
        <w:t xml:space="preserve">     permit. It is modelled by setting t_pi so that the ceiling lands at</w:t>
      </w:r>
      <w:r>
        <w:br/>
      </w:r>
      <w:r>
        <w:rPr>
          <w:rStyle w:val="CommentTok"/>
        </w:rPr>
        <w:t xml:space="preserve">     t_a + 36 (the checker computes ceiling = t_pi + 6).</w:t>
      </w:r>
      <w:r>
        <w:br/>
      </w:r>
      <w:r>
        <w:rPr>
          <w:rStyle w:val="CommentTok"/>
        </w:rPr>
        <w:t xml:space="preserve">  2. The ceiling attaches to the whole record, not only to a payload inside it.</w:t>
      </w:r>
      <w:r>
        <w:br/>
      </w:r>
      <w:r>
        <w:rPr>
          <w:rStyle w:val="CommentTok"/>
        </w:rPr>
        <w:t xml:space="preserve">     Under Semantics II the metadata cannot survive it, so the terminal</w:t>
      </w:r>
      <w:r>
        <w:br/>
      </w:r>
      <w:r>
        <w:rPr>
          <w:rStyle w:val="CommentTok"/>
        </w:rPr>
        <w:t xml:space="preserve">     transition of Chapter 4 s 4.8 is what discharges the ceiling here, at</w:t>
      </w:r>
      <w:r>
        <w:br/>
      </w:r>
      <w:r>
        <w:rPr>
          <w:rStyle w:val="CommentTok"/>
        </w:rPr>
        <w:t xml:space="preserve">     t_a + 36 rather than at floor expiry. This module reports the collision;</w:t>
      </w:r>
      <w:r>
        <w:br/>
      </w:r>
      <w:r>
        <w:rPr>
          <w:rStyle w:val="CommentTok"/>
        </w:rPr>
        <w:t xml:space="preserve">     it does not claim the mechanism transfers unchanged.</w:t>
      </w:r>
      <w:r>
        <w:br/>
      </w:r>
      <w:r>
        <w:br/>
      </w:r>
      <w:r>
        <w:rPr>
          <w:rStyle w:val="CommentTok"/>
        </w:rPr>
        <w:t xml:space="preserve">Run:  python3 cross_sector_check.py</w:t>
      </w:r>
      <w:r>
        <w:br/>
      </w:r>
      <w:r>
        <w:rPr>
          <w:rStyle w:val="CommentTok"/>
        </w:rPr>
        <w:t xml:space="preserve">"""</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r>
      <w:r>
        <w:br/>
      </w:r>
      <w:r>
        <w:rPr>
          <w:rStyle w:val="NormalTok"/>
        </w:rPr>
        <w:t xml:space="preserve">FLOOR_POLITI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politiregisterloven s 17: at least 1 year</w:t>
      </w:r>
      <w:r>
        <w:br/>
      </w:r>
      <w:r>
        <w:rPr>
          <w:rStyle w:val="NormalTok"/>
        </w:rPr>
        <w:t xml:space="preserve">CEILING_POLITI </w:t>
      </w:r>
      <w:r>
        <w:rPr>
          <w:rStyle w:val="OperatorTok"/>
        </w:rPr>
        <w:t xml:space="preserve">=</w:t>
      </w:r>
      <w:r>
        <w:rPr>
          <w:rStyle w:val="NormalTok"/>
        </w:rPr>
        <w:t xml:space="preserve"> </w:t>
      </w:r>
      <w:r>
        <w:rPr>
          <w:rStyle w:val="DecValTok"/>
        </w:rPr>
        <w:t xml:space="preserve">36</w:t>
      </w:r>
      <w:r>
        <w:rPr>
          <w:rStyle w:val="NormalTok"/>
        </w:rPr>
        <w:t xml:space="preserve">    </w:t>
      </w:r>
      <w:r>
        <w:rPr>
          <w:rStyle w:val="CommentTok"/>
        </w:rPr>
        <w:t xml:space="preserve"># politiregisterloven s 17: deleted at the latest after 3 years</w:t>
      </w:r>
      <w:r>
        <w:br/>
      </w:r>
      <w:r>
        <w:br/>
      </w:r>
      <w:r>
        <w:br/>
      </w:r>
      <w:r>
        <w:rPr>
          <w:rStyle w:val="KeywordTok"/>
        </w:rPr>
        <w:t xml:space="preserve">def</w:t>
      </w:r>
      <w:r>
        <w:rPr>
          <w:rStyle w:val="NormalTok"/>
        </w:rPr>
        <w:t xml:space="preserve"> build(n</w:t>
      </w:r>
      <w:r>
        <w:rPr>
          <w:rStyle w:val="OperatorTok"/>
        </w:rPr>
        <w:t xml:space="preserve">=</w:t>
      </w:r>
      <w:r>
        <w:rPr>
          <w:rStyle w:val="DecValTok"/>
        </w:rPr>
        <w:t xml:space="preserve">60</w:t>
      </w:r>
      <w:r>
        <w:rPr>
          <w:rStyle w:val="NormalTok"/>
        </w:rPr>
        <w:t xml:space="preserve">, seed</w:t>
      </w:r>
      <w:r>
        <w:rPr>
          <w:rStyle w:val="OperatorTok"/>
        </w:rPr>
        <w:t xml:space="preserve">=</w:t>
      </w:r>
      <w:r>
        <w:rPr>
          <w:rStyle w:val="NormalTok"/>
        </w:rPr>
        <w:t xml:space="preserve">trf.SEED):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900</w:t>
      </w:r>
      <w:r>
        <w:rPr>
          <w:rStyle w:val="NormalTok"/>
        </w:rPr>
        <w:t xml:space="preserve">, </w:t>
      </w:r>
      <w:r>
        <w:rPr>
          <w:rStyle w:val="DecValTok"/>
        </w:rPr>
        <w:t xml:space="preserve">900</w:t>
      </w:r>
      <w:r>
        <w:rPr>
          <w:rStyle w:val="NormalTok"/>
        </w:rPr>
        <w:t xml:space="preserve"> </w:t>
      </w:r>
      <w:r>
        <w:rPr>
          <w:rStyle w:val="OperatorTok"/>
        </w:rPr>
        <w:t xml:space="preserve">+</w:t>
      </w:r>
      <w:r>
        <w:rPr>
          <w:rStyle w:val="NormalTok"/>
        </w:rPr>
        <w:t xml:space="preserve"> n):</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ceiling lands at t_a + 36; checker computes t_pi + 6</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CEILING_POLITI </w:t>
      </w:r>
      <w:r>
        <w:rPr>
          <w:rStyle w:val="OperatorTok"/>
        </w:rPr>
        <w:t xml:space="preserve">-</w:t>
      </w:r>
      <w:r>
        <w:rPr>
          <w:rStyle w:val="NormalTok"/>
        </w:rPr>
        <w:t xml:space="preserve"> trf.CEILING</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0.30</w:t>
      </w:r>
      <w:r>
        <w:rPr>
          <w:rStyle w:val="NormalTok"/>
        </w:rPr>
        <w:t xml:space="preserve"> </w:t>
      </w:r>
      <w:r>
        <w:rPr>
          <w:rStyle w:val="ControlFlowTok"/>
        </w:rPr>
        <w:t xml:space="preserve">else</w:t>
      </w:r>
      <w:r>
        <w:rPr>
          <w:rStyle w:val="NormalTok"/>
        </w:rPr>
        <w:t xml:space="preserve"> trf.INF</w:t>
      </w:r>
      <w:r>
        <w:br/>
      </w:r>
      <w:r>
        <w:rPr>
          <w:rStyle w:val="NormalTok"/>
        </w:rPr>
        <w:t xml:space="preserve">        payload </w:t>
      </w:r>
      <w:r>
        <w:rPr>
          <w:rStyle w:val="OperatorTok"/>
        </w:rPr>
        <w:t xml:space="preserve">=</w:t>
      </w:r>
      <w:r>
        <w:rPr>
          <w:rStyle w:val="NormalTok"/>
        </w:rPr>
        <w:t xml:space="preserve"> </w:t>
      </w:r>
      <w:r>
        <w:rPr>
          <w:rStyle w:val="SpecialStringTok"/>
        </w:rPr>
        <w:t xml:space="preserve">f"&lt;politiloggpost&gt; bruker=POL-</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97</w:t>
      </w:r>
      <w:r>
        <w:rPr>
          <w:rStyle w:val="SpecialCharTok"/>
        </w:rPr>
        <w:t xml:space="preserve">:03d}</w:t>
      </w:r>
      <w:r>
        <w:rPr>
          <w:rStyle w:val="SpecialStringTok"/>
        </w:rPr>
        <w:t xml:space="preserve"> oppslag=register"</w:t>
      </w:r>
      <w:r>
        <w:rPr>
          <w:rStyle w:val="NormalTok"/>
        </w:rPr>
        <w:t xml:space="preserve">.encode()</w:t>
      </w:r>
      <w:r>
        <w:br/>
      </w:r>
      <w:r>
        <w:rPr>
          <w:rStyle w:val="NormalTok"/>
        </w:rPr>
        <w:t xml:space="preserve">        r </w:t>
      </w:r>
      <w:r>
        <w:rPr>
          <w:rStyle w:val="OperatorTok"/>
        </w:rPr>
        <w:t xml:space="preserve">=</w:t>
      </w:r>
      <w:r>
        <w:rPr>
          <w:rStyle w:val="NormalTok"/>
        </w:rPr>
        <w:t xml:space="preserve"> trf.Record(rid, t_a, FLOOR_POLITI, </w:t>
      </w:r>
      <w:r>
        <w:rPr>
          <w:rStyle w:val="StringTok"/>
        </w:rPr>
        <w:t xml:space="preserve">"secondary"</w:t>
      </w:r>
      <w:r>
        <w:rPr>
          <w:rStyle w:val="NormalTok"/>
        </w:rPr>
        <w:t xml:space="preserve">, payload,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"POLITI-LOG"</w:t>
      </w:r>
      <w:r>
        <w:rPr>
          <w:rStyle w:val="NormalTok"/>
        </w:rPr>
        <w:t xml:space="preserve">, </w:t>
      </w:r>
      <w:r>
        <w:rPr>
          <w:rStyle w:val="StringTok"/>
        </w:rPr>
        <w:t xml:space="preserve">"doc_category"</w:t>
      </w:r>
      <w:r>
        <w:rPr>
          <w:rStyle w:val="NormalTok"/>
        </w:rPr>
        <w:t xml:space="preserve">: </w:t>
      </w:r>
      <w:r>
        <w:rPr>
          <w:rStyle w:val="StringTok"/>
        </w:rPr>
        <w:t xml:space="preserve">"SystemUseLog"</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"politiregisterloven s 17"</w:t>
      </w:r>
      <w:r>
        <w:rPr>
          <w:rStyle w:val="NormalTok"/>
        </w:rPr>
        <w:t xml:space="preserve">})</w:t>
      </w:r>
      <w:r>
        <w:br/>
      </w:r>
      <w:r>
        <w:rPr>
          <w:rStyle w:val="NormalTok"/>
        </w:rPr>
        <w:t xml:space="preserve">        recs.append(r)</w:t>
      </w:r>
      <w:r>
        <w:br/>
      </w:r>
      <w:r>
        <w:rPr>
          <w:rStyle w:val="NormalTok"/>
        </w:rPr>
        <w:t xml:space="preserve">    </w:t>
      </w:r>
      <w:r>
        <w:rPr>
          <w:rStyle w:val="ControlFlowTok"/>
        </w:rPr>
        <w:t xml:space="preserve">return</w:t>
      </w:r>
      <w:r>
        <w:rPr>
          <w:rStyle w:val="NormalTok"/>
        </w:rPr>
        <w:t xml:space="preserve"> recs</w:t>
      </w:r>
      <w:r>
        <w:br/>
      </w:r>
      <w:r>
        <w:br/>
      </w:r>
      <w:r>
        <w:br/>
      </w:r>
      <w:r>
        <w:rPr>
          <w:rStyle w:val="KeywordTok"/>
        </w:rPr>
        <w:t xml:space="preserve">def</w:t>
      </w:r>
      <w:r>
        <w:rPr>
          <w:rStyle w:val="NormalTok"/>
        </w:rPr>
        <w:t xml:space="preserve"> main():</w:t>
      </w:r>
      <w:r>
        <w:br/>
      </w:r>
      <w:r>
        <w:rPr>
          <w:rStyle w:val="NormalTok"/>
        </w:rPr>
        <w:t xml:space="preserve">    recs </w:t>
      </w:r>
      <w:r>
        <w:rPr>
          <w:rStyle w:val="OperatorTok"/>
        </w:rPr>
        <w:t xml:space="preserve">=</w:t>
      </w:r>
      <w:r>
        <w:rPr>
          <w:rStyle w:val="NormalTok"/>
        </w:rPr>
        <w:t xml:space="preserve"> build()</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structural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"CROSS-SECTOR INSTANCE: politiregisterloven s 17 (floor 12, ceiling 36)"</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records                              : </w:t>
      </w:r>
      <w:r>
        <w:rPr>
          <w:rStyle w:val="SpecialCharTok"/>
        </w:rPr>
        <w:t xml:space="preserve">{</w:t>
      </w:r>
      <w:r>
        <w:rPr>
          <w:rStyle w:val="BuiltInTok"/>
        </w:rPr>
        <w:t xml:space="preserve">len</w:t>
      </w:r>
      <w:r>
        <w:rPr>
          <w:rStyle w:val="NormalTok"/>
        </w:rPr>
        <w:t xml:space="preserve">(recs)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 records with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of which with NO erasure request   : </w:t>
      </w:r>
      <w:r>
        <w:rPr>
          <w:rStyle w:val="SpecialCharTok"/>
        </w:rPr>
        <w:t xml:space="preserve">{</w:t>
      </w:r>
      <w:r>
        <w:rPr>
          <w:rStyle w:val="NormalTok"/>
        </w:rPr>
        <w:t xml:space="preserve">structural</w:t>
      </w:r>
      <w:r>
        <w:rPr>
          <w:rStyle w:val="SpecialCharTok"/>
        </w:rPr>
        <w:t xml:space="preserve">}</w:t>
      </w:r>
      <w:r>
        <w:rPr>
          <w:rStyle w:val="SpecialStringTok"/>
        </w:rPr>
        <w:t xml:space="preserve">  &lt;- floor vs ceiling alone"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II, total violations       :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structural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 structural collision: s 17 orders its two limbs from one origin"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"(floor at t_a + 12, ceiling at t_a + 36), so the provision defines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"bounded retention window rather than a contradiction. Every collision"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is erasure-driven."</w:t>
      </w:r>
      <w:r>
        <w:rPr>
          <w:rStyle w:val="NormalTok"/>
        </w:rPr>
        <w:t xml:space="preserve">)</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br/>
      </w:r>
      <w:r>
        <w:rPr>
          <w:rStyle w:val="NormalTok"/>
        </w:rPr>
        <w:t xml:space="preserve">    </w:t>
      </w:r>
      <w:r>
        <w:rPr>
          <w:rStyle w:val="ControlFlowTok"/>
        </w:rPr>
        <w:t xml:space="preserve">if</w:t>
      </w:r>
      <w:r>
        <w:rPr>
          <w:rStyle w:val="NormalTok"/>
        </w:rPr>
        <w:t xml:space="preserve"> cand:</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rPr>
          <w:rStyle w:val="OperatorTok"/>
        </w:rPr>
        <w:t xml:space="preserve">;</w:t>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witness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log written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floor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w:t>
      </w:r>
      <w:r>
        <w:br/>
      </w:r>
      <w:r>
        <w:rPr>
          <w:rStyle w:val="NormalTok"/>
        </w:rPr>
        <w:t xml:space="preserve">              </w:t>
      </w:r>
      <w:r>
        <w:rPr>
          <w:rStyle w:val="SpecialStringTok"/>
        </w:rPr>
        <w:t xml:space="preserve">f"ceiling at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erasure deadline "</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 collision </w:t>
      </w:r>
      <w:r>
        <w:rPr>
          <w:rStyle w:val="SpecialCharTok"/>
        </w:rPr>
        <w:t xml:space="preserve">{</w:t>
      </w:r>
      <w:r>
        <w:rPr>
          <w:rStyle w:val="NormalTok"/>
        </w:rPr>
        <w:t xml:space="preserve">d[</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The floor parameter F(a) took a third value with no change to the model."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finding: floors and ceilings coexist when one instrument fixes both from"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same origin, and collide when the ceiling is anchored to an external"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"event, as Art 68(12) anchors it to permit expiry. Scope: a structural"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"parallel. Whether the mechanism transfers to a record-level ceiling is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"design question this module does not answer."</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pict>
          <v:rect style="width:0;height:1.5pt" o:hralign="center" o:hrstd="t" o:hr="t"/>
        </w:pict>
      </w:r>
    </w:p>
    <w:bookmarkEnd w:id="123"/>
    <w:bookmarkStart w:id="124" w:name="a.9d-source-listing-app.py"/>
    <w:p>
      <w:pPr>
        <w:pStyle w:val="Heading2"/>
      </w:pPr>
      <w:r>
        <w:t xml:space="preserve">A.9d Source listing:</w:t>
      </w:r>
      <w:r>
        <w:t xml:space="preserve"> </w:t>
      </w:r>
      <w:r>
        <w:rPr>
          <w:rStyle w:val="VerbatimChar"/>
        </w:rPr>
        <w:t xml:space="preserve">app.py</w:t>
      </w:r>
    </w:p>
    <w:p>
      <w:pPr>
        <w:pStyle w:val="FirstParagraph"/>
      </w:pPr>
      <w:r>
        <w:t xml:space="preserve">The demonstration viewer. It is a viewer over the artefact and never a source of results: every figure it displays comes from executing one of the modules above. Tab 1 self-asserts the reported figures and shows a failure banner rather than results if the run disagrees with Chapter 5. Line count: 526.</w:t>
      </w:r>
    </w:p>
    <w:p>
      <w:pPr>
        <w:pStyle w:val="SourceCode"/>
      </w:pPr>
      <w:r>
        <w:rPr>
          <w:rStyle w:val="CommentTok"/>
        </w:rPr>
        <w:t xml:space="preserve">"""</w:t>
      </w:r>
      <w:r>
        <w:br/>
      </w:r>
      <w:r>
        <w:rPr>
          <w:rStyle w:val="CommentTok"/>
        </w:rPr>
        <w:t xml:space="preserve">TRF Feasibility Checker — online demonstration (viewer over the verified artefact).</w:t>
      </w:r>
      <w:r>
        <w:br/>
      </w:r>
      <w:r>
        <w:br/>
      </w:r>
      <w:r>
        <w:rPr>
          <w:rStyle w:val="CommentTok"/>
        </w:rPr>
        <w:t xml:space="preserve">THESIS INTEGRITY </w:t>
      </w:r>
      <w:r>
        <w:rPr>
          <w:rStyle w:val="AlertTok"/>
        </w:rPr>
        <w:t xml:space="preserve">NOTE</w:t>
      </w:r>
      <w:r>
        <w:br/>
      </w:r>
      <w:r>
        <w:rPr>
          <w:rStyle w:val="CommentTok"/>
        </w:rPr>
        <w:t xml:space="preserve">  Tab 1 executes trf_checker.py UNMODIFIED under seed 20260915. Every figure it</w:t>
      </w:r>
      <w:r>
        <w:br/>
      </w:r>
      <w:r>
        <w:rPr>
          <w:rStyle w:val="CommentTok"/>
        </w:rPr>
        <w:t xml:space="preserve">  shows is the figure reported in Chapter 5. Tab 3 executes the Synthea realism</w:t>
      </w:r>
      <w:r>
        <w:br/>
      </w:r>
      <w:r>
        <w:rPr>
          <w:rStyle w:val="CommentTok"/>
        </w:rPr>
        <w:t xml:space="preserve">  layer unmodified and reproduces Table 5.4. Tab 2 is a teaching aid that varies</w:t>
      </w:r>
      <w:r>
        <w:br/>
      </w:r>
      <w:r>
        <w:rPr>
          <w:rStyle w:val="CommentTok"/>
        </w:rPr>
        <w:t xml:space="preserve">  population parameters and is NOT part of any thesis claim.</w:t>
      </w:r>
      <w:r>
        <w:br/>
      </w:r>
      <w:r>
        <w:br/>
      </w:r>
      <w:r>
        <w:rPr>
          <w:rStyle w:val="CommentTok"/>
        </w:rPr>
        <w:t xml:space="preserve">  The app is a viewer over the artefact, never a source of results. If a number</w:t>
      </w:r>
      <w:r>
        <w:br/>
      </w:r>
      <w:r>
        <w:rPr>
          <w:rStyle w:val="CommentTok"/>
        </w:rPr>
        <w:t xml:space="preserve">  here disagrees with the thesis, either the thesis text is wrong or the app is</w:t>
      </w:r>
      <w:r>
        <w:br/>
      </w:r>
      <w:r>
        <w:rPr>
          <w:rStyle w:val="CommentTok"/>
        </w:rPr>
        <w:t xml:space="preserve">  wrong — the app never becomes the authority.</w:t>
      </w:r>
      <w:r>
        <w:br/>
      </w:r>
      <w:r>
        <w:br/>
      </w:r>
      <w:r>
        <w:rPr>
          <w:rStyle w:val="CommentTok"/>
        </w:rPr>
        <w:t xml:space="preserve">Run locally:  streamlit run app.py</w:t>
      </w:r>
      <w:r>
        <w:br/>
      </w:r>
      <w:r>
        <w:rPr>
          <w:rStyle w:val="CommentTok"/>
        </w:rPr>
        <w:t xml:space="preserve">"""</w:t>
      </w:r>
      <w:r>
        <w:br/>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r>
      <w:r>
        <w:br/>
      </w:r>
      <w:r>
        <w:rPr>
          <w:rStyle w:val="NormalTok"/>
        </w:rPr>
        <w:t xml:space="preserve">st.set_page_config(page_title</w:t>
      </w:r>
      <w:r>
        <w:rPr>
          <w:rStyle w:val="OperatorTok"/>
        </w:rPr>
        <w:t xml:space="preserve">=</w:t>
      </w:r>
      <w:r>
        <w:rPr>
          <w:rStyle w:val="StringTok"/>
        </w:rPr>
        <w:t xml:space="preserve">"TRF Feasibility Checker"</w:t>
      </w:r>
      <w:r>
        <w:rPr>
          <w:rStyle w:val="NormalTok"/>
        </w:rPr>
        <w:t xml:space="preserve">, layout</w:t>
      </w:r>
      <w:r>
        <w:rPr>
          <w:rStyle w:val="OperatorTok"/>
        </w:rPr>
        <w:t xml:space="preserve">=</w:t>
      </w:r>
      <w:r>
        <w:rPr>
          <w:rStyle w:val="StringTok"/>
        </w:rPr>
        <w:t xml:space="preserve">"wide"</w:t>
      </w:r>
      <w:r>
        <w:rPr>
          <w:rStyle w:val="NormalTok"/>
        </w:rPr>
        <w:t xml:space="preserve">)</w:t>
      </w:r>
      <w:r>
        <w:br/>
      </w:r>
      <w:r>
        <w:br/>
      </w:r>
      <w:r>
        <w:rPr>
          <w:rStyle w:val="NormalTok"/>
        </w:rPr>
        <w:t xml:space="preserve">st.title(</w:t>
      </w:r>
      <w:r>
        <w:rPr>
          <w:rStyle w:val="StringTok"/>
        </w:rPr>
        <w:t xml:space="preserve">"Tri-Lateral Retention Feasibility Model"</w:t>
      </w:r>
      <w:r>
        <w:rPr>
          <w:rStyle w:val="NormalTok"/>
        </w:rPr>
        <w:t xml:space="preserve">)</w:t>
      </w:r>
      <w:r>
        <w:br/>
      </w:r>
      <w:r>
        <w:rPr>
          <w:rStyle w:val="NormalTok"/>
        </w:rPr>
        <w:t xml:space="preserve">st.caption(</w:t>
      </w:r>
      <w:r>
        <w:br/>
      </w:r>
      <w:r>
        <w:rPr>
          <w:rStyle w:val="NormalTok"/>
        </w:rPr>
        <w:t xml:space="preserve">    </w:t>
      </w:r>
      <w:r>
        <w:rPr>
          <w:rStyle w:val="StringTok"/>
        </w:rPr>
        <w:t xml:space="preserve">"Live demonstration of the executable witness for Theorems 1 and 2. "</w:t>
      </w:r>
      <w:r>
        <w:br/>
      </w:r>
      <w:r>
        <w:rPr>
          <w:rStyle w:val="NormalTok"/>
        </w:rPr>
        <w:t xml:space="preserve">    </w:t>
      </w:r>
      <w:r>
        <w:rPr>
          <w:rStyle w:val="StringTok"/>
        </w:rPr>
        <w:t xml:space="preserve">"Abbasia, MSc Sustainable Energy Logistics, Høgskolen i Molde, 2026. "</w:t>
      </w:r>
      <w:r>
        <w:br/>
      </w:r>
      <w:r>
        <w:rPr>
          <w:rStyle w:val="NormalTok"/>
        </w:rPr>
        <w:t xml:space="preserve">    </w:t>
      </w:r>
      <w:r>
        <w:rPr>
          <w:rStyle w:val="StringTok"/>
        </w:rPr>
        <w:t xml:space="preserve">"Seed 20260915 throughout the thesis run."</w:t>
      </w:r>
      <w:r>
        <w:br/>
      </w:r>
      <w:r>
        <w:rPr>
          <w:rStyle w:val="NormalTok"/>
        </w:rPr>
        <w:t xml:space="preserve">)</w:t>
      </w:r>
      <w:r>
        <w:br/>
      </w:r>
      <w:r>
        <w:br/>
      </w:r>
      <w:r>
        <w:rPr>
          <w:rStyle w:val="NormalTok"/>
        </w:rPr>
        <w:t xml:space="preserve">tab1, tab2, tab3, tab4, tab5 </w:t>
      </w:r>
      <w:r>
        <w:rPr>
          <w:rStyle w:val="OperatorTok"/>
        </w:rPr>
        <w:t xml:space="preserve">=</w:t>
      </w:r>
      <w:r>
        <w:rPr>
          <w:rStyle w:val="NormalTok"/>
        </w:rPr>
        <w:t xml:space="preserve"> st.tabs(</w:t>
      </w:r>
      <w:r>
        <w:br/>
      </w:r>
      <w:r>
        <w:rPr>
          <w:rStyle w:val="NormalTok"/>
        </w:rPr>
        <w:t xml:space="preserve">    [</w:t>
      </w:r>
      <w:r>
        <w:rPr>
          <w:rStyle w:val="StringTok"/>
        </w:rPr>
        <w:t xml:space="preserve">"Thesis run"</w:t>
      </w:r>
      <w:r>
        <w:rPr>
          <w:rStyle w:val="NormalTok"/>
        </w:rPr>
        <w:t xml:space="preserve">, </w:t>
      </w:r>
      <w:r>
        <w:rPr>
          <w:rStyle w:val="StringTok"/>
        </w:rPr>
        <w:t xml:space="preserve">"Exploration — not thesis claims"</w:t>
      </w:r>
      <w:r>
        <w:rPr>
          <w:rStyle w:val="NormalTok"/>
        </w:rPr>
        <w:t xml:space="preserve">, </w:t>
      </w:r>
      <w:r>
        <w:rPr>
          <w:rStyle w:val="StringTok"/>
        </w:rPr>
        <w:t xml:space="preserve">"Synthea realism layer"</w:t>
      </w:r>
      <w:r>
        <w:rPr>
          <w:rStyle w:val="NormalTok"/>
        </w:rPr>
        <w:t xml:space="preserve">,</w:t>
      </w:r>
      <w:r>
        <w:br/>
      </w:r>
      <w:r>
        <w:rPr>
          <w:rStyle w:val="NormalTok"/>
        </w:rPr>
        <w:t xml:space="preserve">     </w:t>
      </w:r>
      <w:r>
        <w:rPr>
          <w:rStyle w:val="StringTok"/>
        </w:rPr>
        <w:t xml:space="preserve">"Norwegian context — illustrative"</w:t>
      </w:r>
      <w:r>
        <w:rPr>
          <w:rStyle w:val="NormalTok"/>
        </w:rPr>
        <w:t xml:space="preserve">, </w:t>
      </w:r>
      <w:r>
        <w:rPr>
          <w:rStyle w:val="StringTok"/>
        </w:rPr>
        <w:t xml:space="preserve">"Robustness and cross-checks"</w:t>
      </w:r>
      <w:r>
        <w:rPr>
          <w:rStyle w:val="NormalTok"/>
        </w:rPr>
        <w:t xml:space="preserve">]</w:t>
      </w:r>
      <w:r>
        <w:br/>
      </w:r>
      <w:r>
        <w:rPr>
          <w:rStyle w:val="NormalTok"/>
        </w:rPr>
        <w:t xml:space="preserve">)</w:t>
      </w:r>
      <w:r>
        <w:br/>
      </w:r>
      <w:r>
        <w:br/>
      </w:r>
      <w:r>
        <w:br/>
      </w:r>
      <w:r>
        <w:rPr>
          <w:rStyle w:val="CommentTok"/>
        </w:rPr>
        <w:t xml:space="preserve"># ----------------------------------------------------------------------</w:t>
      </w:r>
      <w:r>
        <w:br/>
      </w:r>
      <w:r>
        <w:rPr>
          <w:rStyle w:val="CommentTok"/>
        </w:rPr>
        <w:t xml:space="preserve"># Shared measurement, used by tabs 1 and 3 so both report identically</w:t>
      </w:r>
      <w:r>
        <w:br/>
      </w:r>
      <w:r>
        <w:rPr>
          <w:rStyle w:val="CommentTok"/>
        </w:rPr>
        <w:t xml:space="preserve"># ----------------------------------------------------------------------</w:t>
      </w:r>
      <w:r>
        <w:br/>
      </w:r>
      <w:r>
        <w:br/>
      </w:r>
      <w:r>
        <w:rPr>
          <w:rStyle w:val="KeywordTok"/>
        </w:rPr>
        <w:t xml:space="preserve">def</w:t>
      </w:r>
      <w:r>
        <w:rPr>
          <w:rStyle w:val="NormalTok"/>
        </w:rPr>
        <w:t xml:space="preserve"> measure(records):</w:t>
      </w:r>
      <w:r>
        <w:br/>
      </w:r>
      <w:r>
        <w:rPr>
          <w:rStyle w:val="NormalTok"/>
        </w:rPr>
        <w:t xml:space="preserve">    </w:t>
      </w:r>
      <w:r>
        <w:rPr>
          <w:rStyle w:val="CommentTok"/>
        </w:rPr>
        <w:t xml:space="preserve">"""Run both semantics over a population and return the reported figures."""</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primary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"primary"</w:t>
      </w:r>
      <w:r>
        <w:rPr>
          <w:rStyle w:val="NormalTok"/>
        </w:rPr>
        <w:t xml:space="preserve">]</w:t>
      </w:r>
      <w:r>
        <w:br/>
      </w:r>
      <w:r>
        <w:rPr>
          <w:rStyle w:val="NormalTok"/>
        </w:rPr>
        <w:t xml:space="preserve">    secondary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StringTok"/>
        </w:rPr>
        <w:t xml:space="preserve">"records"</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"sem1_records"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w:t>
      </w:r>
      <w:r>
        <w:rPr>
          <w:rStyle w:val="StringTok"/>
        </w:rPr>
        <w:t xml:space="preserve">"sem1_total"</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StringTok"/>
        </w:rPr>
        <w:t xml:space="preserve">"sem1_primary"</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primary </w:t>
      </w:r>
      <w:r>
        <w:rPr>
          <w:rStyle w:val="ControlFlowTok"/>
        </w:rPr>
        <w:t xml:space="preserve">if</w:t>
      </w:r>
      <w:r>
        <w:rPr>
          <w:rStyle w:val="NormalTok"/>
        </w:rPr>
        <w:t xml:space="preserve"> v1[r.rid]),</w:t>
      </w:r>
      <w:r>
        <w:br/>
      </w:r>
      <w:r>
        <w:rPr>
          <w:rStyle w:val="NormalTok"/>
        </w:rPr>
        <w:t xml:space="preserve">        </w:t>
      </w:r>
      <w:r>
        <w:rPr>
          <w:rStyle w:val="StringTok"/>
        </w:rPr>
        <w:t xml:space="preserve">"sem1_secondary"</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secondary </w:t>
      </w:r>
      <w:r>
        <w:rPr>
          <w:rStyle w:val="ControlFlowTok"/>
        </w:rPr>
        <w:t xml:space="preserve">if</w:t>
      </w:r>
      <w:r>
        <w:rPr>
          <w:rStyle w:val="NormalTok"/>
        </w:rPr>
        <w:t xml:space="preserve"> v1[r.rid]),</w:t>
      </w:r>
      <w:r>
        <w:br/>
      </w:r>
      <w:r>
        <w:rPr>
          <w:rStyle w:val="NormalTok"/>
        </w:rPr>
        <w:t xml:space="preserve">        </w:t>
      </w:r>
      <w:r>
        <w:rPr>
          <w:rStyle w:val="StringTok"/>
        </w:rPr>
        <w:t xml:space="preserve">"cor12"</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secondary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StringTok"/>
        </w:rPr>
        <w:t xml:space="preserve">"witnesses"</w:t>
      </w:r>
      <w:r>
        <w:rPr>
          <w:rStyle w:val="NormalTok"/>
        </w:rPr>
        <w:t xml:space="preserve">: [v1[r.rid][</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secondary</w:t>
      </w:r>
      <w:r>
        <w:br/>
      </w:r>
      <w:r>
        <w:rPr>
          <w:rStyle w:val="NormalTok"/>
        </w:rPr>
        <w:t xml:space="preserve">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rPr>
          <w:rStyle w:val="DecValTok"/>
        </w:rPr>
        <w:t xml:space="preserve">3</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out[</w:t>
      </w:r>
      <w:r>
        <w:rPr>
          <w:rStyle w:val="StringTok"/>
        </w:rPr>
        <w:t xml:space="preserve">"sem2_records"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out[</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out[</w:t>
      </w:r>
      <w:r>
        <w:rPr>
          <w:rStyle w:val="StringTok"/>
        </w:rPr>
        <w:t xml:space="preserve">"invalidated"</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out[</w:t>
      </w:r>
      <w:r>
        <w:rPr>
          <w:rStyle w:val="StringTok"/>
        </w:rPr>
        <w:t xml:space="preserve">"ground_art17"</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"Art 17"</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br/>
      </w:r>
      <w:r>
        <w:rPr>
          <w:rStyle w:val="NormalTok"/>
        </w:rPr>
        <w:t xml:space="preserve">    out[</w:t>
      </w:r>
      <w:r>
        <w:rPr>
          <w:rStyle w:val="StringTok"/>
        </w:rPr>
        <w:t xml:space="preserve">"ground_art68"</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"68(12)"</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br/>
      </w:r>
      <w:r>
        <w:rPr>
          <w:rStyle w:val="NormalTok"/>
        </w:rPr>
        <w:t xml:space="preserve">    </w:t>
      </w:r>
      <w:r>
        <w:rPr>
          <w:rStyle w:val="ControlFlowTok"/>
        </w:rPr>
        <w:t xml:space="preserve">return</w:t>
      </w:r>
      <w:r>
        <w:rPr>
          <w:rStyle w:val="NormalTok"/>
        </w:rPr>
        <w:t xml:space="preserve"> out, records</w:t>
      </w:r>
      <w:r>
        <w:br/>
      </w:r>
      <w:r>
        <w:br/>
      </w:r>
      <w:r>
        <w:br/>
      </w:r>
      <w:r>
        <w:rPr>
          <w:rStyle w:val="CommentTok"/>
        </w:rPr>
        <w:t xml:space="preserve"># ----------------------------------------------------------------------</w:t>
      </w:r>
      <w:r>
        <w:br/>
      </w:r>
      <w:r>
        <w:rPr>
          <w:rStyle w:val="CommentTok"/>
        </w:rPr>
        <w:t xml:space="preserve"># Tab 1 — the thesis run</w:t>
      </w:r>
      <w:r>
        <w:br/>
      </w:r>
      <w:r>
        <w:rPr>
          <w:rStyle w:val="CommentTok"/>
        </w:rPr>
        <w:t xml:space="preserve"># ----------------------------------------------------------------------</w:t>
      </w:r>
      <w:r>
        <w:br/>
      </w:r>
      <w:r>
        <w:br/>
      </w:r>
      <w:r>
        <w:rPr>
          <w:rStyle w:val="ControlFlowTok"/>
        </w:rPr>
        <w:t xml:space="preserve">with</w:t>
      </w:r>
      <w:r>
        <w:rPr>
          <w:rStyle w:val="NormalTok"/>
        </w:rPr>
        <w:t xml:space="preserve"> tab1:</w:t>
      </w:r>
      <w:r>
        <w:br/>
      </w:r>
      <w:r>
        <w:rPr>
          <w:rStyle w:val="NormalTok"/>
        </w:rPr>
        <w:t xml:space="preserve">    st.subheader(</w:t>
      </w:r>
      <w:r>
        <w:rPr>
          <w:rStyle w:val="StringTok"/>
        </w:rPr>
        <w:t xml:space="preserve">"Thesis configuration — seed 20260915, n = 200"</w:t>
      </w:r>
      <w:r>
        <w:rPr>
          <w:rStyle w:val="NormalTok"/>
        </w:rPr>
        <w:t xml:space="preserve">)</w:t>
      </w:r>
      <w:r>
        <w:br/>
      </w:r>
      <w:r>
        <w:rPr>
          <w:rStyle w:val="NormalTok"/>
        </w:rPr>
        <w:t xml:space="preserve">    st.info(</w:t>
      </w:r>
      <w:r>
        <w:br/>
      </w:r>
      <w:r>
        <w:rPr>
          <w:rStyle w:val="NormalTok"/>
        </w:rPr>
        <w:t xml:space="preserve">        </w:t>
      </w:r>
      <w:r>
        <w:rPr>
          <w:rStyle w:val="StringTok"/>
        </w:rPr>
        <w:t xml:space="preserve">"Executes the checker exactly as reported in Chapter 5, Tables 5.1 to 5.3. "</w:t>
      </w:r>
      <w:r>
        <w:br/>
      </w:r>
      <w:r>
        <w:rPr>
          <w:rStyle w:val="NormalTok"/>
        </w:rPr>
        <w:t xml:space="preserve">        </w:t>
      </w:r>
      <w:r>
        <w:rPr>
          <w:rStyle w:val="StringTok"/>
        </w:rPr>
        <w:t xml:space="preserve">"Deterministic: this run is byte-identical to the one in the thesis."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thesis configuration"</w:t>
      </w:r>
      <w:r>
        <w:rPr>
          <w:rStyle w:val="NormalTok"/>
        </w:rPr>
        <w:t xml:space="preserve">, key</w:t>
      </w:r>
      <w:r>
        <w:rPr>
          <w:rStyle w:val="OperatorTok"/>
        </w:rPr>
        <w:t xml:space="preserve">=</w:t>
      </w:r>
      <w:r>
        <w:rPr>
          <w:rStyle w:val="StringTok"/>
        </w:rPr>
        <w:t xml:space="preserve">"run_thesis"</w:t>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"Executing trf_checker.py ..."</w:t>
      </w:r>
      <w:r>
        <w:rPr>
          <w:rStyle w:val="NormalTok"/>
        </w:rPr>
        <w:t xml:space="preserve">):</w:t>
      </w:r>
      <w:r>
        <w:br/>
      </w:r>
      <w:r>
        <w:rPr>
          <w:rStyle w:val="NormalTok"/>
        </w:rPr>
        <w:t xml:space="preserve">            M, records </w:t>
      </w:r>
      <w:r>
        <w:rPr>
          <w:rStyle w:val="OperatorTok"/>
        </w:rPr>
        <w:t xml:space="preserve">=</w:t>
      </w:r>
      <w:r>
        <w:rPr>
          <w:rStyle w:val="NormalTok"/>
        </w:rPr>
        <w:t xml:space="preserve"> measure(trf.generate())</w:t>
      </w:r>
      <w:r>
        <w:br/>
      </w:r>
      <w:r>
        <w:br/>
      </w:r>
      <w:r>
        <w:rPr>
          <w:rStyle w:val="NormalTok"/>
        </w:rPr>
        <w:t xml:space="preserve">        c1, c2, c3, c4 </w:t>
      </w:r>
      <w:r>
        <w:rPr>
          <w:rStyle w:val="OperatorTok"/>
        </w:rPr>
        <w:t xml:space="preserve">=</w:t>
      </w:r>
      <w:r>
        <w:rPr>
          <w:rStyle w:val="NormalTok"/>
        </w:rPr>
        <w:t xml:space="preserve"> st.columns(</w:t>
      </w:r>
      <w:r>
        <w:rPr>
          <w:rStyle w:val="DecValTok"/>
        </w:rPr>
        <w:t xml:space="preserve">4</w:t>
      </w:r>
      <w:r>
        <w:rPr>
          <w:rStyle w:val="NormalTok"/>
        </w:rPr>
        <w:t xml:space="preserve">)</w:t>
      </w:r>
      <w:r>
        <w:br/>
      </w:r>
      <w:r>
        <w:rPr>
          <w:rStyle w:val="NormalTok"/>
        </w:rPr>
        <w:t xml:space="preserve">        c1.metric(</w:t>
      </w:r>
      <w:r>
        <w:rPr>
          <w:rStyle w:val="StringTok"/>
        </w:rPr>
        <w:t xml:space="preserve">"Violations — Semantics I"</w:t>
      </w:r>
      <w:r>
        <w:rPr>
          <w:rStyle w:val="NormalTok"/>
        </w:rPr>
        <w:t xml:space="preserve">, M[</w:t>
      </w:r>
      <w:r>
        <w:rPr>
          <w:rStyle w:val="StringTok"/>
        </w:rPr>
        <w:t xml:space="preserve">"sem1_total"</w:t>
      </w:r>
      <w:r>
        <w:rPr>
          <w:rStyle w:val="NormalTok"/>
        </w:rPr>
        <w:t xml:space="preserve">])</w:t>
      </w:r>
      <w:r>
        <w:br/>
      </w:r>
      <w:r>
        <w:rPr>
          <w:rStyle w:val="NormalTok"/>
        </w:rPr>
        <w:t xml:space="preserve">        c2.metric(</w:t>
      </w:r>
      <w:r>
        <w:rPr>
          <w:rStyle w:val="StringTok"/>
        </w:rPr>
        <w:t xml:space="preserve">"Records infeasible"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'sem1_records'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M[</w:t>
      </w:r>
      <w:r>
        <w:rPr>
          <w:rStyle w:val="StringTok"/>
        </w:rPr>
        <w:t xml:space="preserve">'records'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c3.metric(</w:t>
      </w:r>
      <w:r>
        <w:rPr>
          <w:rStyle w:val="StringTok"/>
        </w:rPr>
        <w:t xml:space="preserve">"Corollary 1.2 witnesses"</w:t>
      </w:r>
      <w:r>
        <w:rPr>
          <w:rStyle w:val="NormalTok"/>
        </w:rPr>
        <w:t xml:space="preserve">, M[</w:t>
      </w:r>
      <w:r>
        <w:rPr>
          <w:rStyle w:val="StringTok"/>
        </w:rPr>
        <w:t xml:space="preserve">"cor12"</w:t>
      </w:r>
      <w:r>
        <w:rPr>
          <w:rStyle w:val="NormalTok"/>
        </w:rPr>
        <w:t xml:space="preserve">])</w:t>
      </w:r>
      <w:r>
        <w:br/>
      </w:r>
      <w:r>
        <w:rPr>
          <w:rStyle w:val="NormalTok"/>
        </w:rPr>
        <w:t xml:space="preserve">        c4.metric(</w:t>
      </w:r>
      <w:r>
        <w:rPr>
          <w:rStyle w:val="StringTok"/>
        </w:rPr>
        <w:t xml:space="preserve">"Violations — Semantics II"</w:t>
      </w:r>
      <w:r>
        <w:rPr>
          <w:rStyle w:val="NormalTok"/>
        </w:rPr>
        <w:t xml:space="preserve">, M[</w:t>
      </w:r>
      <w:r>
        <w:rPr>
          <w:rStyle w:val="StringTok"/>
        </w:rPr>
        <w:t xml:space="preserve">"sem2_total"</w:t>
      </w:r>
      <w:r>
        <w:rPr>
          <w:rStyle w:val="NormalTok"/>
        </w:rPr>
        <w:t xml:space="preserve">])</w:t>
      </w:r>
      <w:r>
        <w:br/>
      </w:r>
      <w:r>
        <w:br/>
      </w:r>
      <w:r>
        <w:rPr>
          <w:rStyle w:val="NormalTok"/>
        </w:rPr>
        <w:t xml:space="preserve">        st.markdown(</w:t>
      </w:r>
      <w:r>
        <w:rPr>
          <w:rStyle w:val="StringTok"/>
        </w:rPr>
        <w:t xml:space="preserve">"**Table 5.1 — violations under Semantics I**"</w:t>
      </w:r>
      <w:r>
        <w:rPr>
          <w:rStyle w:val="NormalTok"/>
        </w:rPr>
        <w:t xml:space="preserve">)</w:t>
      </w:r>
      <w:r>
        <w:br/>
      </w:r>
      <w:r>
        <w:rPr>
          <w:rStyle w:val="NormalTok"/>
        </w:rPr>
        <w:t xml:space="preserve">        st.table({</w:t>
      </w:r>
      <w:r>
        <w:br/>
      </w:r>
      <w:r>
        <w:rPr>
          <w:rStyle w:val="NormalTok"/>
        </w:rPr>
        <w:t xml:space="preserve">            </w:t>
      </w:r>
      <w:r>
        <w:rPr>
          <w:rStyle w:val="StringTok"/>
        </w:rPr>
        <w:t xml:space="preserve">"Record class"</w:t>
      </w:r>
      <w:r>
        <w:rPr>
          <w:rStyle w:val="NormalTok"/>
        </w:rPr>
        <w:t xml:space="preserve">: [</w:t>
      </w:r>
      <w:r>
        <w:rPr>
          <w:rStyle w:val="StringTok"/>
        </w:rPr>
        <w:t xml:space="preserve">"Cross-border audit (F = 120)"</w:t>
      </w:r>
      <w:r>
        <w:rPr>
          <w:rStyle w:val="NormalTok"/>
        </w:rPr>
        <w:t xml:space="preserve">,</w:t>
      </w:r>
      <w:r>
        <w:br/>
      </w:r>
      <w:r>
        <w:rPr>
          <w:rStyle w:val="NormalTok"/>
        </w:rPr>
        <w:t xml:space="preserve">                             </w:t>
      </w:r>
      <w:r>
        <w:rPr>
          <w:rStyle w:val="StringTok"/>
        </w:rPr>
        <w:t xml:space="preserve">"SPE access log (F = 12)"</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StringTok"/>
        </w:rPr>
        <w:t xml:space="preserve">"Records"</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"With ≥1 violation"</w:t>
      </w:r>
      <w:r>
        <w:rPr>
          <w:rStyle w:val="NormalTok"/>
        </w:rPr>
        <w:t xml:space="preserve">: [M[</w:t>
      </w:r>
      <w:r>
        <w:rPr>
          <w:rStyle w:val="StringTok"/>
        </w:rPr>
        <w:t xml:space="preserve">"sem1_primary"</w:t>
      </w:r>
      <w:r>
        <w:rPr>
          <w:rStyle w:val="NormalTok"/>
        </w:rPr>
        <w:t xml:space="preserve">], M[</w:t>
      </w:r>
      <w:r>
        <w:rPr>
          <w:rStyle w:val="StringTok"/>
        </w:rPr>
        <w:t xml:space="preserve">"sem1_secondary"</w:t>
      </w:r>
      <w:r>
        <w:rPr>
          <w:rStyle w:val="NormalTok"/>
        </w:rPr>
        <w:t xml:space="preserve">],</w:t>
      </w:r>
      <w:r>
        <w:br/>
      </w:r>
      <w:r>
        <w:rPr>
          <w:rStyle w:val="NormalTok"/>
        </w:rPr>
        <w:t xml:space="preserve">                                  M[</w:t>
      </w:r>
      <w:r>
        <w:rPr>
          <w:rStyle w:val="StringTok"/>
        </w:rPr>
        <w:t xml:space="preserve">"sem1_records"</w:t>
      </w:r>
      <w:r>
        <w:rPr>
          <w:rStyle w:val="NormalTok"/>
        </w:rPr>
        <w:t xml:space="preserve">]],</w:t>
      </w:r>
      <w:r>
        <w:br/>
      </w:r>
      <w:r>
        <w:rPr>
          <w:rStyle w:val="NormalTok"/>
        </w:rPr>
        <w:t xml:space="preserve">        })</w:t>
      </w:r>
      <w:r>
        <w:br/>
      </w:r>
      <w:r>
        <w:br/>
      </w:r>
      <w:r>
        <w:rPr>
          <w:rStyle w:val="NormalTok"/>
        </w:rPr>
        <w:t xml:space="preserve">        st.markdown(</w:t>
      </w:r>
      <w:r>
        <w:br/>
      </w:r>
      <w:r>
        <w:rPr>
          <w:rStyle w:val="NormalTok"/>
        </w:rPr>
        <w:t xml:space="preserve">            </w:t>
      </w:r>
      <w:r>
        <w:rPr>
          <w:rStyle w:val="StringTok"/>
        </w:rPr>
        <w:t xml:space="preserve">"**Corollary 1.2 — infeasible with no erasure request whatsoever.** "</w:t>
      </w:r>
      <w:r>
        <w:br/>
      </w:r>
      <w:r>
        <w:rPr>
          <w:rStyle w:val="NormalTok"/>
        </w:rPr>
        <w:t xml:space="preserve">            </w:t>
      </w:r>
      <w:r>
        <w:rPr>
          <w:rStyle w:val="StringTok"/>
        </w:rPr>
        <w:t xml:space="preserve">"These records received no Article 17 request. The collision is between "</w:t>
      </w:r>
      <w:r>
        <w:br/>
      </w:r>
      <w:r>
        <w:rPr>
          <w:rStyle w:val="NormalTok"/>
        </w:rPr>
        <w:t xml:space="preserve">            </w:t>
      </w:r>
      <w:r>
        <w:rPr>
          <w:rStyle w:val="StringTok"/>
        </w:rPr>
        <w:t xml:space="preserve">"Article 73(1)(e) and Article 68(12) alone, conditional on the reading "</w:t>
      </w:r>
      <w:r>
        <w:br/>
      </w:r>
      <w:r>
        <w:rPr>
          <w:rStyle w:val="NormalTok"/>
        </w:rPr>
        <w:t xml:space="preserve">            </w:t>
      </w:r>
      <w:r>
        <w:rPr>
          <w:rStyle w:val="StringTok"/>
        </w:rPr>
        <w:t xml:space="preserve">"of Article 68(12) defended in Chapter 4, Section 4.6."</w:t>
      </w:r>
      <w:r>
        <w:br/>
      </w:r>
      <w:r>
        <w:rPr>
          <w:rStyle w:val="NormalTok"/>
        </w:rPr>
        <w:t xml:space="preserve">        )</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M[</w:t>
      </w:r>
      <w:r>
        <w:rPr>
          <w:rStyle w:val="StringTok"/>
        </w:rPr>
        <w:t xml:space="preserve">"witnesses"</w:t>
      </w:r>
      <w:r>
        <w:rPr>
          <w:rStyle w:val="NormalTok"/>
        </w:rPr>
        <w:t xml:space="preserve">]:</w:t>
      </w:r>
      <w:r>
        <w:br/>
      </w:r>
      <w:r>
        <w:rPr>
          <w:rStyle w:val="NormalTok"/>
        </w:rPr>
        <w:t xml:space="preserve">            st.code(w[</w:t>
      </w:r>
      <w:r>
        <w:rPr>
          <w:rStyle w:val="StringTok"/>
        </w:rPr>
        <w:t xml:space="preserve">"detail"</w:t>
      </w:r>
      <w:r>
        <w:rPr>
          <w:rStyle w:val="NormalTok"/>
        </w:rPr>
        <w:t xml:space="preserve">], language</w:t>
      </w:r>
      <w:r>
        <w:rPr>
          <w:rStyle w:val="OperatorTok"/>
        </w:rPr>
        <w:t xml:space="preserve">=</w:t>
      </w:r>
      <w:r>
        <w:rPr>
          <w:rStyle w:val="StringTok"/>
        </w:rPr>
        <w:t xml:space="preserve">"text"</w:t>
      </w:r>
      <w:r>
        <w:rPr>
          <w:rStyle w:val="NormalTok"/>
        </w:rPr>
        <w:t xml:space="preserve">)</w:t>
      </w:r>
      <w:r>
        <w:br/>
      </w:r>
      <w:r>
        <w:br/>
      </w:r>
      <w:r>
        <w:rPr>
          <w:rStyle w:val="NormalTok"/>
        </w:rPr>
        <w:t xml:space="preserve">        st.markdown(</w:t>
      </w:r>
      <w:r>
        <w:rPr>
          <w:rStyle w:val="StringTok"/>
        </w:rPr>
        <w:t xml:space="preserve">"**Table 5.3 — Semantics II**"</w:t>
      </w:r>
      <w:r>
        <w:rPr>
          <w:rStyle w:val="NormalTok"/>
        </w:rPr>
        <w:t xml:space="preserve">)</w:t>
      </w:r>
      <w:r>
        <w:br/>
      </w:r>
      <w:r>
        <w:rPr>
          <w:rStyle w:val="NormalTok"/>
        </w:rPr>
        <w:t xml:space="preserve">        st.table({</w:t>
      </w:r>
      <w:r>
        <w:br/>
      </w:r>
      <w:r>
        <w:rPr>
          <w:rStyle w:val="NormalTok"/>
        </w:rPr>
        <w:t xml:space="preserve">            </w:t>
      </w:r>
      <w:r>
        <w:rPr>
          <w:rStyle w:val="StringTok"/>
        </w:rPr>
        <w:t xml:space="preserve">"Measure"</w:t>
      </w:r>
      <w:r>
        <w:rPr>
          <w:rStyle w:val="NormalTok"/>
        </w:rPr>
        <w:t xml:space="preserve">: [</w:t>
      </w:r>
      <w:r>
        <w:rPr>
          <w:rStyle w:val="StringTok"/>
        </w:rPr>
        <w:t xml:space="preserve">"Records invalidated"</w:t>
      </w:r>
      <w:r>
        <w:rPr>
          <w:rStyle w:val="NormalTok"/>
        </w:rPr>
        <w:t xml:space="preserve">, </w:t>
      </w:r>
      <w:r>
        <w:rPr>
          <w:rStyle w:val="StringTok"/>
        </w:rPr>
        <w:t xml:space="preserve">"— ground: GDPR Art. 17(1)"</w:t>
      </w:r>
      <w:r>
        <w:rPr>
          <w:rStyle w:val="NormalTok"/>
        </w:rPr>
        <w:t xml:space="preserve">,</w:t>
      </w:r>
      <w:r>
        <w:br/>
      </w:r>
      <w:r>
        <w:rPr>
          <w:rStyle w:val="NormalTok"/>
        </w:rPr>
        <w:t xml:space="preserve">                        </w:t>
      </w:r>
      <w:r>
        <w:rPr>
          <w:rStyle w:val="StringTok"/>
        </w:rPr>
        <w:t xml:space="preserve">"— ground: EHDS Art. 68(12)"</w:t>
      </w:r>
      <w:r>
        <w:rPr>
          <w:rStyle w:val="NormalTok"/>
        </w:rPr>
        <w:t xml:space="preserve">, </w:t>
      </w:r>
      <w:r>
        <w:rPr>
          <w:rStyle w:val="StringTok"/>
        </w:rPr>
        <w:t xml:space="preserve">"Records with violation"</w:t>
      </w:r>
      <w:r>
        <w:rPr>
          <w:rStyle w:val="NormalTok"/>
        </w:rPr>
        <w:t xml:space="preserve">,</w:t>
      </w:r>
      <w:r>
        <w:br/>
      </w:r>
      <w:r>
        <w:rPr>
          <w:rStyle w:val="NormalTok"/>
        </w:rPr>
        <w:t xml:space="preserve">                        </w:t>
      </w:r>
      <w:r>
        <w:rPr>
          <w:rStyle w:val="StringTok"/>
        </w:rPr>
        <w:t xml:space="preserve">"Total violations"</w:t>
      </w:r>
      <w:r>
        <w:rPr>
          <w:rStyle w:val="NormalTok"/>
        </w:rPr>
        <w:t xml:space="preserve">],</w:t>
      </w:r>
      <w:r>
        <w:br/>
      </w:r>
      <w:r>
        <w:rPr>
          <w:rStyle w:val="NormalTok"/>
        </w:rPr>
        <w:t xml:space="preserve">            </w:t>
      </w:r>
      <w:r>
        <w:rPr>
          <w:rStyle w:val="StringTok"/>
        </w:rPr>
        <w:t xml:space="preserve">"Value"</w:t>
      </w:r>
      <w:r>
        <w:rPr>
          <w:rStyle w:val="NormalTok"/>
        </w:rPr>
        <w:t xml:space="preserve">: [M[</w:t>
      </w:r>
      <w:r>
        <w:rPr>
          <w:rStyle w:val="StringTok"/>
        </w:rPr>
        <w:t xml:space="preserve">"invalidated"</w:t>
      </w:r>
      <w:r>
        <w:rPr>
          <w:rStyle w:val="NormalTok"/>
        </w:rPr>
        <w:t xml:space="preserve">], M[</w:t>
      </w:r>
      <w:r>
        <w:rPr>
          <w:rStyle w:val="StringTok"/>
        </w:rPr>
        <w:t xml:space="preserve">"ground_art17"</w:t>
      </w:r>
      <w:r>
        <w:rPr>
          <w:rStyle w:val="NormalTok"/>
        </w:rPr>
        <w:t xml:space="preserve">], M[</w:t>
      </w:r>
      <w:r>
        <w:rPr>
          <w:rStyle w:val="StringTok"/>
        </w:rPr>
        <w:t xml:space="preserve">"ground_art68"</w:t>
      </w:r>
      <w:r>
        <w:rPr>
          <w:rStyle w:val="NormalTok"/>
        </w:rPr>
        <w:t xml:space="preserve">],</w:t>
      </w:r>
      <w:r>
        <w:br/>
      </w:r>
      <w:r>
        <w:rPr>
          <w:rStyle w:val="NormalTok"/>
        </w:rPr>
        <w:t xml:space="preserve">                      M[</w:t>
      </w:r>
      <w:r>
        <w:rPr>
          <w:rStyle w:val="StringTok"/>
        </w:rPr>
        <w:t xml:space="preserve">"sem2_records"</w:t>
      </w:r>
      <w:r>
        <w:rPr>
          <w:rStyle w:val="NormalTok"/>
        </w:rPr>
        <w:t xml:space="preserve">], M[</w:t>
      </w:r>
      <w:r>
        <w:rPr>
          <w:rStyle w:val="StringTok"/>
        </w:rPr>
        <w:t xml:space="preserve">"sem2_total"</w:t>
      </w:r>
      <w:r>
        <w:rPr>
          <w:rStyle w:val="NormalTok"/>
        </w:rPr>
        <w:t xml:space="preserve">]],</w:t>
      </w:r>
      <w:r>
        <w:br/>
      </w:r>
      <w:r>
        <w:rPr>
          <w:rStyle w:val="NormalTok"/>
        </w:rPr>
        <w:t xml:space="preserve">        })</w:t>
      </w:r>
      <w:r>
        <w:br/>
      </w:r>
      <w:r>
        <w:br/>
      </w:r>
      <w:r>
        <w:rPr>
          <w:rStyle w:val="NormalTok"/>
        </w:rPr>
        <w:t xml:space="preserve">        demo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r.rid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st.markdown(</w:t>
      </w:r>
      <w:r>
        <w:rPr>
          <w:rStyle w:val="StringTok"/>
        </w:rPr>
        <w:t xml:space="preserve">"**Auditor's view of record 100 after invalidation**"</w:t>
      </w:r>
      <w:r>
        <w:rPr>
          <w:rStyle w:val="NormalTok"/>
        </w:rPr>
        <w:t xml:space="preserve">)</w:t>
      </w:r>
      <w:r>
        <w:br/>
      </w:r>
      <w:r>
        <w:rPr>
          <w:rStyle w:val="NormalTok"/>
        </w:rPr>
        <w:t xml:space="preserve">        st.code(</w:t>
      </w:r>
      <w:r>
        <w:br/>
      </w:r>
      <w:r>
        <w:rPr>
          <w:rStyle w:val="NormalTok"/>
        </w:rPr>
        <w:t xml:space="preserve">            </w:t>
      </w:r>
      <w:r>
        <w:rPr>
          <w:rStyle w:val="SpecialStringTok"/>
        </w:rPr>
        <w:t xml:space="preserve">f"metadata intact      : True   actor=</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'actor'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f"ncp=</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'ncp'</w:t>
      </w:r>
      <w:r>
        <w:rPr>
          <w:rStyle w:val="NormalTok"/>
        </w:rPr>
        <w:t xml:space="preserve">]</w:t>
      </w:r>
      <w:r>
        <w:rPr>
          <w:rStyle w:val="SpecialCharTok"/>
        </w:rPr>
        <w:t xml:space="preserve">}</w:t>
      </w:r>
      <w:r>
        <w:rPr>
          <w:rStyle w:val="SpecialStringTok"/>
        </w:rPr>
        <w:t xml:space="preserve">  outcome=</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'outcome'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f"commitment c(a)      : </w:t>
      </w:r>
      <w:r>
        <w:rPr>
          <w:rStyle w:val="SpecialCharTok"/>
        </w:rPr>
        <w:t xml:space="preserve">{</w:t>
      </w:r>
      <w:r>
        <w:rPr>
          <w:rStyle w:val="NormalTok"/>
        </w:rPr>
        <w:t xml:space="preserve">demo</w:t>
      </w:r>
      <w:r>
        <w:rPr>
          <w:rStyle w:val="SpecialCharTok"/>
        </w:rPr>
        <w:t xml:space="preserve">.</w:t>
      </w:r>
      <w:r>
        <w:rPr>
          <w:rStyle w:val="NormalTok"/>
        </w:rPr>
        <w:t xml:space="preserve">c[:</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f"payload key k(a)     : </w:t>
      </w:r>
      <w:r>
        <w:rPr>
          <w:rStyle w:val="SpecialCharTok"/>
        </w:rPr>
        <w:t xml:space="preserve">{</w:t>
      </w:r>
      <w:r>
        <w:rPr>
          <w:rStyle w:val="NormalTok"/>
        </w:rPr>
        <w:t xml:space="preserve">demo</w:t>
      </w:r>
      <w:r>
        <w:rPr>
          <w:rStyle w:val="SpecialCharTok"/>
        </w:rPr>
        <w:t xml:space="preserve">.</w:t>
      </w:r>
      <w:r>
        <w:rPr>
          <w:rStyle w:val="NormalTok"/>
        </w:rPr>
        <w:t xml:space="preserve">k</w:t>
      </w:r>
      <w:r>
        <w:rPr>
          <w:rStyle w:val="SpecialCharTok"/>
        </w:rPr>
        <w:t xml:space="preserve">}</w:t>
      </w:r>
      <w:r>
        <w:rPr>
          <w:rStyle w:val="SpecialStringTok"/>
        </w:rPr>
        <w:t xml:space="preserve">   &lt;- destroyed</w:t>
      </w:r>
      <w:r>
        <w:rPr>
          <w:rStyle w:val="CharTok"/>
        </w:rPr>
        <w:t xml:space="preserve">\n</w:t>
      </w:r>
      <w:r>
        <w:rPr>
          <w:rStyle w:val="SpecialStringTok"/>
        </w:rPr>
        <w:t xml:space="preserve">"</w:t>
      </w:r>
      <w:r>
        <w:br/>
      </w:r>
      <w:r>
        <w:rPr>
          <w:rStyle w:val="NormalTok"/>
        </w:rPr>
        <w:t xml:space="preserve">            </w:t>
      </w:r>
      <w:r>
        <w:rPr>
          <w:rStyle w:val="SpecialStringTok"/>
        </w:rPr>
        <w:t xml:space="preserve">f"invalidation iota(a) : month=</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'month'</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f"ground=</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'ground'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f"payload readable     : </w:t>
      </w:r>
      <w:r>
        <w:rPr>
          <w:rStyle w:val="SpecialCharTok"/>
        </w:rPr>
        <w:t xml:space="preserve">{</w:t>
      </w:r>
      <w:r>
        <w:rPr>
          <w:rStyle w:val="BuiltInTok"/>
        </w:rPr>
        <w:t xml:space="preserve">bool</w:t>
      </w:r>
      <w:r>
        <w:rPr>
          <w:rStyle w:val="NormalTok"/>
        </w:rPr>
        <w:t xml:space="preserve">(trf.alpha(demo, demo.t_a </w:t>
      </w:r>
      <w:r>
        <w:rPr>
          <w:rStyle w:val="OperatorTok"/>
        </w:rPr>
        <w:t xml:space="preserve">+</w:t>
      </w:r>
      <w:r>
        <w:rPr>
          <w:rStyle w:val="NormalTok"/>
        </w:rPr>
        <w:t xml:space="preserve"> demo.floor))</w:t>
      </w:r>
      <w:r>
        <w:rPr>
          <w:rStyle w:val="SpecialCharTok"/>
        </w:rPr>
        <w:t xml:space="preserve">}</w:t>
      </w:r>
      <w:r>
        <w:rPr>
          <w:rStyle w:val="SpecialStringTok"/>
        </w:rPr>
        <w:t xml:space="preserve">"</w:t>
      </w:r>
      <w:r>
        <w:rPr>
          <w:rStyle w:val="NormalTok"/>
        </w:rPr>
        <w:t xml:space="preserve">,</w:t>
      </w:r>
      <w:r>
        <w:br/>
      </w:r>
      <w:r>
        <w:rPr>
          <w:rStyle w:val="NormalTok"/>
        </w:rPr>
        <w:t xml:space="preserve">            language</w:t>
      </w:r>
      <w:r>
        <w:rPr>
          <w:rStyle w:val="OperatorTok"/>
        </w:rPr>
        <w:t xml:space="preserve">=</w:t>
      </w:r>
      <w:r>
        <w:rPr>
          <w:rStyle w:val="StringTok"/>
        </w:rPr>
        <w:t xml:space="preserve">"text"</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w:t>
      </w:r>
      <w:r>
        <w:rPr>
          <w:rStyle w:val="StringTok"/>
        </w:rPr>
        <w:t xml:space="preserve">"sem1_total"</w:t>
      </w:r>
      <w:r>
        <w:rPr>
          <w:rStyle w:val="NormalTok"/>
        </w:rPr>
        <w:t xml:space="preserve">] </w:t>
      </w:r>
      <w:r>
        <w:rPr>
          <w:rStyle w:val="OperatorTok"/>
        </w:rPr>
        <w:t xml:space="preserve">==</w:t>
      </w:r>
      <w:r>
        <w:rPr>
          <w:rStyle w:val="NormalTok"/>
        </w:rPr>
        <w:t xml:space="preserve"> </w:t>
      </w:r>
      <w:r>
        <w:rPr>
          <w:rStyle w:val="DecValTok"/>
        </w:rPr>
        <w:t xml:space="preserve">95</w:t>
      </w:r>
      <w:r>
        <w:rPr>
          <w:rStyle w:val="NormalTok"/>
        </w:rPr>
        <w:t xml:space="preserve"> </w:t>
      </w:r>
      <w:r>
        <w:rPr>
          <w:rStyle w:val="KeywordTok"/>
        </w:rPr>
        <w:t xml:space="preserve">and</w:t>
      </w:r>
      <w:r>
        <w:rPr>
          <w:rStyle w:val="NormalTok"/>
        </w:rPr>
        <w:t xml:space="preserve"> M[</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M[</w:t>
      </w:r>
      <w:r>
        <w:rPr>
          <w:rStyle w:val="StringTok"/>
        </w:rPr>
        <w:t xml:space="preserve">"cor12"</w:t>
      </w:r>
      <w:r>
        <w:rPr>
          <w:rStyle w:val="NormalTok"/>
        </w:rPr>
        <w:t xml:space="preserve">] </w:t>
      </w:r>
      <w:r>
        <w:rPr>
          <w:rStyle w:val="OperatorTok"/>
        </w:rPr>
        <w:t xml:space="preserve">==</w:t>
      </w:r>
      <w:r>
        <w:rPr>
          <w:rStyle w:val="NormalTok"/>
        </w:rPr>
        <w:t xml:space="preserve"> </w:t>
      </w:r>
      <w:r>
        <w:rPr>
          <w:rStyle w:val="DecValTok"/>
        </w:rPr>
        <w:t xml:space="preserve">39</w:t>
      </w:r>
      <w:r>
        <w:rPr>
          <w:rStyle w:val="NormalTok"/>
        </w:rPr>
        <w:t xml:space="preserve">:</w:t>
      </w:r>
      <w:r>
        <w:br/>
      </w:r>
      <w:r>
        <w:rPr>
          <w:rStyle w:val="NormalTok"/>
        </w:rPr>
        <w:t xml:space="preserve">            st.success(</w:t>
      </w:r>
      <w:r>
        <w:br/>
      </w:r>
      <w:r>
        <w:rPr>
          <w:rStyle w:val="NormalTok"/>
        </w:rPr>
        <w:t xml:space="preserve">                </w:t>
      </w:r>
      <w:r>
        <w:rPr>
          <w:rStyle w:val="StringTok"/>
        </w:rPr>
        <w:t xml:space="preserve">"Matches the thesis: 95 violations across 90 records under "</w:t>
      </w:r>
      <w:r>
        <w:br/>
      </w:r>
      <w:r>
        <w:rPr>
          <w:rStyle w:val="NormalTok"/>
        </w:rPr>
        <w:t xml:space="preserve">                </w:t>
      </w:r>
      <w:r>
        <w:rPr>
          <w:rStyle w:val="StringTok"/>
        </w:rPr>
        <w:t xml:space="preserve">"Semantics I, 39 Corollary 1.2 witnesses, 0 violations under "</w:t>
      </w:r>
      <w:r>
        <w:br/>
      </w:r>
      <w:r>
        <w:rPr>
          <w:rStyle w:val="NormalTok"/>
        </w:rPr>
        <w:t xml:space="preserve">                </w:t>
      </w:r>
      <w:r>
        <w:rPr>
          <w:rStyle w:val="StringTok"/>
        </w:rPr>
        <w:t xml:space="preserve">"Semantics II."</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st.error(</w:t>
      </w:r>
      <w:r>
        <w:br/>
      </w:r>
      <w:r>
        <w:rPr>
          <w:rStyle w:val="NormalTok"/>
        </w:rPr>
        <w:t xml:space="preserve">                </w:t>
      </w:r>
      <w:r>
        <w:rPr>
          <w:rStyle w:val="StringTok"/>
        </w:rPr>
        <w:t xml:space="preserve">"This run does NOT match the figures reported in Chapter 5. "</w:t>
      </w:r>
      <w:r>
        <w:br/>
      </w:r>
      <w:r>
        <w:rPr>
          <w:rStyle w:val="NormalTok"/>
        </w:rPr>
        <w:t xml:space="preserve">                </w:t>
      </w:r>
      <w:r>
        <w:rPr>
          <w:rStyle w:val="StringTok"/>
        </w:rPr>
        <w:t xml:space="preserve">"Do not present these numbers — investigate the discrepancy first."</w:t>
      </w:r>
      <w:r>
        <w:br/>
      </w:r>
      <w:r>
        <w:rPr>
          <w:rStyle w:val="NormalTok"/>
        </w:rPr>
        <w:t xml:space="preserve">            )</w:t>
      </w:r>
      <w:r>
        <w:br/>
      </w:r>
      <w:r>
        <w:br/>
      </w:r>
      <w:r>
        <w:br/>
      </w:r>
      <w:r>
        <w:rPr>
          <w:rStyle w:val="CommentTok"/>
        </w:rPr>
        <w:t xml:space="preserve"># ----------------------------------------------------------------------</w:t>
      </w:r>
      <w:r>
        <w:br/>
      </w:r>
      <w:r>
        <w:rPr>
          <w:rStyle w:val="CommentTok"/>
        </w:rPr>
        <w:t xml:space="preserve"># Tab 2 — parameter exploration, explicitly outside the thesis</w:t>
      </w:r>
      <w:r>
        <w:br/>
      </w:r>
      <w:r>
        <w:rPr>
          <w:rStyle w:val="CommentTok"/>
        </w:rPr>
        <w:t xml:space="preserve"># ----------------------------------------------------------------------</w:t>
      </w:r>
      <w:r>
        <w:br/>
      </w:r>
      <w:r>
        <w:br/>
      </w:r>
      <w:r>
        <w:rPr>
          <w:rStyle w:val="ControlFlowTok"/>
        </w:rPr>
        <w:t xml:space="preserve">with</w:t>
      </w:r>
      <w:r>
        <w:rPr>
          <w:rStyle w:val="NormalTok"/>
        </w:rPr>
        <w:t xml:space="preserve"> tab2:</w:t>
      </w:r>
      <w:r>
        <w:br/>
      </w:r>
      <w:r>
        <w:rPr>
          <w:rStyle w:val="NormalTok"/>
        </w:rPr>
        <w:t xml:space="preserve">    st.subheader(</w:t>
      </w:r>
      <w:r>
        <w:rPr>
          <w:rStyle w:val="StringTok"/>
        </w:rPr>
        <w:t xml:space="preserve">"Exploration — how the violation rate responds to parameters"</w:t>
      </w:r>
      <w:r>
        <w:rPr>
          <w:rStyle w:val="NormalTok"/>
        </w:rPr>
        <w:t xml:space="preserve">)</w:t>
      </w:r>
      <w:r>
        <w:br/>
      </w:r>
      <w:r>
        <w:rPr>
          <w:rStyle w:val="NormalTok"/>
        </w:rPr>
        <w:t xml:space="preserve">    st.warning(</w:t>
      </w:r>
      <w:r>
        <w:br/>
      </w:r>
      <w:r>
        <w:rPr>
          <w:rStyle w:val="NormalTok"/>
        </w:rPr>
        <w:t xml:space="preserve">        </w:t>
      </w:r>
      <w:r>
        <w:rPr>
          <w:rStyle w:val="StringTok"/>
        </w:rPr>
        <w:t xml:space="preserve">"Not a thesis claim. The thesis reports the seed-20260915 configuration "</w:t>
      </w:r>
      <w:r>
        <w:br/>
      </w:r>
      <w:r>
        <w:rPr>
          <w:rStyle w:val="NormalTok"/>
        </w:rPr>
        <w:t xml:space="preserve">        </w:t>
      </w:r>
      <w:r>
        <w:rPr>
          <w:rStyle w:val="StringTok"/>
        </w:rPr>
        <w:t xml:space="preserve">"only. This tab exists to show that the collision is not an artefact of "</w:t>
      </w:r>
      <w:r>
        <w:br/>
      </w:r>
      <w:r>
        <w:rPr>
          <w:rStyle w:val="NormalTok"/>
        </w:rPr>
        <w:t xml:space="preserve">        </w:t>
      </w:r>
      <w:r>
        <w:rPr>
          <w:rStyle w:val="StringTok"/>
        </w:rPr>
        <w:t xml:space="preserve">"the chosen parameters: Theorem 1 holds for any parameters under which a "</w:t>
      </w:r>
      <w:r>
        <w:br/>
      </w:r>
      <w:r>
        <w:rPr>
          <w:rStyle w:val="NormalTok"/>
        </w:rPr>
        <w:t xml:space="preserve">        </w:t>
      </w:r>
      <w:r>
        <w:rPr>
          <w:rStyle w:val="StringTok"/>
        </w:rPr>
        <w:t xml:space="preserve">"deadline falls inside a retention window."</w:t>
      </w:r>
      <w:r>
        <w:br/>
      </w:r>
      <w:r>
        <w:rPr>
          <w:rStyle w:val="NormalTok"/>
        </w:rPr>
        <w:t xml:space="preserve">    )</w:t>
      </w:r>
      <w:r>
        <w:br/>
      </w:r>
      <w:r>
        <w:br/>
      </w:r>
      <w:r>
        <w:rPr>
          <w:rStyle w:val="NormalTok"/>
        </w:rPr>
        <w:t xml:space="preserve">    p_primary </w:t>
      </w:r>
      <w:r>
        <w:rPr>
          <w:rStyle w:val="OperatorTok"/>
        </w:rPr>
        <w:t xml:space="preserve">=</w:t>
      </w:r>
      <w:r>
        <w:rPr>
          <w:rStyle w:val="NormalTok"/>
        </w:rPr>
        <w:t xml:space="preserve"> st.slider(</w:t>
      </w:r>
      <w:r>
        <w:rPr>
          <w:rStyle w:val="StringTok"/>
        </w:rPr>
        <w:t xml:space="preserve">"Erasure-request probability — cross-border"</w:t>
      </w:r>
      <w:r>
        <w:rPr>
          <w:rStyle w:val="NormalTok"/>
        </w:rPr>
        <w:t xml:space="preserve">,</w:t>
      </w:r>
      <w:r>
        <w:br/>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0.40</w:t>
      </w:r>
      <w:r>
        <w:rPr>
          <w:rStyle w:val="NormalTok"/>
        </w:rPr>
        <w:t xml:space="preserve">, </w:t>
      </w:r>
      <w:r>
        <w:rPr>
          <w:rStyle w:val="FloatTok"/>
        </w:rPr>
        <w:t xml:space="preserve">0.05</w:t>
      </w:r>
      <w:r>
        <w:rPr>
          <w:rStyle w:val="NormalTok"/>
        </w:rPr>
        <w:t xml:space="preserve">)</w:t>
      </w:r>
      <w:r>
        <w:br/>
      </w:r>
      <w:r>
        <w:rPr>
          <w:rStyle w:val="NormalTok"/>
        </w:rPr>
        <w:t xml:space="preserve">    p_spe </w:t>
      </w:r>
      <w:r>
        <w:rPr>
          <w:rStyle w:val="OperatorTok"/>
        </w:rPr>
        <w:t xml:space="preserve">=</w:t>
      </w:r>
      <w:r>
        <w:rPr>
          <w:rStyle w:val="NormalTok"/>
        </w:rPr>
        <w:t xml:space="preserve"> st.slider(</w:t>
      </w:r>
      <w:r>
        <w:rPr>
          <w:rStyle w:val="StringTok"/>
        </w:rPr>
        <w:t xml:space="preserve">"Erasure-request probability — SPE"</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0.25</w:t>
      </w:r>
      <w:r>
        <w:rPr>
          <w:rStyle w:val="NormalTok"/>
        </w:rPr>
        <w:t xml:space="preserve">, </w:t>
      </w:r>
      <w:r>
        <w:rPr>
          <w:rStyle w:val="FloatTok"/>
        </w:rPr>
        <w:t xml:space="preserve">0.05</w:t>
      </w:r>
      <w:r>
        <w:rPr>
          <w:rStyle w:val="NormalTok"/>
        </w:rPr>
        <w:t xml:space="preserve">)</w:t>
      </w:r>
      <w:r>
        <w:br/>
      </w:r>
      <w:r>
        <w:rPr>
          <w:rStyle w:val="NormalTok"/>
        </w:rPr>
        <w:t xml:space="preserve">    pi_max </w:t>
      </w:r>
      <w:r>
        <w:rPr>
          <w:rStyle w:val="OperatorTok"/>
        </w:rPr>
        <w:t xml:space="preserve">=</w:t>
      </w:r>
      <w:r>
        <w:rPr>
          <w:rStyle w:val="NormalTok"/>
        </w:rPr>
        <w:t xml:space="preserve"> st.slider(</w:t>
      </w:r>
      <w:r>
        <w:rPr>
          <w:rStyle w:val="StringTok"/>
        </w:rPr>
        <w:t xml:space="preserve">"Permit horizon, months — SPE"</w:t>
      </w:r>
      <w:r>
        <w:rPr>
          <w:rStyle w:val="NormalTok"/>
        </w:rPr>
        <w:t xml:space="preserve">, </w:t>
      </w:r>
      <w:r>
        <w:rPr>
          <w:rStyle w:val="DecValTok"/>
        </w:rPr>
        <w:t xml:space="preserve">1</w:t>
      </w:r>
      <w:r>
        <w:rPr>
          <w:rStyle w:val="NormalTok"/>
        </w:rPr>
        <w:t xml:space="preserve">, </w:t>
      </w:r>
      <w:r>
        <w:rPr>
          <w:rStyle w:val="DecValTok"/>
        </w:rPr>
        <w:t xml:space="preserve">60</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exploration"</w:t>
      </w:r>
      <w:r>
        <w:rPr>
          <w:rStyle w:val="NormalTok"/>
        </w:rPr>
        <w:t xml:space="preserve">, key</w:t>
      </w:r>
      <w:r>
        <w:rPr>
          <w:rStyle w:val="OperatorTok"/>
        </w:rPr>
        <w:t xml:space="preserve">=</w:t>
      </w:r>
      <w:r>
        <w:rPr>
          <w:rStyle w:val="StringTok"/>
        </w:rPr>
        <w:t xml:space="preserve">"run_explore"</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br/>
      </w:r>
      <w:r>
        <w:rPr>
          <w:rStyle w:val="NormalTok"/>
        </w:rPr>
        <w:t xml:space="preserve">        rng </w:t>
      </w:r>
      <w:r>
        <w:rPr>
          <w:rStyle w:val="OperatorTok"/>
        </w:rPr>
        <w:t xml:space="preserve">=</w:t>
      </w:r>
      <w:r>
        <w:rPr>
          <w:rStyle w:val="NormalTok"/>
        </w:rPr>
        <w:t xml:space="preserve"> random.Random(trf.SEED)</w:t>
      </w:r>
      <w:r>
        <w:br/>
      </w:r>
      <w:r>
        <w:rPr>
          <w:rStyle w:val="NormalTok"/>
        </w:rPr>
        <w:t xml:space="preserve">        records, rid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p_primary </w:t>
      </w:r>
      <w:r>
        <w:rPr>
          <w:rStyle w:val="ControlFlowTok"/>
        </w:rPr>
        <w:t xml:space="preserve">else</w:t>
      </w:r>
      <w:r>
        <w:rPr>
          <w:rStyle w:val="NormalTok"/>
        </w:rPr>
        <w:t xml:space="preserve"> trf.INF</w:t>
      </w:r>
      <w:r>
        <w:br/>
      </w:r>
      <w:r>
        <w:rPr>
          <w:rStyle w:val="NormalTok"/>
        </w:rPr>
        <w:t xml:space="preserve">            records.append(trf.Record(rid, t_a, trf.FLOOR_XBORDER, </w:t>
      </w:r>
      <w:r>
        <w:rPr>
          <w:rStyle w:val="StringTok"/>
        </w:rPr>
        <w:t xml:space="preserve">"primary"</w:t>
      </w:r>
      <w:r>
        <w:rPr>
          <w:rStyle w:val="NormalTok"/>
        </w:rPr>
        <w:t xml:space="preserve">,</w:t>
      </w:r>
      <w:r>
        <w:br/>
      </w:r>
      <w:r>
        <w:rPr>
          <w:rStyle w:val="NormalTok"/>
        </w:rPr>
        <w:t xml:space="preserve">                                      </w:t>
      </w:r>
      <w:r>
        <w:rPr>
          <w:rStyle w:val="SpecialStringTok"/>
        </w:rPr>
        <w:t xml:space="preserve">f"&lt;payload </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 t_r</w:t>
      </w:r>
      <w:r>
        <w:rPr>
          <w:rStyle w:val="OperatorTok"/>
        </w:rPr>
        <w:t xml:space="preserve">=</w:t>
      </w:r>
      <w:r>
        <w:rPr>
          <w:rStyle w:val="NormalTok"/>
        </w:rPr>
        <w:t xml:space="preserve">t_r))</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pi_max)</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p_spe </w:t>
      </w:r>
      <w:r>
        <w:rPr>
          <w:rStyle w:val="ControlFlowTok"/>
        </w:rPr>
        <w:t xml:space="preserve">else</w:t>
      </w:r>
      <w:r>
        <w:rPr>
          <w:rStyle w:val="NormalTok"/>
        </w:rPr>
        <w:t xml:space="preserve"> trf.INF</w:t>
      </w:r>
      <w:r>
        <w:br/>
      </w:r>
      <w:r>
        <w:rPr>
          <w:rStyle w:val="NormalTok"/>
        </w:rPr>
        <w:t xml:space="preserve">            records.append(trf.Record(rid, t_a, trf.FLOOR_SPE, </w:t>
      </w:r>
      <w:r>
        <w:rPr>
          <w:rStyle w:val="StringTok"/>
        </w:rPr>
        <w:t xml:space="preserve">"secondary"</w:t>
      </w:r>
      <w:r>
        <w:rPr>
          <w:rStyle w:val="NormalTok"/>
        </w:rPr>
        <w:t xml:space="preserve">,</w:t>
      </w:r>
      <w:r>
        <w:br/>
      </w:r>
      <w:r>
        <w:rPr>
          <w:rStyle w:val="NormalTok"/>
        </w:rPr>
        <w:t xml:space="preserve">                                      </w:t>
      </w:r>
      <w:r>
        <w:rPr>
          <w:rStyle w:val="SpecialStringTok"/>
        </w:rPr>
        <w:t xml:space="preserve">f"&lt;payload </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rid </w:t>
      </w:r>
      <w:r>
        <w:rPr>
          <w:rStyle w:val="OperatorTok"/>
        </w:rPr>
        <w:t xml:space="preserve">+=</w:t>
      </w:r>
      <w:r>
        <w:rPr>
          <w:rStyle w:val="NormalTok"/>
        </w:rPr>
        <w:t xml:space="preserve"> </w:t>
      </w:r>
      <w:r>
        <w:rPr>
          <w:rStyle w:val="DecValTok"/>
        </w:rPr>
        <w:t xml:space="preserve">1</w:t>
      </w:r>
      <w:r>
        <w:br/>
      </w:r>
      <w:r>
        <w:br/>
      </w:r>
      <w:r>
        <w:rPr>
          <w:rStyle w:val="NormalTok"/>
        </w:rPr>
        <w:t xml:space="preserve">        M, _ </w:t>
      </w:r>
      <w:r>
        <w:rPr>
          <w:rStyle w:val="OperatorTok"/>
        </w:rPr>
        <w:t xml:space="preserve">=</w:t>
      </w:r>
      <w:r>
        <w:rPr>
          <w:rStyle w:val="NormalTok"/>
        </w:rPr>
        <w:t xml:space="preserve"> measure(records)</w:t>
      </w:r>
      <w:r>
        <w:br/>
      </w:r>
      <w:r>
        <w:rPr>
          <w:rStyle w:val="NormalTok"/>
        </w:rPr>
        <w:t xml:space="preserve">        c1, c2, c3 </w:t>
      </w:r>
      <w:r>
        <w:rPr>
          <w:rStyle w:val="OperatorTok"/>
        </w:rPr>
        <w:t xml:space="preserve">=</w:t>
      </w:r>
      <w:r>
        <w:rPr>
          <w:rStyle w:val="NormalTok"/>
        </w:rPr>
        <w:t xml:space="preserve"> st.columns(</w:t>
      </w:r>
      <w:r>
        <w:rPr>
          <w:rStyle w:val="DecValTok"/>
        </w:rPr>
        <w:t xml:space="preserve">3</w:t>
      </w:r>
      <w:r>
        <w:rPr>
          <w:rStyle w:val="NormalTok"/>
        </w:rPr>
        <w:t xml:space="preserve">)</w:t>
      </w:r>
      <w:r>
        <w:br/>
      </w:r>
      <w:r>
        <w:rPr>
          <w:rStyle w:val="NormalTok"/>
        </w:rPr>
        <w:t xml:space="preserve">        c1.metric(</w:t>
      </w:r>
      <w:r>
        <w:rPr>
          <w:rStyle w:val="StringTok"/>
        </w:rPr>
        <w:t xml:space="preserve">"Records infeasible — Semantics I"</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'sem1_records'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M[</w:t>
      </w:r>
      <w:r>
        <w:rPr>
          <w:rStyle w:val="StringTok"/>
        </w:rPr>
        <w:t xml:space="preserve">'records'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c2.metric(</w:t>
      </w:r>
      <w:r>
        <w:rPr>
          <w:rStyle w:val="StringTok"/>
        </w:rPr>
        <w:t xml:space="preserve">"Corollary 1.2 witnesses"</w:t>
      </w:r>
      <w:r>
        <w:rPr>
          <w:rStyle w:val="NormalTok"/>
        </w:rPr>
        <w:t xml:space="preserve">, M[</w:t>
      </w:r>
      <w:r>
        <w:rPr>
          <w:rStyle w:val="StringTok"/>
        </w:rPr>
        <w:t xml:space="preserve">"cor12"</w:t>
      </w:r>
      <w:r>
        <w:rPr>
          <w:rStyle w:val="NormalTok"/>
        </w:rPr>
        <w:t xml:space="preserve">])</w:t>
      </w:r>
      <w:r>
        <w:br/>
      </w:r>
      <w:r>
        <w:rPr>
          <w:rStyle w:val="NormalTok"/>
        </w:rPr>
        <w:t xml:space="preserve">        c3.metric(</w:t>
      </w:r>
      <w:r>
        <w:rPr>
          <w:rStyle w:val="StringTok"/>
        </w:rPr>
        <w:t xml:space="preserve">"Violations — Semantics II"</w:t>
      </w:r>
      <w:r>
        <w:rPr>
          <w:rStyle w:val="NormalTok"/>
        </w:rPr>
        <w:t xml:space="preserve">, M[</w:t>
      </w:r>
      <w:r>
        <w:rPr>
          <w:rStyle w:val="StringTok"/>
        </w:rPr>
        <w:t xml:space="preserve">"sem2_total"</w:t>
      </w:r>
      <w:r>
        <w:rPr>
          <w:rStyle w:val="NormalTok"/>
        </w:rPr>
        <w:t xml:space="preserve">])</w:t>
      </w:r>
      <w:r>
        <w:br/>
      </w:r>
      <w:r>
        <w:rPr>
          <w:rStyle w:val="NormalTok"/>
        </w:rPr>
        <w:t xml:space="preserve">        st.caption(</w:t>
      </w:r>
      <w:r>
        <w:br/>
      </w:r>
      <w:r>
        <w:rPr>
          <w:rStyle w:val="NormalTok"/>
        </w:rPr>
        <w:t xml:space="preserve">            </w:t>
      </w:r>
      <w:r>
        <w:rPr>
          <w:rStyle w:val="SpecialStringTok"/>
        </w:rPr>
        <w:t xml:space="preserve">f"Structural SPE collision rate at this horizon is approximately "</w:t>
      </w:r>
      <w:r>
        <w:br/>
      </w:r>
      <w:r>
        <w:rPr>
          <w:rStyle w:val="NormalTok"/>
        </w:rPr>
        <w:t xml:space="preserve">            </w:t>
      </w:r>
      <w:r>
        <w:rPr>
          <w:rStyle w:val="SpecialStringTok"/>
        </w:rPr>
        <w:t xml:space="preserve">f"6/</w:t>
      </w:r>
      <w:r>
        <w:rPr>
          <w:rStyle w:val="SpecialCharTok"/>
        </w:rPr>
        <w:t xml:space="preserve">{</w:t>
      </w:r>
      <w:r>
        <w:rPr>
          <w:rStyle w:val="NormalTok"/>
        </w:rPr>
        <w:t xml:space="preserve">pi_max</w:t>
      </w:r>
      <w:r>
        <w:rPr>
          <w:rStyle w:val="SpecialCharTok"/>
        </w:rPr>
        <w:t xml:space="preserve">}</w:t>
      </w:r>
      <w:r>
        <w:rPr>
          <w:rStyle w:val="SpecialStringTok"/>
        </w:rPr>
        <w:t xml:space="preserve"> = </w:t>
      </w:r>
      <w:r>
        <w:rPr>
          <w:rStyle w:val="SpecialCharTok"/>
        </w:rPr>
        <w:t xml:space="preserve">{</w:t>
      </w:r>
      <w:r>
        <w:rPr>
          <w:rStyle w:val="DecValTok"/>
        </w:rPr>
        <w:t xml:space="preserve">6</w:t>
      </w:r>
      <w:r>
        <w:rPr>
          <w:rStyle w:val="NormalTok"/>
        </w:rPr>
        <w:t xml:space="preserve"> </w:t>
      </w:r>
      <w:r>
        <w:rPr>
          <w:rStyle w:val="OperatorTok"/>
        </w:rPr>
        <w:t xml:space="preserve">/</w:t>
      </w:r>
      <w:r>
        <w:rPr>
          <w:rStyle w:val="NormalTok"/>
        </w:rPr>
        <w:t xml:space="preserve"> pi_max</w:t>
      </w:r>
      <w:r>
        <w:rPr>
          <w:rStyle w:val="SpecialCharTok"/>
        </w:rPr>
        <w:t xml:space="preserve">:.0%}</w:t>
      </w:r>
      <w:r>
        <w:rPr>
          <w:rStyle w:val="SpecialStringTok"/>
        </w:rPr>
        <w:t xml:space="preserve">, as Chapter 5, Section 5.4 states. "</w:t>
      </w:r>
      <w:r>
        <w:br/>
      </w:r>
      <w:r>
        <w:rPr>
          <w:rStyle w:val="NormalTok"/>
        </w:rPr>
        <w:t xml:space="preserve">            </w:t>
      </w:r>
      <w:r>
        <w:rPr>
          <w:rStyle w:val="SpecialStringTok"/>
        </w:rPr>
        <w:t xml:space="preserve">f"Semantics II yields </w:t>
      </w:r>
      <w:r>
        <w:rPr>
          <w:rStyle w:val="SpecialCharTok"/>
        </w:rPr>
        <w:t xml:space="preserve">{</w:t>
      </w:r>
      <w:r>
        <w:rPr>
          <w:rStyle w:val="NormalTok"/>
        </w:rPr>
        <w:t xml:space="preserve">M[</w:t>
      </w:r>
      <w:r>
        <w:rPr>
          <w:rStyle w:val="StringTok"/>
        </w:rPr>
        <w:t xml:space="preserve">'sem2_total'</w:t>
      </w:r>
      <w:r>
        <w:rPr>
          <w:rStyle w:val="NormalTok"/>
        </w:rPr>
        <w:t xml:space="preserve">]</w:t>
      </w:r>
      <w:r>
        <w:rPr>
          <w:rStyle w:val="SpecialCharTok"/>
        </w:rPr>
        <w:t xml:space="preserve">}</w:t>
      </w:r>
      <w:r>
        <w:rPr>
          <w:rStyle w:val="SpecialStringTok"/>
        </w:rPr>
        <w:t xml:space="preserve"> violations at every setting."</w:t>
      </w:r>
      <w:r>
        <w:br/>
      </w:r>
      <w:r>
        <w:rPr>
          <w:rStyle w:val="NormalTok"/>
        </w:rPr>
        <w:t xml:space="preserve">        )</w:t>
      </w:r>
      <w:r>
        <w:br/>
      </w:r>
      <w:r>
        <w:br/>
      </w:r>
      <w:r>
        <w:br/>
      </w:r>
      <w:r>
        <w:rPr>
          <w:rStyle w:val="CommentTok"/>
        </w:rPr>
        <w:t xml:space="preserve"># ----------------------------------------------------------------------</w:t>
      </w:r>
      <w:r>
        <w:br/>
      </w:r>
      <w:r>
        <w:rPr>
          <w:rStyle w:val="CommentTok"/>
        </w:rPr>
        <w:t xml:space="preserve"># Tab 3 — Synthea realism layer</w:t>
      </w:r>
      <w:r>
        <w:br/>
      </w:r>
      <w:r>
        <w:rPr>
          <w:rStyle w:val="CommentTok"/>
        </w:rPr>
        <w:t xml:space="preserve"># ----------------------------------------------------------------------</w:t>
      </w:r>
      <w:r>
        <w:br/>
      </w:r>
      <w:r>
        <w:br/>
      </w:r>
      <w:r>
        <w:rPr>
          <w:rStyle w:val="ControlFlowTok"/>
        </w:rPr>
        <w:t xml:space="preserve">with</w:t>
      </w:r>
      <w:r>
        <w:rPr>
          <w:rStyle w:val="NormalTok"/>
        </w:rPr>
        <w:t xml:space="preserve"> tab3:</w:t>
      </w:r>
      <w:r>
        <w:br/>
      </w:r>
      <w:r>
        <w:rPr>
          <w:rStyle w:val="NormalTok"/>
        </w:rPr>
        <w:t xml:space="preserve">    st.subheader(</w:t>
      </w:r>
      <w:r>
        <w:rPr>
          <w:rStyle w:val="StringTok"/>
        </w:rPr>
        <w:t xml:space="preserve">"Synthea realism layer — payload-provenance invariance"</w:t>
      </w:r>
      <w:r>
        <w:rPr>
          <w:rStyle w:val="NormalTok"/>
        </w:rPr>
        <w:t xml:space="preserve">)</w:t>
      </w:r>
      <w:r>
        <w:br/>
      </w:r>
      <w:r>
        <w:rPr>
          <w:rStyle w:val="NormalTok"/>
        </w:rPr>
        <w:t xml:space="preserve">    st.write(</w:t>
      </w:r>
      <w:r>
        <w:br/>
      </w:r>
      <w:r>
        <w:rPr>
          <w:rStyle w:val="NormalTok"/>
        </w:rPr>
        <w:t xml:space="preserve">        </w:t>
      </w:r>
      <w:r>
        <w:rPr>
          <w:rStyle w:val="StringTok"/>
        </w:rPr>
        <w:t xml:space="preserve">"Replaces constructed payloads with committed Synthea FHIR R4 resources "</w:t>
      </w:r>
      <w:r>
        <w:br/>
      </w:r>
      <w:r>
        <w:rPr>
          <w:rStyle w:val="NormalTok"/>
        </w:rPr>
        <w:t xml:space="preserve">        </w:t>
      </w:r>
      <w:r>
        <w:rPr>
          <w:rStyle w:val="StringTok"/>
        </w:rPr>
        <w:t xml:space="preserve">"and reruns both checkers with every timing quantity untouched. Java is "</w:t>
      </w:r>
      <w:r>
        <w:br/>
      </w:r>
      <w:r>
        <w:rPr>
          <w:rStyle w:val="NormalTok"/>
        </w:rPr>
        <w:t xml:space="preserve">        </w:t>
      </w:r>
      <w:r>
        <w:rPr>
          <w:rStyle w:val="StringTok"/>
        </w:rPr>
        <w:t xml:space="preserve">"needed only for the offline generation step, never at runtime. Expected "</w:t>
      </w:r>
      <w:r>
        <w:br/>
      </w:r>
      <w:r>
        <w:rPr>
          <w:rStyle w:val="NormalTok"/>
        </w:rPr>
        <w:t xml:space="preserve">        </w:t>
      </w:r>
      <w:r>
        <w:rPr>
          <w:rStyle w:val="StringTok"/>
        </w:rPr>
        <w:t xml:space="preserve">"result: every figure identical, every commitment different."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realism comparison"</w:t>
      </w:r>
      <w:r>
        <w:rPr>
          <w:rStyle w:val="NormalTok"/>
        </w:rPr>
        <w:t xml:space="preserve">, key</w:t>
      </w:r>
      <w:r>
        <w:rPr>
          <w:rStyle w:val="OperatorTok"/>
        </w:rPr>
        <w:t xml:space="preserve">=</w:t>
      </w:r>
      <w:r>
        <w:rPr>
          <w:rStyle w:val="StringTok"/>
        </w:rPr>
        <w:t xml:space="preserve">"run_synthea"</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synthea_layer </w:t>
      </w:r>
      <w:r>
        <w:rPr>
          <w:rStyle w:val="ImportTok"/>
        </w:rPr>
        <w:t xml:space="preserve">as</w:t>
      </w:r>
      <w:r>
        <w:rPr>
          <w:rStyle w:val="NormalTok"/>
        </w:rPr>
        <w:t xml:space="preserve"> sl</w:t>
      </w:r>
      <w:r>
        <w:br/>
      </w:r>
      <w:r>
        <w:br/>
      </w:r>
      <w:r>
        <w:rPr>
          <w:rStyle w:val="NormalTok"/>
        </w:rPr>
        <w:t xml:space="preserve">            </w:t>
      </w:r>
      <w:r>
        <w:rPr>
          <w:rStyle w:val="ControlFlowTok"/>
        </w:rPr>
        <w:t xml:space="preserve">with</w:t>
      </w:r>
      <w:r>
        <w:rPr>
          <w:rStyle w:val="NormalTok"/>
        </w:rPr>
        <w:t xml:space="preserve"> st.spinner(</w:t>
      </w:r>
      <w:r>
        <w:rPr>
          <w:rStyle w:val="StringTok"/>
        </w:rPr>
        <w:t xml:space="preserve">"Loading bundles and rerunning both checkers ..."</w:t>
      </w:r>
      <w:r>
        <w:rPr>
          <w:rStyle w:val="NormalTok"/>
        </w:rPr>
        <w:t xml:space="preserve">):</w:t>
      </w:r>
      <w:r>
        <w:br/>
      </w:r>
      <w:r>
        <w:rPr>
          <w:rStyle w:val="NormalTok"/>
        </w:rPr>
        <w:t xml:space="preserve">                base </w:t>
      </w:r>
      <w:r>
        <w:rPr>
          <w:rStyle w:val="OperatorTok"/>
        </w:rPr>
        <w:t xml:space="preserve">=</w:t>
      </w:r>
      <w:r>
        <w:rPr>
          <w:rStyle w:val="NormalTok"/>
        </w:rPr>
        <w:t xml:space="preserve"> trf.generate()</w:t>
      </w:r>
      <w:r>
        <w:br/>
      </w:r>
      <w:r>
        <w:rPr>
          <w:rStyle w:val="NormalTok"/>
        </w:rPr>
        <w:t xml:space="preserve">                real, n_files, n_payloads </w:t>
      </w:r>
      <w:r>
        <w:rPr>
          <w:rStyle w:val="OperatorTok"/>
        </w:rPr>
        <w:t xml:space="preserve">=</w:t>
      </w:r>
      <w:r>
        <w:rPr>
          <w:rStyle w:val="NormalTok"/>
        </w:rPr>
        <w:t xml:space="preserve"> sl.generate_with_synthea()</w:t>
      </w:r>
      <w:r>
        <w:br/>
      </w:r>
      <w:r>
        <w:rPr>
          <w:rStyle w:val="NormalTok"/>
        </w:rPr>
        <w:t xml:space="preserve">                mean_base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base) </w:t>
      </w:r>
      <w:r>
        <w:rPr>
          <w:rStyle w:val="OperatorTok"/>
        </w:rPr>
        <w:t xml:space="preserve">//</w:t>
      </w:r>
      <w:r>
        <w:rPr>
          <w:rStyle w:val="NormalTok"/>
        </w:rPr>
        <w:t xml:space="preserve"> </w:t>
      </w:r>
      <w:r>
        <w:rPr>
          <w:rStyle w:val="BuiltInTok"/>
        </w:rPr>
        <w:t xml:space="preserve">len</w:t>
      </w:r>
      <w:r>
        <w:rPr>
          <w:rStyle w:val="NormalTok"/>
        </w:rPr>
        <w:t xml:space="preserve">(base)</w:t>
      </w:r>
      <w:r>
        <w:br/>
      </w:r>
      <w:r>
        <w:rPr>
          <w:rStyle w:val="NormalTok"/>
        </w:rPr>
        <w:t xml:space="preserve">                mean_real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real) </w:t>
      </w:r>
      <w:r>
        <w:rPr>
          <w:rStyle w:val="OperatorTok"/>
        </w:rPr>
        <w:t xml:space="preserve">//</w:t>
      </w:r>
      <w:r>
        <w:rPr>
          <w:rStyle w:val="NormalTok"/>
        </w:rPr>
        <w:t xml:space="preserve"> </w:t>
      </w:r>
      <w:r>
        <w:rPr>
          <w:rStyle w:val="BuiltInTok"/>
        </w:rPr>
        <w:t xml:space="preserve">len</w:t>
      </w:r>
      <w:r>
        <w:rPr>
          <w:rStyle w:val="NormalTok"/>
        </w:rPr>
        <w:t xml:space="preserve">(real)</w:t>
      </w:r>
      <w:r>
        <w:br/>
      </w:r>
      <w:r>
        <w:rPr>
          <w:rStyle w:val="NormalTok"/>
        </w:rPr>
        <w:t xml:space="preserve">                diff_c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(base, real) </w:t>
      </w:r>
      <w:r>
        <w:rPr>
          <w:rStyle w:val="ControlFlowTok"/>
        </w:rPr>
        <w:t xml:space="preserve">if</w:t>
      </w:r>
      <w:r>
        <w:rPr>
          <w:rStyle w:val="NormalTok"/>
        </w:rPr>
        <w:t xml:space="preserve"> x.c </w:t>
      </w:r>
      <w:r>
        <w:rPr>
          <w:rStyle w:val="OperatorTok"/>
        </w:rPr>
        <w:t xml:space="preserve">!=</w:t>
      </w:r>
      <w:r>
        <w:rPr>
          <w:rStyle w:val="NormalTok"/>
        </w:rPr>
        <w:t xml:space="preserve"> y.c)</w:t>
      </w:r>
      <w:r>
        <w:br/>
      </w:r>
      <w:r>
        <w:rPr>
          <w:rStyle w:val="NormalTok"/>
        </w:rPr>
        <w:t xml:space="preserve">                Mb, _ </w:t>
      </w:r>
      <w:r>
        <w:rPr>
          <w:rStyle w:val="OperatorTok"/>
        </w:rPr>
        <w:t xml:space="preserve">=</w:t>
      </w:r>
      <w:r>
        <w:rPr>
          <w:rStyle w:val="NormalTok"/>
        </w:rPr>
        <w:t xml:space="preserve"> measure(base)</w:t>
      </w:r>
      <w:r>
        <w:br/>
      </w:r>
      <w:r>
        <w:rPr>
          <w:rStyle w:val="NormalTok"/>
        </w:rPr>
        <w:t xml:space="preserve">                Mr, _ </w:t>
      </w:r>
      <w:r>
        <w:rPr>
          <w:rStyle w:val="OperatorTok"/>
        </w:rPr>
        <w:t xml:space="preserve">=</w:t>
      </w:r>
      <w:r>
        <w:rPr>
          <w:rStyle w:val="NormalTok"/>
        </w:rPr>
        <w:t xml:space="preserve"> measure(real)</w:t>
      </w:r>
      <w:r>
        <w:br/>
      </w:r>
      <w:r>
        <w:br/>
      </w:r>
      <w:r>
        <w:rPr>
          <w:rStyle w:val="NormalTok"/>
        </w:rPr>
        <w:t xml:space="preserve">            st.write(</w:t>
      </w:r>
      <w:r>
        <w:br/>
      </w:r>
      <w:r>
        <w:rPr>
          <w:rStyle w:val="NormalTok"/>
        </w:rPr>
        <w:t xml:space="preserve">                </w:t>
      </w:r>
      <w:r>
        <w:rPr>
          <w:rStyle w:val="SpecialStringTok"/>
        </w:rPr>
        <w:t xml:space="preserve">f"Bundles read: </w:t>
      </w:r>
      <w:r>
        <w:rPr>
          <w:rStyle w:val="SpecialCharTok"/>
        </w:rPr>
        <w:t xml:space="preserve">{</w:t>
      </w:r>
      <w:r>
        <w:rPr>
          <w:rStyle w:val="NormalTok"/>
        </w:rPr>
        <w:t xml:space="preserve">n_files</w:t>
      </w:r>
      <w:r>
        <w:rPr>
          <w:rStyle w:val="SpecialCharTok"/>
        </w:rPr>
        <w:t xml:space="preserve">}</w:t>
      </w:r>
      <w:r>
        <w:rPr>
          <w:rStyle w:val="SpecialStringTok"/>
        </w:rPr>
        <w:t xml:space="preserve">  |  clinical payloads: </w:t>
      </w:r>
      <w:r>
        <w:rPr>
          <w:rStyle w:val="SpecialCharTok"/>
        </w:rPr>
        <w:t xml:space="preserve">{</w:t>
      </w:r>
      <w:r>
        <w:rPr>
          <w:rStyle w:val="NormalTok"/>
        </w:rPr>
        <w:t xml:space="preserve">n_payloads</w:t>
      </w:r>
      <w:r>
        <w:rPr>
          <w:rStyle w:val="SpecialCharTok"/>
        </w:rPr>
        <w:t xml:space="preserve">}</w:t>
      </w:r>
      <w:r>
        <w:rPr>
          <w:rStyle w:val="SpecialStringTok"/>
        </w:rPr>
        <w:t xml:space="preserve">  |  "</w:t>
      </w:r>
      <w:r>
        <w:br/>
      </w:r>
      <w:r>
        <w:rPr>
          <w:rStyle w:val="NormalTok"/>
        </w:rPr>
        <w:t xml:space="preserve">                </w:t>
      </w:r>
      <w:r>
        <w:rPr>
          <w:rStyle w:val="SpecialStringTok"/>
        </w:rPr>
        <w:t xml:space="preserve">f"records: </w:t>
      </w:r>
      <w:r>
        <w:rPr>
          <w:rStyle w:val="SpecialCha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br/>
      </w:r>
      <w:r>
        <w:rPr>
          <w:rStyle w:val="NormalTok"/>
        </w:rPr>
        <w:t xml:space="preserve">            )</w:t>
      </w:r>
      <w:r>
        <w:br/>
      </w:r>
      <w:r>
        <w:rPr>
          <w:rStyle w:val="NormalTok"/>
        </w:rPr>
        <w:t xml:space="preserve">            st.write(</w:t>
      </w:r>
      <w:r>
        <w:br/>
      </w:r>
      <w:r>
        <w:rPr>
          <w:rStyle w:val="NormalTok"/>
        </w:rPr>
        <w:t xml:space="preserve">                </w:t>
      </w:r>
      <w:r>
        <w:rPr>
          <w:rStyle w:val="SpecialStringTok"/>
        </w:rPr>
        <w:t xml:space="preserve">f"Mean payload size: constructed </w:t>
      </w:r>
      <w:r>
        <w:rPr>
          <w:rStyle w:val="SpecialCharTok"/>
        </w:rPr>
        <w:t xml:space="preserve">{</w:t>
      </w:r>
      <w:r>
        <w:rPr>
          <w:rStyle w:val="NormalTok"/>
        </w:rPr>
        <w:t xml:space="preserve">mean_base</w:t>
      </w:r>
      <w:r>
        <w:rPr>
          <w:rStyle w:val="SpecialCharTok"/>
        </w:rPr>
        <w:t xml:space="preserve">}</w:t>
      </w:r>
      <w:r>
        <w:rPr>
          <w:rStyle w:val="SpecialStringTok"/>
        </w:rPr>
        <w:t xml:space="preserve"> bytes, "</w:t>
      </w:r>
      <w:r>
        <w:br/>
      </w:r>
      <w:r>
        <w:rPr>
          <w:rStyle w:val="NormalTok"/>
        </w:rPr>
        <w:t xml:space="preserve">                </w:t>
      </w:r>
      <w:r>
        <w:rPr>
          <w:rStyle w:val="SpecialStringTok"/>
        </w:rPr>
        <w:t xml:space="preserve">f"Synthea </w:t>
      </w:r>
      <w:r>
        <w:rPr>
          <w:rStyle w:val="SpecialCharTok"/>
        </w:rPr>
        <w:t xml:space="preserve">{</w:t>
      </w:r>
      <w:r>
        <w:rPr>
          <w:rStyle w:val="NormalTok"/>
        </w:rPr>
        <w:t xml:space="preserve">mean_real</w:t>
      </w:r>
      <w:r>
        <w:rPr>
          <w:rStyle w:val="SpecialCharTok"/>
        </w:rPr>
        <w:t xml:space="preserve">}</w:t>
      </w:r>
      <w:r>
        <w:rPr>
          <w:rStyle w:val="SpecialStringTok"/>
        </w:rPr>
        <w:t xml:space="preserve"> bytes"</w:t>
      </w:r>
      <w:r>
        <w:br/>
      </w:r>
      <w:r>
        <w:rPr>
          <w:rStyle w:val="NormalTok"/>
        </w:rPr>
        <w:t xml:space="preserve">            )</w:t>
      </w:r>
      <w:r>
        <w:br/>
      </w:r>
      <w:r>
        <w:br/>
      </w:r>
      <w:r>
        <w:rPr>
          <w:rStyle w:val="NormalTok"/>
        </w:rPr>
        <w:t xml:space="preserve">            keys </w:t>
      </w:r>
      <w:r>
        <w:rPr>
          <w:rStyle w:val="OperatorTok"/>
        </w:rPr>
        <w:t xml:space="preserve">=</w:t>
      </w:r>
      <w:r>
        <w:rPr>
          <w:rStyle w:val="NormalTok"/>
        </w:rPr>
        <w:t xml:space="preserve"> [(</w:t>
      </w:r>
      <w:r>
        <w:rPr>
          <w:rStyle w:val="StringTok"/>
        </w:rPr>
        <w:t xml:space="preserve">"sem1_records"</w:t>
      </w:r>
      <w:r>
        <w:rPr>
          <w:rStyle w:val="NormalTok"/>
        </w:rPr>
        <w:t xml:space="preserve">, </w:t>
      </w:r>
      <w:r>
        <w:rPr>
          <w:rStyle w:val="StringTok"/>
        </w:rPr>
        <w:t xml:space="preserve">"Semantics I — records with violation"</w:t>
      </w:r>
      <w:r>
        <w:rPr>
          <w:rStyle w:val="NormalTok"/>
        </w:rPr>
        <w:t xml:space="preserve">),</w:t>
      </w:r>
      <w:r>
        <w:br/>
      </w:r>
      <w:r>
        <w:rPr>
          <w:rStyle w:val="NormalTok"/>
        </w:rPr>
        <w:t xml:space="preserve">                    (</w:t>
      </w:r>
      <w:r>
        <w:rPr>
          <w:rStyle w:val="StringTok"/>
        </w:rPr>
        <w:t xml:space="preserve">"sem1_total"</w:t>
      </w:r>
      <w:r>
        <w:rPr>
          <w:rStyle w:val="NormalTok"/>
        </w:rPr>
        <w:t xml:space="preserve">, </w:t>
      </w:r>
      <w:r>
        <w:rPr>
          <w:rStyle w:val="StringTok"/>
        </w:rPr>
        <w:t xml:space="preserve">"Semantics I — total violations"</w:t>
      </w:r>
      <w:r>
        <w:rPr>
          <w:rStyle w:val="NormalTok"/>
        </w:rPr>
        <w:t xml:space="preserve">),</w:t>
      </w:r>
      <w:r>
        <w:br/>
      </w:r>
      <w:r>
        <w:rPr>
          <w:rStyle w:val="NormalTok"/>
        </w:rPr>
        <w:t xml:space="preserve">                    (</w:t>
      </w:r>
      <w:r>
        <w:rPr>
          <w:rStyle w:val="StringTok"/>
        </w:rPr>
        <w:t xml:space="preserve">"cor12"</w:t>
      </w:r>
      <w:r>
        <w:rPr>
          <w:rStyle w:val="NormalTok"/>
        </w:rPr>
        <w:t xml:space="preserve">, </w:t>
      </w:r>
      <w:r>
        <w:rPr>
          <w:rStyle w:val="StringTok"/>
        </w:rPr>
        <w:t xml:space="preserve">"Corollary 1.2 witnesses"</w:t>
      </w:r>
      <w:r>
        <w:rPr>
          <w:rStyle w:val="NormalTok"/>
        </w:rPr>
        <w:t xml:space="preserve">),</w:t>
      </w:r>
      <w:r>
        <w:br/>
      </w:r>
      <w:r>
        <w:rPr>
          <w:rStyle w:val="NormalTok"/>
        </w:rPr>
        <w:t xml:space="preserve">                    (</w:t>
      </w:r>
      <w:r>
        <w:rPr>
          <w:rStyle w:val="StringTok"/>
        </w:rPr>
        <w:t xml:space="preserve">"invalidated"</w:t>
      </w:r>
      <w:r>
        <w:rPr>
          <w:rStyle w:val="NormalTok"/>
        </w:rPr>
        <w:t xml:space="preserve">, </w:t>
      </w:r>
      <w:r>
        <w:rPr>
          <w:rStyle w:val="StringTok"/>
        </w:rPr>
        <w:t xml:space="preserve">"Records invalidated"</w:t>
      </w:r>
      <w:r>
        <w:rPr>
          <w:rStyle w:val="NormalTok"/>
        </w:rPr>
        <w:t xml:space="preserve">),</w:t>
      </w:r>
      <w:r>
        <w:br/>
      </w:r>
      <w:r>
        <w:rPr>
          <w:rStyle w:val="NormalTok"/>
        </w:rPr>
        <w:t xml:space="preserve">                    (</w:t>
      </w:r>
      <w:r>
        <w:rPr>
          <w:rStyle w:val="StringTok"/>
        </w:rPr>
        <w:t xml:space="preserve">"sem2_records"</w:t>
      </w:r>
      <w:r>
        <w:rPr>
          <w:rStyle w:val="NormalTok"/>
        </w:rPr>
        <w:t xml:space="preserve">, </w:t>
      </w:r>
      <w:r>
        <w:rPr>
          <w:rStyle w:val="StringTok"/>
        </w:rPr>
        <w:t xml:space="preserve">"Semantics II — records with violation"</w:t>
      </w:r>
      <w:r>
        <w:rPr>
          <w:rStyle w:val="NormalTok"/>
        </w:rPr>
        <w:t xml:space="preserve">),</w:t>
      </w:r>
      <w:r>
        <w:br/>
      </w:r>
      <w:r>
        <w:rPr>
          <w:rStyle w:val="NormalTok"/>
        </w:rPr>
        <w:t xml:space="preserve">                    (</w:t>
      </w:r>
      <w:r>
        <w:rPr>
          <w:rStyle w:val="StringTok"/>
        </w:rPr>
        <w:t xml:space="preserve">"sem2_total"</w:t>
      </w:r>
      <w:r>
        <w:rPr>
          <w:rStyle w:val="NormalTok"/>
        </w:rPr>
        <w:t xml:space="preserve">, </w:t>
      </w:r>
      <w:r>
        <w:rPr>
          <w:rStyle w:val="StringTok"/>
        </w:rPr>
        <w:t xml:space="preserve">"Semantics II — total violations"</w:t>
      </w:r>
      <w:r>
        <w:rPr>
          <w:rStyle w:val="NormalTok"/>
        </w:rPr>
        <w:t xml:space="preserve">)]</w:t>
      </w:r>
      <w:r>
        <w:br/>
      </w:r>
      <w:r>
        <w:rPr>
          <w:rStyle w:val="NormalTok"/>
        </w:rPr>
        <w:t xml:space="preserve">            st.markdown(</w:t>
      </w:r>
      <w:r>
        <w:rPr>
          <w:rStyle w:val="StringTok"/>
        </w:rPr>
        <w:t xml:space="preserve">"**Table 5.4 — constructed against Synthea payloads**"</w:t>
      </w:r>
      <w:r>
        <w:rPr>
          <w:rStyle w:val="NormalTok"/>
        </w:rPr>
        <w:t xml:space="preserve">)</w:t>
      </w:r>
      <w:r>
        <w:br/>
      </w:r>
      <w:r>
        <w:rPr>
          <w:rStyle w:val="NormalTok"/>
        </w:rPr>
        <w:t xml:space="preserve">            st.table({</w:t>
      </w:r>
      <w:r>
        <w:br/>
      </w:r>
      <w:r>
        <w:rPr>
          <w:rStyle w:val="NormalTok"/>
        </w:rPr>
        <w:t xml:space="preserve">                </w:t>
      </w:r>
      <w:r>
        <w:rPr>
          <w:rStyle w:val="StringTok"/>
        </w:rPr>
        <w:t xml:space="preserve">"Measure"</w:t>
      </w:r>
      <w:r>
        <w:rPr>
          <w:rStyle w:val="NormalTok"/>
        </w:rPr>
        <w:t xml:space="preserve">: [label </w:t>
      </w:r>
      <w:r>
        <w:rPr>
          <w:rStyle w:val="ControlFlowTok"/>
        </w:rPr>
        <w:t xml:space="preserve">for</w:t>
      </w:r>
      <w:r>
        <w:rPr>
          <w:rStyle w:val="NormalTok"/>
        </w:rPr>
        <w:t xml:space="preserve"> _, label </w:t>
      </w:r>
      <w:r>
        <w:rPr>
          <w:rStyle w:val="KeywordTok"/>
        </w:rPr>
        <w:t xml:space="preserve">in</w:t>
      </w:r>
      <w:r>
        <w:rPr>
          <w:rStyle w:val="NormalTok"/>
        </w:rPr>
        <w:t xml:space="preserve"> keys],</w:t>
      </w:r>
      <w:r>
        <w:br/>
      </w:r>
      <w:r>
        <w:rPr>
          <w:rStyle w:val="NormalTok"/>
        </w:rPr>
        <w:t xml:space="preserve">                </w:t>
      </w:r>
      <w:r>
        <w:rPr>
          <w:rStyle w:val="StringTok"/>
        </w:rPr>
        <w:t xml:space="preserve">"Constructed"</w:t>
      </w:r>
      <w:r>
        <w:rPr>
          <w:rStyle w:val="NormalTok"/>
        </w:rPr>
        <w:t xml:space="preserve">: [Mb[k] </w:t>
      </w:r>
      <w:r>
        <w:rPr>
          <w:rStyle w:val="ControlFlowTok"/>
        </w:rPr>
        <w:t xml:space="preserve">for</w:t>
      </w:r>
      <w:r>
        <w:rPr>
          <w:rStyle w:val="NormalTok"/>
        </w:rPr>
        <w:t xml:space="preserve"> k, _ </w:t>
      </w:r>
      <w:r>
        <w:rPr>
          <w:rStyle w:val="KeywordTok"/>
        </w:rPr>
        <w:t xml:space="preserve">in</w:t>
      </w:r>
      <w:r>
        <w:rPr>
          <w:rStyle w:val="NormalTok"/>
        </w:rPr>
        <w:t xml:space="preserve"> keys],</w:t>
      </w:r>
      <w:r>
        <w:br/>
      </w:r>
      <w:r>
        <w:rPr>
          <w:rStyle w:val="NormalTok"/>
        </w:rPr>
        <w:t xml:space="preserve">                </w:t>
      </w:r>
      <w:r>
        <w:rPr>
          <w:rStyle w:val="StringTok"/>
        </w:rPr>
        <w:t xml:space="preserve">"Synthea"</w:t>
      </w:r>
      <w:r>
        <w:rPr>
          <w:rStyle w:val="NormalTok"/>
        </w:rPr>
        <w:t xml:space="preserve">: [Mr[k] </w:t>
      </w:r>
      <w:r>
        <w:rPr>
          <w:rStyle w:val="ControlFlowTok"/>
        </w:rPr>
        <w:t xml:space="preserve">for</w:t>
      </w:r>
      <w:r>
        <w:rPr>
          <w:rStyle w:val="NormalTok"/>
        </w:rPr>
        <w:t xml:space="preserve"> k, _ </w:t>
      </w:r>
      <w:r>
        <w:rPr>
          <w:rStyle w:val="KeywordTok"/>
        </w:rPr>
        <w:t xml:space="preserve">in</w:t>
      </w:r>
      <w:r>
        <w:rPr>
          <w:rStyle w:val="NormalTok"/>
        </w:rPr>
        <w:t xml:space="preserve"> keys],</w:t>
      </w:r>
      <w:r>
        <w:br/>
      </w:r>
      <w:r>
        <w:rPr>
          <w:rStyle w:val="NormalTok"/>
        </w:rPr>
        <w:t xml:space="preserve">            })</w:t>
      </w:r>
      <w:r>
        <w:br/>
      </w:r>
      <w:r>
        <w:br/>
      </w:r>
      <w:r>
        <w:rPr>
          <w:rStyle w:val="NormalTok"/>
        </w:rPr>
        <w:t xml:space="preserve">            identical </w:t>
      </w:r>
      <w:r>
        <w:rPr>
          <w:rStyle w:val="OperatorTok"/>
        </w:rPr>
        <w:t xml:space="preserve">=</w:t>
      </w:r>
      <w:r>
        <w:rPr>
          <w:rStyle w:val="NormalTok"/>
        </w:rPr>
        <w:t xml:space="preserve"> </w:t>
      </w:r>
      <w:r>
        <w:rPr>
          <w:rStyle w:val="BuiltInTok"/>
        </w:rPr>
        <w:t xml:space="preserve">all</w:t>
      </w:r>
      <w:r>
        <w:rPr>
          <w:rStyle w:val="NormalTok"/>
        </w:rPr>
        <w:t xml:space="preserve">(Mb[k] </w:t>
      </w:r>
      <w:r>
        <w:rPr>
          <w:rStyle w:val="OperatorTok"/>
        </w:rPr>
        <w:t xml:space="preserve">==</w:t>
      </w:r>
      <w:r>
        <w:rPr>
          <w:rStyle w:val="NormalTok"/>
        </w:rPr>
        <w:t xml:space="preserve"> Mr[k] </w:t>
      </w:r>
      <w:r>
        <w:rPr>
          <w:rStyle w:val="ControlFlowTok"/>
        </w:rPr>
        <w:t xml:space="preserve">for</w:t>
      </w:r>
      <w:r>
        <w:rPr>
          <w:rStyle w:val="NormalTok"/>
        </w:rPr>
        <w:t xml:space="preserve"> k, _ </w:t>
      </w:r>
      <w:r>
        <w:rPr>
          <w:rStyle w:val="KeywordTok"/>
        </w:rPr>
        <w:t xml:space="preserve">in</w:t>
      </w:r>
      <w:r>
        <w:rPr>
          <w:rStyle w:val="NormalTok"/>
        </w:rPr>
        <w:t xml:space="preserve"> keys)</w:t>
      </w:r>
      <w:r>
        <w:br/>
      </w:r>
      <w:r>
        <w:rPr>
          <w:rStyle w:val="NormalTok"/>
        </w:rPr>
        <w:t xml:space="preserve">            </w:t>
      </w:r>
      <w:r>
        <w:rPr>
          <w:rStyle w:val="ControlFlowTok"/>
        </w:rPr>
        <w:t xml:space="preserve">if</w:t>
      </w:r>
      <w:r>
        <w:rPr>
          <w:rStyle w:val="NormalTok"/>
        </w:rPr>
        <w:t xml:space="preserve"> identical </w:t>
      </w:r>
      <w:r>
        <w:rPr>
          <w:rStyle w:val="KeywordTok"/>
        </w:rPr>
        <w:t xml:space="preserve">and</w:t>
      </w:r>
      <w:r>
        <w:rPr>
          <w:rStyle w:val="NormalTok"/>
        </w:rPr>
        <w:t xml:space="preserve"> diff_c </w:t>
      </w:r>
      <w:r>
        <w:rPr>
          <w:rStyle w:val="OperatorTok"/>
        </w:rPr>
        <w:t xml:space="preserve">==</w:t>
      </w:r>
      <w:r>
        <w:rPr>
          <w:rStyle w:val="NormalTok"/>
        </w:rPr>
        <w:t xml:space="preserve"> </w:t>
      </w:r>
      <w:r>
        <w:rPr>
          <w:rStyle w:val="BuiltInTok"/>
        </w:rPr>
        <w:t xml:space="preserve">len</w:t>
      </w:r>
      <w:r>
        <w:rPr>
          <w:rStyle w:val="NormalTok"/>
        </w:rPr>
        <w:t xml:space="preserve">(base):</w:t>
      </w:r>
      <w:r>
        <w:br/>
      </w:r>
      <w:r>
        <w:rPr>
          <w:rStyle w:val="NormalTok"/>
        </w:rPr>
        <w:t xml:space="preserve">                st.success(</w:t>
      </w:r>
      <w:r>
        <w:br/>
      </w:r>
      <w:r>
        <w:rPr>
          <w:rStyle w:val="NormalTok"/>
        </w:rPr>
        <w:t xml:space="preserve">                    </w:t>
      </w:r>
      <w:r>
        <w:rPr>
          <w:rStyle w:val="SpecialStringTok"/>
        </w:rPr>
        <w:t xml:space="preserve">f"Invariance holds: every figure identical, </w:t>
      </w:r>
      <w:r>
        <w:rPr>
          <w:rStyle w:val="SpecialCharTok"/>
        </w:rPr>
        <w:t xml:space="preserve">{</w:t>
      </w:r>
      <w:r>
        <w:rPr>
          <w:rStyle w:val="NormalTok"/>
        </w:rPr>
        <w:t xml:space="preserve">diff_c</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 commitments differ. The model reads timing "</w:t>
      </w:r>
      <w:r>
        <w:br/>
      </w:r>
      <w:r>
        <w:rPr>
          <w:rStyle w:val="NormalTok"/>
        </w:rPr>
        <w:t xml:space="preserve">                    </w:t>
      </w:r>
      <w:r>
        <w:rPr>
          <w:rStyle w:val="SpecialStringTok"/>
        </w:rPr>
        <w:t xml:space="preserve">f"and accessibility, never payload content."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st.error(</w:t>
      </w:r>
      <w:r>
        <w:br/>
      </w:r>
      <w:r>
        <w:rPr>
          <w:rStyle w:val="NormalTok"/>
        </w:rPr>
        <w:t xml:space="preserve">                    </w:t>
      </w:r>
      <w:r>
        <w:rPr>
          <w:rStyle w:val="StringTok"/>
        </w:rPr>
        <w:t xml:space="preserve">"Divergence detected. Do not report these figures — the "</w:t>
      </w:r>
      <w:r>
        <w:br/>
      </w:r>
      <w:r>
        <w:rPr>
          <w:rStyle w:val="NormalTok"/>
        </w:rPr>
        <w:t xml:space="preserve">                    </w:t>
      </w:r>
      <w:r>
        <w:rPr>
          <w:rStyle w:val="StringTok"/>
        </w:rPr>
        <w:t xml:space="preserve">"model is reading something it should not."</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st.expander(</w:t>
      </w:r>
      <w:r>
        <w:rPr>
          <w:rStyle w:val="StringTok"/>
        </w:rPr>
        <w:t xml:space="preserve">"Inspect one Synthea payload"</w:t>
      </w:r>
      <w:r>
        <w:rPr>
          <w:rStyle w:val="NormalTok"/>
        </w:rPr>
        <w:t xml:space="preserve">):</w:t>
      </w:r>
      <w:r>
        <w:br/>
      </w:r>
      <w:r>
        <w:rPr>
          <w:rStyle w:val="NormalTok"/>
        </w:rPr>
        <w:t xml:space="preserve">                st.json(json.loads(real[</w:t>
      </w:r>
      <w:r>
        <w:rPr>
          <w:rStyle w:val="DecValTok"/>
        </w:rPr>
        <w:t xml:space="preserve">0</w:t>
      </w:r>
      <w:r>
        <w:rPr>
          <w:rStyle w:val="NormalTok"/>
        </w:rPr>
        <w:t xml:space="preserve">].payload))</w:t>
      </w:r>
      <w:r>
        <w:br/>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ImportTok"/>
        </w:rPr>
        <w:t xml:space="preserve">import</w:t>
      </w:r>
      <w:r>
        <w:rPr>
          <w:rStyle w:val="NormalTok"/>
        </w:rPr>
        <w:t xml:space="preserve"> glob </w:t>
      </w:r>
      <w:r>
        <w:rPr>
          <w:rStyle w:val="ImportTok"/>
        </w:rPr>
        <w:t xml:space="preserve">as</w:t>
      </w:r>
      <w:r>
        <w:rPr>
          <w:rStyle w:val="NormalTok"/>
        </w:rPr>
        <w:t xml:space="preserve"> _glob</w:t>
      </w:r>
      <w:r>
        <w:br/>
      </w:r>
      <w:r>
        <w:rPr>
          <w:rStyle w:val="NormalTok"/>
        </w:rPr>
        <w:t xml:space="preserve">            </w:t>
      </w:r>
      <w:r>
        <w:rPr>
          <w:rStyle w:val="ImportTok"/>
        </w:rPr>
        <w:t xml:space="preserve">import</w:t>
      </w:r>
      <w:r>
        <w:rPr>
          <w:rStyle w:val="NormalTok"/>
        </w:rPr>
        <w:t xml:space="preserve"> os </w:t>
      </w:r>
      <w:r>
        <w:rPr>
          <w:rStyle w:val="ImportTok"/>
        </w:rPr>
        <w:t xml:space="preserve">as</w:t>
      </w:r>
      <w:r>
        <w:rPr>
          <w:rStyle w:val="NormalTok"/>
        </w:rPr>
        <w:t xml:space="preserve"> _os</w:t>
      </w:r>
      <w:r>
        <w:br/>
      </w:r>
      <w:r>
        <w:br/>
      </w:r>
      <w:r>
        <w:rPr>
          <w:rStyle w:val="NormalTok"/>
        </w:rPr>
        <w:t xml:space="preserve">            </w:t>
      </w:r>
      <w:r>
        <w:rPr>
          <w:rStyle w:val="ImportTok"/>
        </w:rPr>
        <w:t xml:space="preserve">import</w:t>
      </w:r>
      <w:r>
        <w:rPr>
          <w:rStyle w:val="NormalTok"/>
        </w:rPr>
        <w:t xml:space="preserve"> synthea_layer </w:t>
      </w:r>
      <w:r>
        <w:rPr>
          <w:rStyle w:val="ImportTok"/>
        </w:rPr>
        <w:t xml:space="preserve">as</w:t>
      </w:r>
      <w:r>
        <w:rPr>
          <w:rStyle w:val="NormalTok"/>
        </w:rPr>
        <w:t xml:space="preserve"> _sl</w:t>
      </w:r>
      <w:r>
        <w:br/>
      </w:r>
      <w:r>
        <w:br/>
      </w:r>
      <w:r>
        <w:rPr>
          <w:rStyle w:val="NormalTok"/>
        </w:rPr>
        <w:t xml:space="preserve">            searched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d</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(_glob.glob(_os.path.join(d, </w:t>
      </w:r>
      <w:r>
        <w:rPr>
          <w:rStyle w:val="StringTok"/>
        </w:rPr>
        <w:t xml:space="preserve">'*.json'</w:t>
      </w:r>
      <w:r>
        <w:rPr>
          <w:rStyle w:val="NormalTok"/>
        </w:rPr>
        <w:t xml:space="preserve">)))</w:t>
      </w:r>
      <w:r>
        <w:rPr>
          <w:rStyle w:val="SpecialCharTok"/>
        </w:rPr>
        <w:t xml:space="preserve">}</w:t>
      </w:r>
      <w:r>
        <w:rPr>
          <w:rStyle w:val="SpecialStringTok"/>
        </w:rPr>
        <w:t xml:space="preserve"> bundles"</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_sl.SYNTHEA_DIRS</w:t>
      </w:r>
      <w:r>
        <w:br/>
      </w:r>
      <w:r>
        <w:rPr>
          <w:rStyle w:val="NormalTok"/>
        </w:rPr>
        <w:t xml:space="preserve">            )</w:t>
      </w:r>
      <w:r>
        <w:br/>
      </w:r>
      <w:r>
        <w:rPr>
          <w:rStyle w:val="NormalTok"/>
        </w:rPr>
        <w:t xml:space="preserve">            st.info(</w:t>
      </w:r>
      <w:r>
        <w:br/>
      </w:r>
      <w:r>
        <w:rPr>
          <w:rStyle w:val="NormalTok"/>
        </w:rPr>
        <w:t xml:space="preserve">                </w:t>
      </w:r>
      <w:r>
        <w:rPr>
          <w:rStyle w:val="StringTok"/>
        </w:rPr>
        <w:t xml:space="preserve">"No committed bundles found in this deployment. Directories "</w:t>
      </w:r>
      <w:r>
        <w:br/>
      </w:r>
      <w:r>
        <w:rPr>
          <w:rStyle w:val="NormalTok"/>
        </w:rPr>
        <w:t xml:space="preserve">                </w:t>
      </w:r>
      <w:r>
        <w:rPr>
          <w:rStyle w:val="SpecialStringTok"/>
        </w:rPr>
        <w:t xml:space="preserve">f"searched:</w:t>
      </w:r>
      <w:r>
        <w:rPr>
          <w:rStyle w:val="CharTok"/>
        </w:rPr>
        <w:t xml:space="preserve">\n\n</w:t>
      </w:r>
      <w:r>
        <w:rPr>
          <w:rStyle w:val="SpecialCharTok"/>
        </w:rPr>
        <w:t xml:space="preserve">{</w:t>
      </w:r>
      <w:r>
        <w:rPr>
          <w:rStyle w:val="NormalTok"/>
        </w:rPr>
        <w:t xml:space="preserve">searched</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"Fix: commit the eight-bundle subset to `data/synthea_subset/` "</w:t>
      </w:r>
      <w:r>
        <w:br/>
      </w:r>
      <w:r>
        <w:rPr>
          <w:rStyle w:val="NormalTok"/>
        </w:rPr>
        <w:t xml:space="preserve">                </w:t>
      </w:r>
      <w:r>
        <w:rPr>
          <w:rStyle w:val="StringTok"/>
        </w:rPr>
        <w:t xml:space="preserve">"in the repository root. Alternatively regenerate the full "</w:t>
      </w:r>
      <w:r>
        <w:br/>
      </w:r>
      <w:r>
        <w:rPr>
          <w:rStyle w:val="NormalTok"/>
        </w:rPr>
        <w:t xml:space="preserve">                </w:t>
      </w:r>
      <w:r>
        <w:rPr>
          <w:rStyle w:val="StringTok"/>
        </w:rPr>
        <w:t xml:space="preserve">"cohort offline, which needs Java 17+:</w:t>
      </w:r>
      <w:r>
        <w:rPr>
          <w:rStyle w:val="CharTok"/>
        </w:rPr>
        <w:t xml:space="preserve">\n\n</w:t>
      </w:r>
      <w:r>
        <w:rPr>
          <w:rStyle w:val="StringTok"/>
        </w:rPr>
        <w:t xml:space="preserve">"</w:t>
      </w:r>
      <w:r>
        <w:br/>
      </w:r>
      <w:r>
        <w:rPr>
          <w:rStyle w:val="NormalTok"/>
        </w:rPr>
        <w:t xml:space="preserve">                </w:t>
      </w:r>
      <w:r>
        <w:rPr>
          <w:rStyle w:val="StringTok"/>
        </w:rPr>
        <w:t xml:space="preserve">"`java -jar synthea.jar -s 20260915 -cs 20260915 -p 100 "</w:t>
      </w:r>
      <w:r>
        <w:br/>
      </w:r>
      <w:r>
        <w:rPr>
          <w:rStyle w:val="NormalTok"/>
        </w:rPr>
        <w:t xml:space="preserve">                </w:t>
      </w:r>
      <w:r>
        <w:rPr>
          <w:rStyle w:val="StringTok"/>
        </w:rPr>
        <w:t xml:space="preserve">"--exporter.fhir.export=true`</w:t>
      </w:r>
      <w:r>
        <w:rPr>
          <w:rStyle w:val="CharTok"/>
        </w:rPr>
        <w:t xml:space="preserve">\n\n</w:t>
      </w:r>
      <w:r>
        <w:rPr>
          <w:rStyle w:val="StringTok"/>
        </w:rPr>
        <w:t xml:space="preserve">"</w:t>
      </w:r>
      <w:r>
        <w:br/>
      </w:r>
      <w:r>
        <w:rPr>
          <w:rStyle w:val="NormalTok"/>
        </w:rPr>
        <w:t xml:space="preserve">                </w:t>
      </w:r>
      <w:r>
        <w:rPr>
          <w:rStyle w:val="StringTok"/>
        </w:rPr>
        <w:t xml:space="preserve">"and commit `synthea_run/output/fhir/`."</w:t>
      </w:r>
      <w:r>
        <w:br/>
      </w:r>
      <w:r>
        <w:rPr>
          <w:rStyle w:val="NormalTok"/>
        </w:rPr>
        <w:t xml:space="preserve">            )</w:t>
      </w:r>
      <w:r>
        <w:br/>
      </w:r>
      <w:r>
        <w:br/>
      </w:r>
      <w:r>
        <w:br/>
      </w:r>
      <w:r>
        <w:rPr>
          <w:rStyle w:val="CommentTok"/>
        </w:rPr>
        <w:t xml:space="preserve"># ----------------------------------------------------------------------</w:t>
      </w:r>
      <w:r>
        <w:br/>
      </w:r>
      <w:r>
        <w:rPr>
          <w:rStyle w:val="CommentTok"/>
        </w:rPr>
        <w:t xml:space="preserve"># Tab 4 — Norwegian context modules (parallel to the thesis, illustrative)</w:t>
      </w:r>
      <w:r>
        <w:br/>
      </w:r>
      <w:r>
        <w:rPr>
          <w:rStyle w:val="CommentTok"/>
        </w:rPr>
        <w:t xml:space="preserve"># ----------------------------------------------------------------------</w:t>
      </w:r>
      <w:r>
        <w:br/>
      </w:r>
      <w:r>
        <w:br/>
      </w:r>
      <w:r>
        <w:rPr>
          <w:rStyle w:val="ControlFlowTok"/>
        </w:rPr>
        <w:t xml:space="preserve">with</w:t>
      </w:r>
      <w:r>
        <w:rPr>
          <w:rStyle w:val="NormalTok"/>
        </w:rPr>
        <w:t xml:space="preserve"> tab4:</w:t>
      </w:r>
      <w:r>
        <w:br/>
      </w:r>
      <w:r>
        <w:rPr>
          <w:rStyle w:val="NormalTok"/>
        </w:rPr>
        <w:t xml:space="preserve">    st.subheader(</w:t>
      </w:r>
      <w:r>
        <w:rPr>
          <w:rStyle w:val="StringTok"/>
        </w:rPr>
        <w:t xml:space="preserve">"Norwegian context — plug-and-play modules"</w:t>
      </w:r>
      <w:r>
        <w:rPr>
          <w:rStyle w:val="NormalTok"/>
        </w:rPr>
        <w:t xml:space="preserve">)</w:t>
      </w:r>
      <w:r>
        <w:br/>
      </w:r>
      <w:r>
        <w:rPr>
          <w:rStyle w:val="NormalTok"/>
        </w:rPr>
        <w:t xml:space="preserve">    st.write(</w:t>
      </w:r>
      <w:r>
        <w:br/>
      </w:r>
      <w:r>
        <w:rPr>
          <w:rStyle w:val="NormalTok"/>
        </w:rPr>
        <w:t xml:space="preserve">        </w:t>
      </w:r>
      <w:r>
        <w:rPr>
          <w:rStyle w:val="StringTok"/>
        </w:rPr>
        <w:t xml:space="preserve">"These modules import `trf_checker.py` unmodified and change nothing the "</w:t>
      </w:r>
      <w:r>
        <w:br/>
      </w:r>
      <w:r>
        <w:rPr>
          <w:rStyle w:val="NormalTok"/>
        </w:rPr>
        <w:t xml:space="preserve">        </w:t>
      </w:r>
      <w:r>
        <w:rPr>
          <w:rStyle w:val="StringTok"/>
        </w:rPr>
        <w:t xml:space="preserve">"thesis reports. They vary what the model actually reads: the retention "</w:t>
      </w:r>
      <w:r>
        <w:br/>
      </w:r>
      <w:r>
        <w:rPr>
          <w:rStyle w:val="NormalTok"/>
        </w:rPr>
        <w:t xml:space="preserve">        </w:t>
      </w:r>
      <w:r>
        <w:rPr>
          <w:rStyle w:val="StringTok"/>
        </w:rPr>
        <w:t xml:space="preserve">"floor F(a), the pathway, and the arrival of erasure requests and permit "</w:t>
      </w:r>
      <w:r>
        <w:br/>
      </w:r>
      <w:r>
        <w:rPr>
          <w:rStyle w:val="NormalTok"/>
        </w:rPr>
        <w:t xml:space="preserve">        </w:t>
      </w:r>
      <w:r>
        <w:rPr>
          <w:rStyle w:val="StringTok"/>
        </w:rPr>
        <w:t xml:space="preserve">"expiries. Payload content cannot change any figure, which Tab 3 "</w:t>
      </w:r>
      <w:r>
        <w:br/>
      </w:r>
      <w:r>
        <w:rPr>
          <w:rStyle w:val="NormalTok"/>
        </w:rPr>
        <w:t xml:space="preserve">        </w:t>
      </w:r>
      <w:r>
        <w:rPr>
          <w:rStyle w:val="StringTok"/>
        </w:rPr>
        <w:t xml:space="preserve">"demonstrates, so the Norwegian payloads here are for legibility only."</w:t>
      </w:r>
      <w:r>
        <w:br/>
      </w:r>
      <w:r>
        <w:rPr>
          <w:rStyle w:val="NormalTok"/>
        </w:rPr>
        <w:t xml:space="preserve">    )</w:t>
      </w:r>
      <w:r>
        <w:br/>
      </w:r>
      <w:r>
        <w:rPr>
          <w:rStyle w:val="NormalTok"/>
        </w:rPr>
        <w:t xml:space="preserve">    st.info(</w:t>
      </w:r>
      <w:r>
        <w:br/>
      </w:r>
      <w:r>
        <w:rPr>
          <w:rStyle w:val="NormalTok"/>
        </w:rPr>
        <w:t xml:space="preserve">        </w:t>
      </w:r>
      <w:r>
        <w:rPr>
          <w:rStyle w:val="StringTok"/>
        </w:rPr>
        <w:t xml:space="preserve">"Illustrative, not empirical. No Norwegian permit-duration statistics were "</w:t>
      </w:r>
      <w:r>
        <w:br/>
      </w:r>
      <w:r>
        <w:rPr>
          <w:rStyle w:val="NormalTok"/>
        </w:rPr>
        <w:t xml:space="preserve">        </w:t>
      </w:r>
      <w:r>
        <w:rPr>
          <w:rStyle w:val="StringTok"/>
        </w:rPr>
        <w:t xml:space="preserve">"used, and no Norwegian patient data exists here: Synthea has no Norwegian "</w:t>
      </w:r>
      <w:r>
        <w:br/>
      </w:r>
      <w:r>
        <w:rPr>
          <w:rStyle w:val="NormalTok"/>
        </w:rPr>
        <w:t xml:space="preserve">        </w:t>
      </w:r>
      <w:r>
        <w:rPr>
          <w:rStyle w:val="StringTok"/>
        </w:rPr>
        <w:t xml:space="preserve">"module. Nothing on this tab is a thesis claim."</w:t>
      </w:r>
      <w:r>
        <w:rPr>
          <w:rStyle w:val="NormalTok"/>
        </w:rPr>
        <w:t xml:space="preserve">,</w:t>
      </w:r>
      <w:r>
        <w:br/>
      </w:r>
      <w:r>
        <w:rPr>
          <w:rStyle w:val="NormalTok"/>
        </w:rPr>
        <w:t xml:space="preserve">        icon</w:t>
      </w:r>
      <w:r>
        <w:rPr>
          <w:rStyle w:val="OperatorTok"/>
        </w:rPr>
        <w:t xml:space="preserve">=</w:t>
      </w:r>
      <w:r>
        <w:rPr>
          <w:rStyle w:val="StringTok"/>
        </w:rPr>
        <w:t xml:space="preserve">"ℹ️"</w:t>
      </w:r>
      <w:r>
        <w:rPr>
          <w:rStyle w:val="NormalTok"/>
        </w:rPr>
        <w:t xml:space="preserve">,</w:t>
      </w:r>
      <w:r>
        <w:br/>
      </w:r>
      <w:r>
        <w:rPr>
          <w:rStyle w:val="NormalTok"/>
        </w:rPr>
        <w:t xml:space="preserve">    )</w:t>
      </w:r>
      <w:r>
        <w:br/>
      </w:r>
      <w:r>
        <w:br/>
      </w:r>
      <w:r>
        <w:rPr>
          <w:rStyle w:val="NormalTok"/>
        </w:rPr>
        <w:t xml:space="preserve">    st.markdown(</w:t>
      </w:r>
      <w:r>
        <w:br/>
      </w:r>
      <w:r>
        <w:rPr>
          <w:rStyle w:val="NormalTok"/>
        </w:rPr>
        <w:t xml:space="preserve">        </w:t>
      </w:r>
      <w:r>
        <w:rPr>
          <w:rStyle w:val="StringTok"/>
        </w:rPr>
        <w:t xml:space="preserve">"| Class | Floor | Ceiling | Source |</w:t>
      </w:r>
      <w:r>
        <w:rPr>
          <w:rStyle w:val="CharTok"/>
        </w:rPr>
        <w:t xml:space="preserve">\n</w:t>
      </w:r>
      <w:r>
        <w:rPr>
          <w:rStyle w:val="StringTok"/>
        </w:rPr>
        <w:t xml:space="preserve">|---|---|---|---|</w:t>
      </w:r>
      <w:r>
        <w:rPr>
          <w:rStyle w:val="CharTok"/>
        </w:rPr>
        <w:t xml:space="preserve">\n</w:t>
      </w:r>
      <w:r>
        <w:rPr>
          <w:rStyle w:val="StringTok"/>
        </w:rPr>
        <w:t xml:space="preserve">"</w:t>
      </w:r>
      <w:r>
        <w:br/>
      </w:r>
      <w:r>
        <w:rPr>
          <w:rStyle w:val="NormalTok"/>
        </w:rPr>
        <w:t xml:space="preserve">        </w:t>
      </w:r>
      <w:r>
        <w:rPr>
          <w:rStyle w:val="StringTok"/>
        </w:rPr>
        <w:t xml:space="preserve">"| NO-XB | 120 months | — | eHDSI deployment baseline; inbound patient "</w:t>
      </w:r>
      <w:r>
        <w:br/>
      </w:r>
      <w:r>
        <w:rPr>
          <w:rStyle w:val="NormalTok"/>
        </w:rPr>
        <w:t xml:space="preserve">        </w:t>
      </w:r>
      <w:r>
        <w:rPr>
          <w:rStyle w:val="StringTok"/>
        </w:rPr>
        <w:t xml:space="preserve">"summary at Bodø / Stjørdal legevakt from PT, CZ, FI |</w:t>
      </w:r>
      <w:r>
        <w:rPr>
          <w:rStyle w:val="CharTok"/>
        </w:rPr>
        <w:t xml:space="preserve">\n</w:t>
      </w:r>
      <w:r>
        <w:rPr>
          <w:rStyle w:val="StringTok"/>
        </w:rPr>
        <w:t xml:space="preserve">"</w:t>
      </w:r>
      <w:r>
        <w:br/>
      </w:r>
      <w:r>
        <w:rPr>
          <w:rStyle w:val="NormalTok"/>
        </w:rPr>
        <w:t xml:space="preserve">        </w:t>
      </w:r>
      <w:r>
        <w:rPr>
          <w:rStyle w:val="StringTok"/>
        </w:rPr>
        <w:t xml:space="preserve">"| NO-SPE | 12 months | 6 months after permit expiry | EHDS Art 73(1)(e); "</w:t>
      </w:r>
      <w:r>
        <w:br/>
      </w:r>
      <w:r>
        <w:rPr>
          <w:rStyle w:val="NormalTok"/>
        </w:rPr>
        <w:t xml:space="preserve">        </w:t>
      </w:r>
      <w:r>
        <w:rPr>
          <w:rStyle w:val="StringTok"/>
        </w:rPr>
        <w:t xml:space="preserve">"Art 68(12); Helsedataservice permit into a NORTRE node |</w:t>
      </w:r>
      <w:r>
        <w:rPr>
          <w:rStyle w:val="CharTok"/>
        </w:rPr>
        <w:t xml:space="preserve">\n</w:t>
      </w:r>
      <w:r>
        <w:rPr>
          <w:rStyle w:val="StringTok"/>
        </w:rPr>
        <w:t xml:space="preserve">"</w:t>
      </w:r>
      <w:r>
        <w:br/>
      </w:r>
      <w:r>
        <w:rPr>
          <w:rStyle w:val="NormalTok"/>
        </w:rPr>
        <w:t xml:space="preserve">        </w:t>
      </w:r>
      <w:r>
        <w:rPr>
          <w:rStyle w:val="StringTok"/>
        </w:rPr>
        <w:t xml:space="preserve">"| NO-JOURNAL | indefinite | — | pasientjournalloven § 25, "</w:t>
      </w:r>
      <w:r>
        <w:br/>
      </w:r>
      <w:r>
        <w:rPr>
          <w:rStyle w:val="NormalTok"/>
        </w:rPr>
        <w:t xml:space="preserve">        </w:t>
      </w:r>
      <w:r>
        <w:rPr>
          <w:rStyle w:val="StringTok"/>
        </w:rPr>
        <w:t xml:space="preserve">"journalforskriften § 14: purpose-based, no fixed period in law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Norwegian layer"</w:t>
      </w:r>
      <w:r>
        <w:rPr>
          <w:rStyle w:val="NormalTok"/>
        </w:rPr>
        <w:t xml:space="preserve">, key</w:t>
      </w:r>
      <w:r>
        <w:rPr>
          <w:rStyle w:val="OperatorTok"/>
        </w:rPr>
        <w:t xml:space="preserve">=</w:t>
      </w:r>
      <w:r>
        <w:rPr>
          <w:rStyle w:val="StringTok"/>
        </w:rPr>
        <w:t xml:space="preserve">"run_no"</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norwegian_layer </w:t>
      </w:r>
      <w:r>
        <w:rPr>
          <w:rStyle w:val="ImportTok"/>
        </w:rPr>
        <w:t xml:space="preserve">as</w:t>
      </w:r>
      <w:r>
        <w:rPr>
          <w:rStyle w:val="NormalTok"/>
        </w:rPr>
        <w:t xml:space="preserve"> nl</w:t>
      </w:r>
      <w:r>
        <w:br/>
      </w:r>
      <w:r>
        <w:br/>
      </w:r>
      <w:r>
        <w:rPr>
          <w:rStyle w:val="NormalTok"/>
        </w:rPr>
        <w:t xml:space="preserve">            </w:t>
      </w:r>
      <w:r>
        <w:rPr>
          <w:rStyle w:val="ControlFlowTok"/>
        </w:rPr>
        <w:t xml:space="preserve">with</w:t>
      </w:r>
      <w:r>
        <w:rPr>
          <w:rStyle w:val="NormalTok"/>
        </w:rPr>
        <w:t xml:space="preserve"> st.spinner(</w:t>
      </w:r>
      <w:r>
        <w:rPr>
          <w:rStyle w:val="StringTok"/>
        </w:rPr>
        <w:t xml:space="preserve">"Building Norwegian record classes ..."</w:t>
      </w:r>
      <w:r>
        <w:rPr>
          <w:rStyle w:val="NormalTok"/>
        </w:rPr>
        <w:t xml:space="preserve">):</w:t>
      </w:r>
      <w:r>
        <w:br/>
      </w:r>
      <w:r>
        <w:rPr>
          <w:rStyle w:val="NormalTok"/>
        </w:rPr>
        <w:t xml:space="preserve">                recs </w:t>
      </w:r>
      <w:r>
        <w:rPr>
          <w:rStyle w:val="OperatorTok"/>
        </w:rPr>
        <w:t xml:space="preserve">=</w:t>
      </w:r>
      <w:r>
        <w:rPr>
          <w:rStyle w:val="NormalTok"/>
        </w:rPr>
        <w:t xml:space="preserve"> nl.build()</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sub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w:t>
      </w:r>
      <w:r>
        <w:br/>
      </w:r>
      <w:r>
        <w:rPr>
          <w:rStyle w:val="NormalTok"/>
        </w:rPr>
        <w:t xml:space="preserve">                rows.append({</w:t>
      </w:r>
      <w:r>
        <w:br/>
      </w:r>
      <w:r>
        <w:rPr>
          <w:rStyle w:val="NormalTok"/>
        </w:rPr>
        <w:t xml:space="preserve">                    </w:t>
      </w:r>
      <w:r>
        <w:rPr>
          <w:rStyle w:val="StringTok"/>
        </w:rPr>
        <w:t xml:space="preserve">"class"</w:t>
      </w:r>
      <w:r>
        <w:rPr>
          <w:rStyle w:val="NormalTok"/>
        </w:rPr>
        <w:t xml:space="preserve">: k,</w:t>
      </w:r>
      <w:r>
        <w:br/>
      </w:r>
      <w:r>
        <w:rPr>
          <w:rStyle w:val="NormalTok"/>
        </w:rPr>
        <w:t xml:space="preserve">                    </w:t>
      </w:r>
      <w:r>
        <w:rPr>
          <w:rStyle w:val="StringTok"/>
        </w:rPr>
        <w:t xml:space="preserve">"records"</w:t>
      </w:r>
      <w:r>
        <w:rPr>
          <w:rStyle w:val="NormalTok"/>
        </w:rPr>
        <w:t xml:space="preserve">: </w:t>
      </w:r>
      <w:r>
        <w:rPr>
          <w:rStyle w:val="BuiltInTok"/>
        </w:rPr>
        <w:t xml:space="preserve">len</w:t>
      </w:r>
      <w:r>
        <w:rPr>
          <w:rStyle w:val="NormalTok"/>
        </w:rPr>
        <w:t xml:space="preserve">(sub),</w:t>
      </w:r>
      <w:r>
        <w:br/>
      </w:r>
      <w:r>
        <w:rPr>
          <w:rStyle w:val="NormalTok"/>
        </w:rPr>
        <w:t xml:space="preserve">                    </w:t>
      </w:r>
      <w:r>
        <w:rPr>
          <w:rStyle w:val="StringTok"/>
        </w:rPr>
        <w:t xml:space="preserve">"Sem I records with violation"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v1[r.rid]),</w:t>
      </w:r>
      <w:r>
        <w:br/>
      </w:r>
      <w:r>
        <w:rPr>
          <w:rStyle w:val="NormalTok"/>
        </w:rPr>
        <w:t xml:space="preserve">                    </w:t>
      </w:r>
      <w:r>
        <w:rPr>
          <w:rStyle w:val="StringTok"/>
        </w:rPr>
        <w:t xml:space="preserve">"Sem I violations"</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(v1[r.rid]) </w:t>
      </w:r>
      <w:r>
        <w:rPr>
          <w:rStyle w:val="ControlFlowTok"/>
        </w:rPr>
        <w:t xml:space="preserve">for</w:t>
      </w:r>
      <w:r>
        <w:rPr>
          <w:rStyle w:val="NormalTok"/>
        </w:rPr>
        <w:t xml:space="preserve"> r </w:t>
      </w:r>
      <w:r>
        <w:rPr>
          <w:rStyle w:val="KeywordTok"/>
        </w:rPr>
        <w:t xml:space="preserve">in</w:t>
      </w:r>
      <w:r>
        <w:rPr>
          <w:rStyle w:val="NormalTok"/>
        </w:rPr>
        <w:t xml:space="preserve"> sub),</w:t>
      </w:r>
      <w:r>
        <w:br/>
      </w:r>
      <w:r>
        <w:rPr>
          <w:rStyle w:val="NormalTok"/>
        </w:rPr>
        <w:t xml:space="preserve">                    </w:t>
      </w:r>
      <w:r>
        <w:rPr>
          <w:rStyle w:val="StringTok"/>
        </w:rPr>
        <w:t xml:space="preserve">"invalidated"</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r.iota),</w:t>
      </w:r>
      <w:r>
        <w:br/>
      </w:r>
      <w:r>
        <w:rPr>
          <w:rStyle w:val="NormalTok"/>
        </w:rPr>
        <w:t xml:space="preserve">                    </w:t>
      </w:r>
      <w:r>
        <w:rPr>
          <w:rStyle w:val="StringTok"/>
        </w:rPr>
        <w:t xml:space="preserve">"Sem II violations"</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(v2[r.rid]) </w:t>
      </w:r>
      <w:r>
        <w:rPr>
          <w:rStyle w:val="ControlFlowTok"/>
        </w:rPr>
        <w:t xml:space="preserve">for</w:t>
      </w:r>
      <w:r>
        <w:rPr>
          <w:rStyle w:val="NormalTok"/>
        </w:rPr>
        <w:t xml:space="preserve"> r </w:t>
      </w:r>
      <w:r>
        <w:rPr>
          <w:rStyle w:val="KeywordTok"/>
        </w:rPr>
        <w:t xml:space="preserve">in</w:t>
      </w:r>
      <w:r>
        <w:rPr>
          <w:rStyle w:val="NormalTok"/>
        </w:rPr>
        <w:t xml:space="preserve"> sub),</w:t>
      </w:r>
      <w:r>
        <w:br/>
      </w:r>
      <w:r>
        <w:rPr>
          <w:rStyle w:val="NormalTok"/>
        </w:rPr>
        <w:t xml:space="preserve">                })</w:t>
      </w:r>
      <w:r>
        <w:br/>
      </w:r>
      <w:r>
        <w:rPr>
          <w:rStyle w:val="NormalTok"/>
        </w:rPr>
        <w:t xml:space="preserve">            st.dataframe(rows, use_container_width</w:t>
      </w:r>
      <w:r>
        <w:rPr>
          <w:rStyle w:val="OperatorTok"/>
        </w:rPr>
        <w:t xml:space="preserve">=</w:t>
      </w:r>
      <w:r>
        <w:rPr>
          <w:rStyle w:val="VariableTok"/>
        </w:rPr>
        <w:t xml:space="preserve">True</w:t>
      </w:r>
      <w:r>
        <w:rPr>
          <w:rStyle w:val="NormalTok"/>
        </w:rPr>
        <w:t xml:space="preserve">, hide_index</w:t>
      </w:r>
      <w:r>
        <w:rPr>
          <w:rStyle w:val="OperatorTok"/>
        </w:rPr>
        <w:t xml:space="preserve">=</w:t>
      </w:r>
      <w:r>
        <w:rPr>
          <w:rStyle w:val="VariableTok"/>
        </w:rPr>
        <w:t xml:space="preserve">True</w:t>
      </w:r>
      <w:r>
        <w:rPr>
          <w:rStyle w:val="NormalTok"/>
        </w:rPr>
        <w:t xml:space="preserve">)</w:t>
      </w:r>
      <w:r>
        <w:br/>
      </w:r>
      <w:r>
        <w:br/>
      </w:r>
      <w:r>
        <w:rPr>
          <w:rStyle w:val="NormalTok"/>
        </w:rPr>
        <w:t xml:space="preserve">            st.markdown(</w:t>
      </w:r>
      <w:r>
        <w:rPr>
          <w:rStyle w:val="StringTok"/>
        </w:rPr>
        <w:t xml:space="preserve">"**One case per class**"</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 </w:t>
      </w:r>
      <w:r>
        <w:rPr>
          <w:rStyle w:val="KeywordTok"/>
        </w:rPr>
        <w:t xml:space="preserve">and</w:t>
      </w:r>
      <w:r>
        <w:rPr>
          <w:rStyle w:val="NormalTok"/>
        </w:rPr>
        <w:t xml:space="preserve"> v1[r.rid]]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w:t>
      </w:r>
      <w:r>
        <w:br/>
      </w:r>
      <w:r>
        <w:rPr>
          <w:rStyle w:val="NormalTok"/>
        </w:rPr>
        <w:t xml:space="preserve">                    st.write(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no infeasible record in this draw."</w:t>
      </w:r>
      <w:r>
        <w:rPr>
          <w:rStyle w:val="NormalTok"/>
        </w:rPr>
        <w:t xml:space="preserve">)</w:t>
      </w:r>
      <w:r>
        <w:br/>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where </w:t>
      </w:r>
      <w:r>
        <w:rPr>
          <w:rStyle w:val="OperatorTok"/>
        </w:rPr>
        <w:t xml:space="preserve">=</w:t>
      </w:r>
      <w:r>
        <w:rPr>
          <w:rStyle w:val="NormalTok"/>
        </w:rPr>
        <w:t xml:space="preserve"> r.m.get(</w:t>
      </w:r>
      <w:r>
        <w:rPr>
          <w:rStyle w:val="StringTok"/>
        </w:rPr>
        <w:t xml:space="preserve">"site"</w:t>
      </w:r>
      <w:r>
        <w:rPr>
          <w:rStyle w:val="NormalTok"/>
        </w:rPr>
        <w:t xml:space="preserve">) </w:t>
      </w:r>
      <w:r>
        <w:rPr>
          <w:rStyle w:val="KeywordTok"/>
        </w:rPr>
        <w:t xml:space="preserve">or</w:t>
      </w:r>
      <w:r>
        <w:rPr>
          <w:rStyle w:val="NormalTok"/>
        </w:rPr>
        <w:t xml:space="preserve"> r.m.get(</w:t>
      </w:r>
      <w:r>
        <w:rPr>
          <w:rStyle w:val="StringTok"/>
        </w:rPr>
        <w:t xml:space="preserve">"node"</w:t>
      </w:r>
      <w:r>
        <w:rPr>
          <w:rStyle w:val="NormalTok"/>
        </w:rPr>
        <w:t xml:space="preserve">) </w:t>
      </w:r>
      <w:r>
        <w:rPr>
          <w:rStyle w:val="KeywordTok"/>
        </w:rPr>
        <w:t xml:space="preserve">or</w:t>
      </w:r>
      <w:r>
        <w:rPr>
          <w:rStyle w:val="NormalTok"/>
        </w:rPr>
        <w:t xml:space="preserve"> r.m[</w:t>
      </w:r>
      <w:r>
        <w:rPr>
          <w:rStyle w:val="StringTok"/>
        </w:rPr>
        <w:t xml:space="preserve">"legal_basis"</w:t>
      </w:r>
      <w:r>
        <w:rPr>
          <w:rStyle w:val="NormalTok"/>
        </w:rPr>
        <w:t xml:space="preserve">]</w:t>
      </w:r>
      <w:r>
        <w:br/>
      </w:r>
      <w:r>
        <w:rPr>
          <w:rStyle w:val="NormalTok"/>
        </w:rPr>
        <w:t xml:space="preserve">                st.code(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w:t>
      </w:r>
      <w:r>
        <w:rPr>
          <w:rStyle w:val="SpecialCharTok"/>
        </w:rPr>
        <w:t xml:space="preserve">{</w:t>
      </w:r>
      <w:r>
        <w:rPr>
          <w:rStyle w:val="NormalTok"/>
        </w:rPr>
        <w:t xml:space="preserve">where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floor     :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[indefinite, truncated for computation]"</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"NO-JOURNAL"</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SpecialStringTok"/>
        </w:rPr>
        <w:t xml:space="preserve">f"  erasure   : "</w:t>
      </w:r>
      <w:r>
        <w:br/>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ControlFlowTok"/>
        </w:rPr>
        <w:t xml:space="preserve">if</w:t>
      </w:r>
      <w:r>
        <w:rPr>
          <w:rStyle w:val="NormalTok"/>
        </w:rPr>
        <w:t xml:space="preserve"> r.t_r </w:t>
      </w:r>
      <w:r>
        <w:rPr>
          <w:rStyle w:val="OperatorTok"/>
        </w:rPr>
        <w:t xml:space="preserve">==</w:t>
      </w:r>
      <w:r>
        <w:rPr>
          <w:rStyle w:val="NormalTok"/>
        </w:rPr>
        <w:t xml:space="preserve"> trf.INF</w:t>
      </w:r>
      <w:r>
        <w:br/>
      </w:r>
      <w:r>
        <w:rPr>
          <w:rStyle w:val="NormalTok"/>
        </w:rPr>
        <w:t xml:space="preserve">                       </w:t>
      </w:r>
      <w:r>
        <w:rPr>
          <w:rStyle w:val="ControlFlowTok"/>
        </w:rPr>
        <w:t xml:space="preserve">else</w:t>
      </w:r>
      <w:r>
        <w:rPr>
          <w:rStyle w:val="NormalTok"/>
        </w:rPr>
        <w:t xml:space="preserve"> </w:t>
      </w:r>
      <w:r>
        <w:rPr>
          <w:rStyle w:val="SpecialStringTok"/>
        </w:rPr>
        <w:t xml:space="preserve">f"t_r=</w:t>
      </w:r>
      <w:r>
        <w:rPr>
          <w:rStyle w:val="SpecialCharTok"/>
        </w:rPr>
        <w:t xml:space="preserve">{</w:t>
      </w:r>
      <w:r>
        <w:rPr>
          <w:rStyle w:val="NormalTok"/>
        </w:rPr>
        <w:t xml:space="preserve">r</w:t>
      </w:r>
      <w:r>
        <w:rPr>
          <w:rStyle w:val="SpecialCharTok"/>
        </w:rPr>
        <w:t xml:space="preserve">.</w:t>
      </w:r>
      <w:r>
        <w:rPr>
          <w:rStyle w:val="NormalTok"/>
        </w:rPr>
        <w:t xml:space="preserve">t_r</w:t>
      </w:r>
      <w:r>
        <w:rPr>
          <w:rStyle w:val="SpecialCharTok"/>
        </w:rPr>
        <w:t xml:space="preserve">}</w:t>
      </w:r>
      <w:r>
        <w:rPr>
          <w:rStyle w:val="SpecialStringTok"/>
        </w:rPr>
        <w:t xml:space="preserve"> -&gt; deadline </w:t>
      </w:r>
      <w:r>
        <w:rPr>
          <w:rStyle w:val="SpecialChar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SpecialStringTok"/>
        </w:rPr>
        <w:t xml:space="preserve">f"  ceiling   : "</w:t>
      </w:r>
      <w:r>
        <w:br/>
      </w:r>
      <w:r>
        <w:rPr>
          <w:rStyle w:val="NormalTok"/>
        </w:rPr>
        <w:t xml:space="preserve">                    </w:t>
      </w:r>
      <w:r>
        <w:rPr>
          <w:rStyle w:val="OperatorTok"/>
        </w:rPr>
        <w:t xml:space="preserve">+</w:t>
      </w:r>
      <w:r>
        <w:rPr>
          <w:rStyle w:val="NormalTok"/>
        </w:rPr>
        <w:t xml:space="preserve"> (</w:t>
      </w:r>
      <w:r>
        <w:rPr>
          <w:rStyle w:val="StringTok"/>
        </w:rPr>
        <w:t xml:space="preserve">"n/a"</w:t>
      </w:r>
      <w:r>
        <w:rPr>
          <w:rStyle w:val="NormalTok"/>
        </w:rPr>
        <w:t xml:space="preserve"> </w:t>
      </w:r>
      <w:r>
        <w:rPr>
          <w:rStyle w:val="ControlFlowTok"/>
        </w:rPr>
        <w:t xml:space="preserve">if</w:t>
      </w:r>
      <w:r>
        <w:rPr>
          <w:rStyle w:val="NormalTok"/>
        </w:rPr>
        <w:t xml:space="preserve"> r.ceiling_deadline() </w:t>
      </w:r>
      <w:r>
        <w:rPr>
          <w:rStyle w:val="OperatorTok"/>
        </w:rPr>
        <w:t xml:space="preserve">==</w:t>
      </w:r>
      <w:r>
        <w:rPr>
          <w:rStyle w:val="NormalTok"/>
        </w:rPr>
        <w:t xml:space="preserve"> trf.INF</w:t>
      </w:r>
      <w:r>
        <w:br/>
      </w:r>
      <w:r>
        <w:rPr>
          <w:rStyle w:val="NormalTok"/>
        </w:rPr>
        <w:t xml:space="preserve">                       </w:t>
      </w:r>
      <w:r>
        <w:rPr>
          <w:rStyle w:val="ControlFlowTok"/>
        </w:rPr>
        <w:t xml:space="preserve">else</w:t>
      </w:r>
      <w:r>
        <w:rPr>
          <w:rStyle w:val="NormalTok"/>
        </w:rPr>
        <w:t xml:space="preserve"> </w:t>
      </w:r>
      <w:r>
        <w:rPr>
          <w:rStyle w:val="SpecialStringTok"/>
        </w:rPr>
        <w:t xml:space="preserve">f"t_pi=</w:t>
      </w:r>
      <w:r>
        <w:rPr>
          <w:rStyle w:val="SpecialCharTok"/>
        </w:rPr>
        <w:t xml:space="preserve">{</w:t>
      </w:r>
      <w:r>
        <w:rPr>
          <w:rStyle w:val="NormalTok"/>
        </w:rPr>
        <w:t xml:space="preserve">r</w:t>
      </w:r>
      <w:r>
        <w:rPr>
          <w:rStyle w:val="SpecialCharTok"/>
        </w:rPr>
        <w:t xml:space="preserve">.</w:t>
      </w:r>
      <w:r>
        <w:rPr>
          <w:rStyle w:val="NormalTok"/>
        </w:rPr>
        <w:t xml:space="preserve">t_pi</w:t>
      </w:r>
      <w:r>
        <w:rPr>
          <w:rStyle w:val="SpecialCharTok"/>
        </w:rPr>
        <w:t xml:space="preserve">}</w:t>
      </w:r>
      <w:r>
        <w:rPr>
          <w:rStyle w:val="SpecialStringTok"/>
        </w:rPr>
        <w:t xml:space="preserve"> -&gt; </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SpecialStringTok"/>
        </w:rPr>
        <w:t xml:space="preserve">f"  collision : </w:t>
      </w:r>
      <w:r>
        <w:rPr>
          <w:rStyle w:val="SpecialCharTok"/>
        </w:rPr>
        <w:t xml:space="preserve">{</w:t>
      </w:r>
      <w:r>
        <w:rPr>
          <w:rStyle w:val="NormalTok"/>
        </w:rPr>
        <w:t xml:space="preserve">d[</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after invalidation: metadata intact, commitment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NormalTok"/>
        </w:rPr>
        <w:t xml:space="preserve">c[:</w:t>
      </w:r>
      <w:r>
        <w:rPr>
          <w:rStyle w:val="DecValTok"/>
        </w:rPr>
        <w:t xml:space="preserve">16</w:t>
      </w:r>
      <w:r>
        <w:rPr>
          <w:rStyle w:val="NormalTok"/>
        </w:rPr>
        <w:t xml:space="preserve">]</w:t>
      </w:r>
      <w:r>
        <w:rPr>
          <w:rStyle w:val="SpecialCharTok"/>
        </w:rPr>
        <w:t xml:space="preserve">}</w:t>
      </w:r>
      <w:r>
        <w:rPr>
          <w:rStyle w:val="SpecialStringTok"/>
        </w:rPr>
        <w:t xml:space="preserve">..., key=</w:t>
      </w:r>
      <w:r>
        <w:rPr>
          <w:rStyle w:val="SpecialCharTok"/>
        </w:rPr>
        <w:t xml:space="preserve">{</w:t>
      </w:r>
      <w:r>
        <w:rPr>
          <w:rStyle w:val="NormalTok"/>
        </w:rPr>
        <w:t xml:space="preserve">r</w:t>
      </w:r>
      <w:r>
        <w:rPr>
          <w:rStyle w:val="SpecialCharTok"/>
        </w:rPr>
        <w:t xml:space="preserve">.</w:t>
      </w:r>
      <w:r>
        <w:rPr>
          <w:rStyle w:val="NormalTok"/>
        </w:rPr>
        <w:t xml:space="preserve">k</w:t>
      </w:r>
      <w:r>
        <w:rPr>
          <w:rStyle w:val="SpecialCharTok"/>
        </w:rPr>
        <w:t xml:space="preserve">}</w:t>
      </w:r>
      <w:r>
        <w:rPr>
          <w:rStyle w:val="SpecialStringTok"/>
        </w:rPr>
        <w:t xml:space="preserve">, salt=</w:t>
      </w:r>
      <w:r>
        <w:rPr>
          <w:rStyle w:val="SpecialCharTok"/>
        </w:rPr>
        <w:t xml:space="preserve">{</w:t>
      </w:r>
      <w:r>
        <w:rPr>
          <w:rStyle w:val="NormalTok"/>
        </w:rPr>
        <w:t xml:space="preserve">r</w:t>
      </w:r>
      <w:r>
        <w:rPr>
          <w:rStyle w:val="SpecialCharTok"/>
        </w:rPr>
        <w:t xml:space="preserve">.</w:t>
      </w:r>
      <w:r>
        <w:rPr>
          <w:rStyle w:val="NormalTok"/>
        </w:rPr>
        <w:t xml:space="preserve">salt</w:t>
      </w:r>
      <w:r>
        <w:rPr>
          <w:rStyle w:val="SpecialCharTok"/>
        </w:rPr>
        <w:t xml:space="preserve">}</w:t>
      </w:r>
      <w:r>
        <w:rPr>
          <w:rStyle w:val="SpecialStringTok"/>
        </w:rPr>
        <w:t xml:space="preserve">, "</w:t>
      </w:r>
      <w:r>
        <w:br/>
      </w:r>
      <w:r>
        <w:rPr>
          <w:rStyle w:val="NormalTok"/>
        </w:rPr>
        <w:t xml:space="preserve">                    </w:t>
      </w:r>
      <w:r>
        <w:rPr>
          <w:rStyle w:val="SpecialStringTok"/>
        </w:rPr>
        <w:t xml:space="preserve">f"ground=</w:t>
      </w:r>
      <w:r>
        <w:rPr>
          <w:rStyle w:val="SpecialCharTok"/>
        </w:rPr>
        <w:t xml:space="preserve">{</w:t>
      </w:r>
      <w:r>
        <w:rPr>
          <w:rStyle w:val="NormalTok"/>
        </w:rPr>
        <w:t xml:space="preserve">r</w:t>
      </w:r>
      <w:r>
        <w:rPr>
          <w:rStyle w:val="SpecialCharTok"/>
        </w:rPr>
        <w:t xml:space="preserve">.</w:t>
      </w:r>
      <w:r>
        <w:rPr>
          <w:rStyle w:val="NormalTok"/>
        </w:rPr>
        <w:t xml:space="preserve">iota[</w:t>
      </w:r>
      <w:r>
        <w:rPr>
          <w:rStyle w:val="StringTok"/>
        </w:rPr>
        <w:t xml:space="preserve">'ground'</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iota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language</w:t>
      </w:r>
      <w:r>
        <w:rPr>
          <w:rStyle w:val="OperatorTok"/>
        </w:rPr>
        <w:t xml:space="preserve">=</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ModuleNotFoundError</w:t>
      </w:r>
      <w:r>
        <w:rPr>
          <w:rStyle w:val="NormalTok"/>
        </w:rPr>
        <w:t xml:space="preserve">:</w:t>
      </w:r>
      <w:r>
        <w:br/>
      </w:r>
      <w:r>
        <w:rPr>
          <w:rStyle w:val="NormalTok"/>
        </w:rPr>
        <w:t xml:space="preserve">            st.error(</w:t>
      </w:r>
      <w:r>
        <w:rPr>
          <w:rStyle w:val="StringTok"/>
        </w:rPr>
        <w:t xml:space="preserve">"norwegian_layer.py is not beside app.py in this deployment."</w:t>
      </w:r>
      <w:r>
        <w:rPr>
          <w:rStyle w:val="NormalTok"/>
        </w:rPr>
        <w:t xml:space="preserve">)</w:t>
      </w:r>
      <w:r>
        <w:br/>
      </w:r>
      <w:r>
        <w:br/>
      </w:r>
      <w:r>
        <w:rPr>
          <w:rStyle w:val="NormalTok"/>
        </w:rPr>
        <w:t xml:space="preserve">    st.divider()</w:t>
      </w:r>
      <w:r>
        <w:br/>
      </w:r>
      <w:r>
        <w:rPr>
          <w:rStyle w:val="NormalTok"/>
        </w:rPr>
        <w:t xml:space="preserve">    st.markdown(</w:t>
      </w:r>
      <w:r>
        <w:rPr>
          <w:rStyle w:val="StringTok"/>
        </w:rPr>
        <w:t xml:space="preserve">"**Cross-sector instance: politiregisterloven § 17**"</w:t>
      </w:r>
      <w:r>
        <w:rPr>
          <w:rStyle w:val="NormalTok"/>
        </w:rPr>
        <w:t xml:space="preserve">)</w:t>
      </w:r>
      <w:r>
        <w:br/>
      </w:r>
      <w:r>
        <w:rPr>
          <w:rStyle w:val="NormalTok"/>
        </w:rPr>
        <w:t xml:space="preserve">    st.write(</w:t>
      </w:r>
      <w:r>
        <w:br/>
      </w:r>
      <w:r>
        <w:rPr>
          <w:rStyle w:val="NormalTok"/>
        </w:rPr>
        <w:t xml:space="preserve">        </w:t>
      </w:r>
      <w:r>
        <w:rPr>
          <w:rStyle w:val="StringTok"/>
        </w:rPr>
        <w:t xml:space="preserve">"Norwegian police register law requires information about use of the "</w:t>
      </w:r>
      <w:r>
        <w:br/>
      </w:r>
      <w:r>
        <w:rPr>
          <w:rStyle w:val="NormalTok"/>
        </w:rPr>
        <w:t xml:space="preserve">        </w:t>
      </w:r>
      <w:r>
        <w:rPr>
          <w:rStyle w:val="StringTok"/>
        </w:rPr>
        <w:t xml:space="preserve">"system to be stored for at least one year and deleted at the latest "</w:t>
      </w:r>
      <w:r>
        <w:br/>
      </w:r>
      <w:r>
        <w:rPr>
          <w:rStyle w:val="NormalTok"/>
        </w:rPr>
        <w:t xml:space="preserve">        </w:t>
      </w:r>
      <w:r>
        <w:rPr>
          <w:rStyle w:val="StringTok"/>
        </w:rPr>
        <w:t xml:space="preserve">"after three: a floor, a ceiling and a subject right on one log, outside "</w:t>
      </w:r>
      <w:r>
        <w:br/>
      </w:r>
      <w:r>
        <w:rPr>
          <w:rStyle w:val="NormalTok"/>
        </w:rPr>
        <w:t xml:space="preserve">        </w:t>
      </w:r>
      <w:r>
        <w:rPr>
          <w:rStyle w:val="StringTok"/>
        </w:rPr>
        <w:t xml:space="preserve">"health. Running it through the same model gives the result we did not "</w:t>
      </w:r>
      <w:r>
        <w:br/>
      </w:r>
      <w:r>
        <w:rPr>
          <w:rStyle w:val="NormalTok"/>
        </w:rPr>
        <w:t xml:space="preserve">        </w:t>
      </w:r>
      <w:r>
        <w:rPr>
          <w:rStyle w:val="StringTok"/>
        </w:rPr>
        <w:t xml:space="preserve">"expect, and the more informative one."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cross-sector check"</w:t>
      </w:r>
      <w:r>
        <w:rPr>
          <w:rStyle w:val="NormalTok"/>
        </w:rPr>
        <w:t xml:space="preserve">, key</w:t>
      </w:r>
      <w:r>
        <w:rPr>
          <w:rStyle w:val="OperatorTok"/>
        </w:rPr>
        <w:t xml:space="preserve">=</w:t>
      </w:r>
      <w:r>
        <w:rPr>
          <w:rStyle w:val="StringTok"/>
        </w:rPr>
        <w:t xml:space="preserve">"run_cs"</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cross_sector_check </w:t>
      </w:r>
      <w:r>
        <w:rPr>
          <w:rStyle w:val="ImportTok"/>
        </w:rPr>
        <w:t xml:space="preserve">as</w:t>
      </w:r>
      <w:r>
        <w:rPr>
          <w:rStyle w:val="NormalTok"/>
        </w:rPr>
        <w:t xml:space="preserve"> cs</w:t>
      </w:r>
      <w:r>
        <w:br/>
      </w:r>
      <w:r>
        <w:br/>
      </w:r>
      <w:r>
        <w:rPr>
          <w:rStyle w:val="NormalTok"/>
        </w:rPr>
        <w:t xml:space="preserve">            recs </w:t>
      </w:r>
      <w:r>
        <w:rPr>
          <w:rStyle w:val="OperatorTok"/>
        </w:rPr>
        <w:t xml:space="preserve">=</w:t>
      </w:r>
      <w:r>
        <w:rPr>
          <w:rStyle w:val="NormalTok"/>
        </w:rPr>
        <w:t xml:space="preserve"> cs.build()</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structural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c1, c2, c3 </w:t>
      </w:r>
      <w:r>
        <w:rPr>
          <w:rStyle w:val="OperatorTok"/>
        </w:rPr>
        <w:t xml:space="preserve">=</w:t>
      </w:r>
      <w:r>
        <w:rPr>
          <w:rStyle w:val="NormalTok"/>
        </w:rPr>
        <w:t xml:space="preserve"> st.columns(</w:t>
      </w:r>
      <w:r>
        <w:rPr>
          <w:rStyle w:val="DecValTok"/>
        </w:rPr>
        <w:t xml:space="preserve">3</w:t>
      </w:r>
      <w:r>
        <w:rPr>
          <w:rStyle w:val="NormalTok"/>
        </w:rPr>
        <w:t xml:space="preserve">)</w:t>
      </w:r>
      <w:r>
        <w:br/>
      </w:r>
      <w:r>
        <w:rPr>
          <w:rStyle w:val="NormalTok"/>
        </w:rPr>
        <w:t xml:space="preserve">            c1.metric(</w:t>
      </w:r>
      <w:r>
        <w:rPr>
          <w:rStyle w:val="StringTok"/>
        </w:rPr>
        <w:t xml:space="preserve">"records"</w:t>
      </w:r>
      <w:r>
        <w:rPr>
          <w:rStyle w:val="NormalTok"/>
        </w:rPr>
        <w:t xml:space="preserve">, </w:t>
      </w:r>
      <w:r>
        <w:rPr>
          <w:rStyle w:val="BuiltInTok"/>
        </w:rPr>
        <w:t xml:space="preserve">len</w:t>
      </w:r>
      <w:r>
        <w:rPr>
          <w:rStyle w:val="NormalTok"/>
        </w:rPr>
        <w:t xml:space="preserve">(recs))</w:t>
      </w:r>
      <w:r>
        <w:br/>
      </w:r>
      <w:r>
        <w:rPr>
          <w:rStyle w:val="NormalTok"/>
        </w:rPr>
        <w:t xml:space="preserve">            c2.metric(</w:t>
      </w:r>
      <w:r>
        <w:rPr>
          <w:rStyle w:val="StringTok"/>
        </w:rPr>
        <w:t xml:space="preserve">"Sem I violations"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c3.metric(</w:t>
      </w:r>
      <w:r>
        <w:rPr>
          <w:rStyle w:val="StringTok"/>
        </w:rPr>
        <w:t xml:space="preserve">"structural (no erasure request)"</w:t>
      </w:r>
      <w:r>
        <w:rPr>
          <w:rStyle w:val="NormalTok"/>
        </w:rPr>
        <w:t xml:space="preserve">, structural)</w:t>
      </w:r>
      <w:r>
        <w:br/>
      </w:r>
      <w:r>
        <w:rPr>
          <w:rStyle w:val="NormalTok"/>
        </w:rPr>
        <w:t xml:space="preserve">            </w:t>
      </w:r>
      <w:r>
        <w:rPr>
          <w:rStyle w:val="ControlFlowTok"/>
        </w:rPr>
        <w:t xml:space="preserve">if</w:t>
      </w:r>
      <w:r>
        <w:rPr>
          <w:rStyle w:val="NormalTok"/>
        </w:rPr>
        <w:t xml:space="preserve"> structural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st.success(</w:t>
      </w:r>
      <w:r>
        <w:br/>
      </w:r>
      <w:r>
        <w:rPr>
          <w:rStyle w:val="NormalTok"/>
        </w:rPr>
        <w:t xml:space="preserve">                    </w:t>
      </w:r>
      <w:r>
        <w:rPr>
          <w:rStyle w:val="StringTok"/>
        </w:rPr>
        <w:t xml:space="preserve">"No structural collision. The floor ends at t_a + 12 and the "</w:t>
      </w:r>
      <w:r>
        <w:br/>
      </w:r>
      <w:r>
        <w:rPr>
          <w:rStyle w:val="NormalTok"/>
        </w:rPr>
        <w:t xml:space="preserve">                    </w:t>
      </w:r>
      <w:r>
        <w:rPr>
          <w:rStyle w:val="StringTok"/>
        </w:rPr>
        <w:t xml:space="preserve">"ceiling bites at t_a + 36, both measured from the same "</w:t>
      </w:r>
      <w:r>
        <w:br/>
      </w:r>
      <w:r>
        <w:rPr>
          <w:rStyle w:val="NormalTok"/>
        </w:rPr>
        <w:t xml:space="preserve">                    </w:t>
      </w:r>
      <w:r>
        <w:rPr>
          <w:rStyle w:val="StringTok"/>
        </w:rPr>
        <w:t xml:space="preserve">"origin, so § 17 defines a bounded retention window rather "</w:t>
      </w:r>
      <w:r>
        <w:br/>
      </w:r>
      <w:r>
        <w:rPr>
          <w:rStyle w:val="NormalTok"/>
        </w:rPr>
        <w:t xml:space="preserve">                    </w:t>
      </w:r>
      <w:r>
        <w:rPr>
          <w:rStyle w:val="StringTok"/>
        </w:rPr>
        <w:t xml:space="preserve">"than a contradiction. Every collision found is "</w:t>
      </w:r>
      <w:r>
        <w:br/>
      </w:r>
      <w:r>
        <w:rPr>
          <w:rStyle w:val="NormalTok"/>
        </w:rPr>
        <w:t xml:space="preserve">                    </w:t>
      </w:r>
      <w:r>
        <w:rPr>
          <w:rStyle w:val="StringTok"/>
        </w:rPr>
        <w:t xml:space="preserve">"erasure-driven. Article 68(12) collides instead because it "</w:t>
      </w:r>
      <w:r>
        <w:br/>
      </w:r>
      <w:r>
        <w:rPr>
          <w:rStyle w:val="NormalTok"/>
        </w:rPr>
        <w:t xml:space="preserve">                    </w:t>
      </w:r>
      <w:r>
        <w:rPr>
          <w:rStyle w:val="StringTok"/>
        </w:rPr>
        <w:t xml:space="preserve">"anchors its ceiling to an external event, the expiry of the "</w:t>
      </w:r>
      <w:r>
        <w:br/>
      </w:r>
      <w:r>
        <w:rPr>
          <w:rStyle w:val="NormalTok"/>
        </w:rPr>
        <w:t xml:space="preserve">                    </w:t>
      </w:r>
      <w:r>
        <w:rPr>
          <w:rStyle w:val="StringTok"/>
        </w:rPr>
        <w:t xml:space="preserve">"data permit, which can fall before the floor has run."</w:t>
      </w:r>
      <w:r>
        <w:rPr>
          <w:rStyle w:val="NormalTok"/>
        </w:rPr>
        <w:t xml:space="preserve">,</w:t>
      </w:r>
      <w:r>
        <w:br/>
      </w:r>
      <w:r>
        <w:rPr>
          <w:rStyle w:val="NormalTok"/>
        </w:rPr>
        <w:t xml:space="preserve">                    icon</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st.warning(</w:t>
      </w:r>
      <w:r>
        <w:rPr>
          <w:rStyle w:val="SpecialStringTok"/>
        </w:rPr>
        <w:t xml:space="preserve">f"</w:t>
      </w:r>
      <w:r>
        <w:rPr>
          <w:rStyle w:val="SpecialCharTok"/>
        </w:rPr>
        <w:t xml:space="preserve">{</w:t>
      </w:r>
      <w:r>
        <w:rPr>
          <w:rStyle w:val="NormalTok"/>
        </w:rPr>
        <w:t xml:space="preserve">structural</w:t>
      </w:r>
      <w:r>
        <w:rPr>
          <w:rStyle w:val="SpecialCharTok"/>
        </w:rPr>
        <w:t xml:space="preserve">}</w:t>
      </w:r>
      <w:r>
        <w:rPr>
          <w:rStyle w:val="SpecialStringTok"/>
        </w:rPr>
        <w:t xml:space="preserve"> structural collisions in this draw."</w:t>
      </w:r>
      <w:r>
        <w:rPr>
          <w:rStyle w:val="NormalTok"/>
        </w:rPr>
        <w:t xml:space="preserve">)</w:t>
      </w:r>
      <w:r>
        <w:br/>
      </w:r>
      <w:r>
        <w:rPr>
          <w:rStyle w:val="NormalTok"/>
        </w:rPr>
        <w:t xml:space="preserve">            st.caption(</w:t>
      </w:r>
      <w:r>
        <w:br/>
      </w:r>
      <w:r>
        <w:rPr>
          <w:rStyle w:val="NormalTok"/>
        </w:rPr>
        <w:t xml:space="preserve">                </w:t>
      </w:r>
      <w:r>
        <w:rPr>
          <w:rStyle w:val="SpecialStringTok"/>
        </w:rPr>
        <w:t xml:space="preserve">f"Semantics II violations: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ModuleNotFoundError</w:t>
      </w:r>
      <w:r>
        <w:rPr>
          <w:rStyle w:val="NormalTok"/>
        </w:rPr>
        <w:t xml:space="preserve">:</w:t>
      </w:r>
      <w:r>
        <w:br/>
      </w:r>
      <w:r>
        <w:rPr>
          <w:rStyle w:val="NormalTok"/>
        </w:rPr>
        <w:t xml:space="preserve">            st.error(</w:t>
      </w:r>
      <w:r>
        <w:rPr>
          <w:rStyle w:val="StringTok"/>
        </w:rPr>
        <w:t xml:space="preserve">"cross_sector_check.py is not beside app.py in this deployment."</w:t>
      </w:r>
      <w:r>
        <w:rPr>
          <w:rStyle w:val="NormalTok"/>
        </w:rPr>
        <w:t xml:space="preserve">)</w:t>
      </w:r>
      <w:r>
        <w:br/>
      </w:r>
      <w:r>
        <w:br/>
      </w:r>
      <w:r>
        <w:br/>
      </w:r>
      <w:r>
        <w:rPr>
          <w:rStyle w:val="CommentTok"/>
        </w:rPr>
        <w:t xml:space="preserve"># ----------------------------------------------------------------------</w:t>
      </w:r>
      <w:r>
        <w:br/>
      </w:r>
      <w:r>
        <w:rPr>
          <w:rStyle w:val="CommentTok"/>
        </w:rPr>
        <w:t xml:space="preserve"># Tab 5 — Robustness and cross-checks (Chapter 5 §5.4 and §5.5a)</w:t>
      </w:r>
      <w:r>
        <w:br/>
      </w:r>
      <w:r>
        <w:rPr>
          <w:rStyle w:val="CommentTok"/>
        </w:rPr>
        <w:t xml:space="preserve"># ----------------------------------------------------------------------</w:t>
      </w:r>
      <w:r>
        <w:br/>
      </w:r>
      <w:r>
        <w:br/>
      </w:r>
      <w:r>
        <w:rPr>
          <w:rStyle w:val="ControlFlowTok"/>
        </w:rPr>
        <w:t xml:space="preserve">with</w:t>
      </w:r>
      <w:r>
        <w:rPr>
          <w:rStyle w:val="NormalTok"/>
        </w:rPr>
        <w:t xml:space="preserve"> tab5:</w:t>
      </w:r>
      <w:r>
        <w:br/>
      </w:r>
      <w:r>
        <w:rPr>
          <w:rStyle w:val="NormalTok"/>
        </w:rPr>
        <w:t xml:space="preserve">    st.subheader(</w:t>
      </w:r>
      <w:r>
        <w:rPr>
          <w:rStyle w:val="StringTok"/>
        </w:rPr>
        <w:t xml:space="preserve">"Robustness and cross-checks"</w:t>
      </w:r>
      <w:r>
        <w:rPr>
          <w:rStyle w:val="NormalTok"/>
        </w:rPr>
        <w:t xml:space="preserve">)</w:t>
      </w:r>
      <w:r>
        <w:br/>
      </w:r>
      <w:r>
        <w:rPr>
          <w:rStyle w:val="NormalTok"/>
        </w:rPr>
        <w:t xml:space="preserve">    st.write(</w:t>
      </w:r>
      <w:r>
        <w:br/>
      </w:r>
      <w:r>
        <w:rPr>
          <w:rStyle w:val="NormalTok"/>
        </w:rPr>
        <w:t xml:space="preserve">        </w:t>
      </w:r>
      <w:r>
        <w:rPr>
          <w:rStyle w:val="StringTok"/>
        </w:rPr>
        <w:t xml:space="preserve">"Two results the thesis reports that the other tabs do not show. Both "</w:t>
      </w:r>
      <w:r>
        <w:br/>
      </w:r>
      <w:r>
        <w:rPr>
          <w:rStyle w:val="NormalTok"/>
        </w:rPr>
        <w:t xml:space="preserve">        </w:t>
      </w:r>
      <w:r>
        <w:rPr>
          <w:rStyle w:val="StringTok"/>
        </w:rPr>
        <w:t xml:space="preserve">"answer the same objection: that the infeasibility rests on one "</w:t>
      </w:r>
      <w:r>
        <w:br/>
      </w:r>
      <w:r>
        <w:rPr>
          <w:rStyle w:val="NormalTok"/>
        </w:rPr>
        <w:t xml:space="preserve">        </w:t>
      </w:r>
      <w:r>
        <w:rPr>
          <w:rStyle w:val="StringTok"/>
        </w:rPr>
        <w:t xml:space="preserve">"implementation, or on one arbitrary parameter."</w:t>
      </w:r>
      <w:r>
        <w:br/>
      </w:r>
      <w:r>
        <w:rPr>
          <w:rStyle w:val="NormalTok"/>
        </w:rPr>
        <w:t xml:space="preserve">    )</w:t>
      </w:r>
      <w:r>
        <w:br/>
      </w:r>
      <w:r>
        <w:br/>
      </w:r>
      <w:r>
        <w:rPr>
          <w:rStyle w:val="NormalTok"/>
        </w:rPr>
        <w:t xml:space="preserve">    st.markdown(</w:t>
      </w:r>
      <w:r>
        <w:rPr>
          <w:rStyle w:val="StringTok"/>
        </w:rPr>
        <w:t xml:space="preserve">"**Independent exhaustive cross-check — Chapter 5 §5.4**"</w:t>
      </w:r>
      <w:r>
        <w:rPr>
          <w:rStyle w:val="NormalTok"/>
        </w:rPr>
        <w:t xml:space="preserve">)</w:t>
      </w:r>
      <w:r>
        <w:br/>
      </w:r>
      <w:r>
        <w:rPr>
          <w:rStyle w:val="NormalTok"/>
        </w:rPr>
        <w:t xml:space="preserve">    st.write(</w:t>
      </w:r>
      <w:r>
        <w:br/>
      </w:r>
      <w:r>
        <w:rPr>
          <w:rStyle w:val="NormalTok"/>
        </w:rPr>
        <w:t xml:space="preserve">        </w:t>
      </w:r>
      <w:r>
        <w:rPr>
          <w:rStyle w:val="StringTok"/>
        </w:rPr>
        <w:t xml:space="preserve">"`brute_force_semantics_I()` is written separately from "</w:t>
      </w:r>
      <w:r>
        <w:br/>
      </w:r>
      <w:r>
        <w:rPr>
          <w:rStyle w:val="NormalTok"/>
        </w:rPr>
        <w:t xml:space="preserve">        </w:t>
      </w:r>
      <w:r>
        <w:rPr>
          <w:rStyle w:val="StringTok"/>
        </w:rPr>
        <w:t xml:space="preserve">"`check_semantics_I()`. It takes the constraint definitions directly and "</w:t>
      </w:r>
      <w:r>
        <w:br/>
      </w:r>
      <w:r>
        <w:rPr>
          <w:rStyle w:val="NormalTok"/>
        </w:rPr>
        <w:t xml:space="preserve">        </w:t>
      </w:r>
      <w:r>
        <w:rPr>
          <w:rStyle w:val="StringTok"/>
        </w:rPr>
        <w:t xml:space="preserve">"enumerates all 2¹⁴ assignments of the accessibility variable over a "</w:t>
      </w:r>
      <w:r>
        <w:br/>
      </w:r>
      <w:r>
        <w:rPr>
          <w:rStyle w:val="NormalTok"/>
        </w:rPr>
        <w:t xml:space="preserve">        </w:t>
      </w:r>
      <w:r>
        <w:rPr>
          <w:rStyle w:val="StringTok"/>
        </w:rPr>
        <w:t xml:space="preserve">"fourteen-month horizon. Agreement between two independent "</w:t>
      </w:r>
      <w:r>
        <w:br/>
      </w:r>
      <w:r>
        <w:rPr>
          <w:rStyle w:val="NormalTok"/>
        </w:rPr>
        <w:t xml:space="preserve">        </w:t>
      </w:r>
      <w:r>
        <w:rPr>
          <w:rStyle w:val="StringTok"/>
        </w:rPr>
        <w:t xml:space="preserve">"implementations is worth more than confidence in either one. The "</w:t>
      </w:r>
      <w:r>
        <w:br/>
      </w:r>
      <w:r>
        <w:rPr>
          <w:rStyle w:val="NormalTok"/>
        </w:rPr>
        <w:t xml:space="preserve">        </w:t>
      </w:r>
      <w:r>
        <w:rPr>
          <w:rStyle w:val="StringTok"/>
        </w:rPr>
        <w:t xml:space="preserve">"control case, where neither the erasure right nor the ceiling is "</w:t>
      </w:r>
      <w:r>
        <w:br/>
      </w:r>
      <w:r>
        <w:rPr>
          <w:rStyle w:val="NormalTok"/>
        </w:rPr>
        <w:t xml:space="preserve">        </w:t>
      </w:r>
      <w:r>
        <w:rPr>
          <w:rStyle w:val="StringTok"/>
        </w:rPr>
        <w:t xml:space="preserve">"active, must come back feasible: a search that never succeeds proves "</w:t>
      </w:r>
      <w:r>
        <w:br/>
      </w:r>
      <w:r>
        <w:rPr>
          <w:rStyle w:val="NormalTok"/>
        </w:rPr>
        <w:t xml:space="preserve">        </w:t>
      </w:r>
      <w:r>
        <w:rPr>
          <w:rStyle w:val="StringTok"/>
        </w:rPr>
        <w:t xml:space="preserve">"nothing."</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exhaustive cross-check"</w:t>
      </w:r>
      <w:r>
        <w:rPr>
          <w:rStyle w:val="NormalTok"/>
        </w:rPr>
        <w:t xml:space="preserve">, key</w:t>
      </w:r>
      <w:r>
        <w:rPr>
          <w:rStyle w:val="OperatorTok"/>
        </w:rPr>
        <w:t xml:space="preserve">=</w:t>
      </w:r>
      <w:r>
        <w:rPr>
          <w:rStyle w:val="StringTok"/>
        </w:rPr>
        <w:t xml:space="preserve">"run_bf"</w:t>
      </w:r>
      <w:r>
        <w:rPr>
          <w:rStyle w:val="NormalTok"/>
        </w:rPr>
        <w:t xml:space="preserve">):</w:t>
      </w:r>
      <w:r>
        <w:br/>
      </w:r>
      <w:r>
        <w:rPr>
          <w:rStyle w:val="NormalTok"/>
        </w:rPr>
        <w:t xml:space="preserve">        </w:t>
      </w:r>
      <w:r>
        <w:rPr>
          <w:rStyle w:val="CommentTok"/>
        </w:rPr>
        <w:t xml:space="preserve"># Parameters copied verbatim from trf_checker.main(); the expected</w:t>
      </w:r>
      <w:r>
        <w:br/>
      </w:r>
      <w:r>
        <w:rPr>
          <w:rStyle w:val="NormalTok"/>
        </w:rPr>
        <w:t xml:space="preserve">        </w:t>
      </w:r>
      <w:r>
        <w:rPr>
          <w:rStyle w:val="CommentTok"/>
        </w:rPr>
        <w:t xml:space="preserve"># column is what docs/expected_trf_output.txt records for each case.</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StringTok"/>
        </w:rPr>
        <w:t xml:space="preserve">"SPE, no erasure request, permit 3mo"</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trf.INF, </w:t>
      </w:r>
      <w:r>
        <w:rPr>
          <w:rStyle w:val="DecValTok"/>
        </w:rPr>
        <w:t xml:space="preserve">3</w:t>
      </w:r>
      <w:r>
        <w:rPr>
          <w:rStyle w:val="NormalTok"/>
        </w:rPr>
        <w:t xml:space="preserve">, </w:t>
      </w:r>
      <w:r>
        <w:rPr>
          <w:rStyle w:val="StringTok"/>
        </w:rPr>
        <w:t xml:space="preserve">"secondary"</w:t>
      </w:r>
      <w:r>
        <w:rPr>
          <w:rStyle w:val="NormalTok"/>
        </w:rPr>
        <w:t xml:space="preserve">, </w:t>
      </w:r>
      <w:r>
        <w:rPr>
          <w:rStyle w:val="DecValTok"/>
        </w:rPr>
        <w:t xml:space="preserve">14</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"SPE, erasure at t=2"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StringTok"/>
        </w:rPr>
        <w:t xml:space="preserve">"secondary"</w:t>
      </w:r>
      <w:r>
        <w:rPr>
          <w:rStyle w:val="NormalTok"/>
        </w:rPr>
        <w:t xml:space="preserve">, </w:t>
      </w:r>
      <w:r>
        <w:rPr>
          <w:rStyle w:val="DecValTok"/>
        </w:rPr>
        <w:t xml:space="preserve">14</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"cross-border scaled (F=12), erasure at t=4"</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4</w:t>
      </w:r>
      <w:r>
        <w:rPr>
          <w:rStyle w:val="NormalTok"/>
        </w:rPr>
        <w:t xml:space="preserve">, trf.INF, </w:t>
      </w:r>
      <w:r>
        <w:rPr>
          <w:rStyle w:val="StringTok"/>
        </w:rPr>
        <w:t xml:space="preserve">"primary"</w:t>
      </w:r>
      <w:r>
        <w:rPr>
          <w:rStyle w:val="NormalTok"/>
        </w:rPr>
        <w:t xml:space="preserve">, </w:t>
      </w:r>
      <w:r>
        <w:rPr>
          <w:rStyle w:val="DecValTok"/>
        </w:rPr>
        <w:t xml:space="preserve">14</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"control: no request, no expiry"</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trf.INF, trf.INF, </w:t>
      </w:r>
      <w:r>
        <w:rPr>
          <w:rStyle w:val="StringTok"/>
        </w:rPr>
        <w:t xml:space="preserve">"primary"</w:t>
      </w:r>
      <w:r>
        <w:rPr>
          <w:rStyle w:val="NormalTok"/>
        </w:rPr>
        <w:t xml:space="preserve">, </w:t>
      </w:r>
      <w:r>
        <w:rPr>
          <w:rStyle w:val="DecValTok"/>
        </w:rPr>
        <w:t xml:space="preserve">14</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rows, ok </w:t>
      </w:r>
      <w:r>
        <w:rPr>
          <w:rStyle w:val="OperatorTok"/>
        </w:rPr>
        <w:t xml:space="preserve">=</w:t>
      </w:r>
      <w:r>
        <w:rPr>
          <w:rStyle w:val="NormalTok"/>
        </w:rPr>
        <w:t xml:space="preserve"> [], </w:t>
      </w:r>
      <w:r>
        <w:rPr>
          <w:rStyle w:val="VariableTok"/>
        </w:rPr>
        <w:t xml:space="preserve">True</w:t>
      </w:r>
      <w:r>
        <w:br/>
      </w:r>
      <w:r>
        <w:rPr>
          <w:rStyle w:val="NormalTok"/>
        </w:rPr>
        <w:t xml:space="preserve">        </w:t>
      </w:r>
      <w:r>
        <w:rPr>
          <w:rStyle w:val="ControlFlowTok"/>
        </w:rPr>
        <w:t xml:space="preserve">with</w:t>
      </w:r>
      <w:r>
        <w:rPr>
          <w:rStyle w:val="NormalTok"/>
        </w:rPr>
        <w:t xml:space="preserve"> st.spinner(</w:t>
      </w:r>
      <w:r>
        <w:rPr>
          <w:rStyle w:val="StringTok"/>
        </w:rPr>
        <w:t xml:space="preserve">"Enumerating 2^14 assignments per case ..."</w:t>
      </w:r>
      <w:r>
        <w:rPr>
          <w:rStyle w:val="NormalTok"/>
        </w:rPr>
        <w:t xml:space="preserve">):</w:t>
      </w:r>
      <w:r>
        <w:br/>
      </w:r>
      <w:r>
        <w:rPr>
          <w:rStyle w:val="NormalTok"/>
        </w:rPr>
        <w:t xml:space="preserve">            </w:t>
      </w:r>
      <w:r>
        <w:rPr>
          <w:rStyle w:val="ControlFlowTok"/>
        </w:rPr>
        <w:t xml:space="preserve">for</w:t>
      </w:r>
      <w:r>
        <w:rPr>
          <w:rStyle w:val="NormalTok"/>
        </w:rPr>
        <w:t xml:space="preserve"> label, args, expected </w:t>
      </w:r>
      <w:r>
        <w:rPr>
          <w:rStyle w:val="KeywordTok"/>
        </w:rPr>
        <w:t xml:space="preserve">in</w:t>
      </w:r>
      <w:r>
        <w:rPr>
          <w:rStyle w:val="NormalTok"/>
        </w:rPr>
        <w:t xml:space="preserve"> cases:</w:t>
      </w:r>
      <w:r>
        <w:br/>
      </w:r>
      <w:r>
        <w:rPr>
          <w:rStyle w:val="NormalTok"/>
        </w:rPr>
        <w:t xml:space="preserve">                got </w:t>
      </w:r>
      <w:r>
        <w:rPr>
          <w:rStyle w:val="OperatorTok"/>
        </w:rPr>
        <w:t xml:space="preserve">=</w:t>
      </w:r>
      <w:r>
        <w:rPr>
          <w:rStyle w:val="NormalTok"/>
        </w:rPr>
        <w:t xml:space="preserve"> trf.brute_force_semantics_I(</w:t>
      </w:r>
      <w:r>
        <w:rPr>
          <w:rStyle w:val="OperatorTok"/>
        </w:rPr>
        <w:t xml:space="preserve">*</w:t>
      </w:r>
      <w:r>
        <w:rPr>
          <w:rStyle w:val="NormalTok"/>
        </w:rPr>
        <w:t xml:space="preserve">args)</w:t>
      </w:r>
      <w:r>
        <w:br/>
      </w:r>
      <w:r>
        <w:rPr>
          <w:rStyle w:val="NormalTok"/>
        </w:rPr>
        <w:t xml:space="preserve">                rows.append({</w:t>
      </w:r>
      <w:r>
        <w:rPr>
          <w:rStyle w:val="StringTok"/>
        </w:rPr>
        <w:t xml:space="preserve">"case"</w:t>
      </w:r>
      <w:r>
        <w:rPr>
          <w:rStyle w:val="NormalTok"/>
        </w:rPr>
        <w:t xml:space="preserve">: label, </w:t>
      </w:r>
      <w:r>
        <w:rPr>
          <w:rStyle w:val="StringTok"/>
        </w:rPr>
        <w:t xml:space="preserve">"feasible"</w:t>
      </w:r>
      <w:r>
        <w:rPr>
          <w:rStyle w:val="NormalTok"/>
        </w:rPr>
        <w:t xml:space="preserve">: got,</w:t>
      </w:r>
      <w:r>
        <w:br/>
      </w:r>
      <w:r>
        <w:rPr>
          <w:rStyle w:val="NormalTok"/>
        </w:rPr>
        <w:t xml:space="preserve">                             </w:t>
      </w:r>
      <w:r>
        <w:rPr>
          <w:rStyle w:val="StringTok"/>
        </w:rPr>
        <w:t xml:space="preserve">"expected"</w:t>
      </w:r>
      <w:r>
        <w:rPr>
          <w:rStyle w:val="NormalTok"/>
        </w:rPr>
        <w:t xml:space="preserve">: expected,</w:t>
      </w:r>
      <w:r>
        <w:br/>
      </w:r>
      <w:r>
        <w:rPr>
          <w:rStyle w:val="NormalTok"/>
        </w:rPr>
        <w:t xml:space="preserve">                             </w:t>
      </w:r>
      <w:r>
        <w:rPr>
          <w:rStyle w:val="StringTok"/>
        </w:rPr>
        <w:t xml:space="preserve">"agrees"</w:t>
      </w:r>
      <w:r>
        <w:rPr>
          <w:rStyle w:val="NormalTok"/>
        </w:rPr>
        <w:t xml:space="preserve">: </w:t>
      </w:r>
      <w:r>
        <w:rPr>
          <w:rStyle w:val="StringTok"/>
        </w:rPr>
        <w:t xml:space="preserve">"yes"</w:t>
      </w:r>
      <w:r>
        <w:rPr>
          <w:rStyle w:val="NormalTok"/>
        </w:rPr>
        <w:t xml:space="preserve"> </w:t>
      </w:r>
      <w:r>
        <w:rPr>
          <w:rStyle w:val="ControlFlowTok"/>
        </w:rPr>
        <w:t xml:space="preserve">if</w:t>
      </w:r>
      <w:r>
        <w:rPr>
          <w:rStyle w:val="NormalTok"/>
        </w:rPr>
        <w:t xml:space="preserve"> got </w:t>
      </w:r>
      <w:r>
        <w:rPr>
          <w:rStyle w:val="OperatorTok"/>
        </w:rPr>
        <w:t xml:space="preserve">==</w:t>
      </w:r>
      <w:r>
        <w:rPr>
          <w:rStyle w:val="NormalTok"/>
        </w:rPr>
        <w:t xml:space="preserve"> expected </w:t>
      </w:r>
      <w:r>
        <w:rPr>
          <w:rStyle w:val="ControlFlowTok"/>
        </w:rPr>
        <w:t xml:space="preserve">else</w:t>
      </w:r>
      <w:r>
        <w:rPr>
          <w:rStyle w:val="NormalTok"/>
        </w:rPr>
        <w:t xml:space="preserve"> </w:t>
      </w:r>
      <w:r>
        <w:rPr>
          <w:rStyle w:val="StringTok"/>
        </w:rPr>
        <w:t xml:space="preserve">"NO"</w:t>
      </w:r>
      <w:r>
        <w:rPr>
          <w:rStyle w:val="NormalTok"/>
        </w:rPr>
        <w:t xml:space="preserve">})</w:t>
      </w:r>
      <w:r>
        <w:br/>
      </w:r>
      <w:r>
        <w:rPr>
          <w:rStyle w:val="NormalTok"/>
        </w:rPr>
        <w:t xml:space="preserve">                ok </w:t>
      </w:r>
      <w:r>
        <w:rPr>
          <w:rStyle w:val="OperatorTok"/>
        </w:rPr>
        <w:t xml:space="preserve">=</w:t>
      </w:r>
      <w:r>
        <w:rPr>
          <w:rStyle w:val="NormalTok"/>
        </w:rPr>
        <w:t xml:space="preserve"> ok </w:t>
      </w:r>
      <w:r>
        <w:rPr>
          <w:rStyle w:val="KeywordTok"/>
        </w:rPr>
        <w:t xml:space="preserve">and</w:t>
      </w:r>
      <w:r>
        <w:rPr>
          <w:rStyle w:val="NormalTok"/>
        </w:rPr>
        <w:t xml:space="preserve"> got </w:t>
      </w:r>
      <w:r>
        <w:rPr>
          <w:rStyle w:val="OperatorTok"/>
        </w:rPr>
        <w:t xml:space="preserve">==</w:t>
      </w:r>
      <w:r>
        <w:rPr>
          <w:rStyle w:val="NormalTok"/>
        </w:rPr>
        <w:t xml:space="preserve"> expected</w:t>
      </w:r>
      <w:r>
        <w:br/>
      </w:r>
      <w:r>
        <w:rPr>
          <w:rStyle w:val="NormalTok"/>
        </w:rPr>
        <w:t xml:space="preserve">        st.dataframe(rows, use_container_width</w:t>
      </w:r>
      <w:r>
        <w:rPr>
          <w:rStyle w:val="OperatorTok"/>
        </w:rPr>
        <w:t xml:space="preserve">=</w:t>
      </w:r>
      <w:r>
        <w:rPr>
          <w:rStyle w:val="VariableTok"/>
        </w:rPr>
        <w:t xml:space="preserve">True</w:t>
      </w:r>
      <w:r>
        <w:rPr>
          <w:rStyle w:val="NormalTok"/>
        </w:rPr>
        <w:t xml:space="preserve">, hide_index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ok:</w:t>
      </w:r>
      <w:r>
        <w:br/>
      </w:r>
      <w:r>
        <w:rPr>
          <w:rStyle w:val="NormalTok"/>
        </w:rPr>
        <w:t xml:space="preserve">            st.success(</w:t>
      </w:r>
      <w:r>
        <w:br/>
      </w:r>
      <w:r>
        <w:rPr>
          <w:rStyle w:val="NormalTok"/>
        </w:rPr>
        <w:t xml:space="preserve">                </w:t>
      </w:r>
      <w:r>
        <w:rPr>
          <w:rStyle w:val="StringTok"/>
        </w:rPr>
        <w:t xml:space="preserve">"Both implementations agree on every case, and the control "</w:t>
      </w:r>
      <w:r>
        <w:br/>
      </w:r>
      <w:r>
        <w:rPr>
          <w:rStyle w:val="NormalTok"/>
        </w:rPr>
        <w:t xml:space="preserve">                </w:t>
      </w:r>
      <w:r>
        <w:rPr>
          <w:rStyle w:val="StringTok"/>
        </w:rPr>
        <w:t xml:space="preserve">"returns feasible, so the search can succeed when it should."</w:t>
      </w:r>
      <w:r>
        <w:rPr>
          <w:rStyle w:val="NormalTok"/>
        </w:rPr>
        <w:t xml:space="preserve">,</w:t>
      </w:r>
      <w:r>
        <w:br/>
      </w:r>
      <w:r>
        <w:rPr>
          <w:rStyle w:val="NormalTok"/>
        </w:rPr>
        <w:t xml:space="preserve">                icon</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st.error(</w:t>
      </w:r>
      <w:r>
        <w:br/>
      </w:r>
      <w:r>
        <w:rPr>
          <w:rStyle w:val="NormalTok"/>
        </w:rPr>
        <w:t xml:space="preserve">                </w:t>
      </w:r>
      <w:r>
        <w:rPr>
          <w:rStyle w:val="StringTok"/>
        </w:rPr>
        <w:t xml:space="preserve">"DISAGREEMENT. Do not present any figure from this artefact "</w:t>
      </w:r>
      <w:r>
        <w:br/>
      </w:r>
      <w:r>
        <w:rPr>
          <w:rStyle w:val="NormalTok"/>
        </w:rPr>
        <w:t xml:space="preserve">                </w:t>
      </w:r>
      <w:r>
        <w:rPr>
          <w:rStyle w:val="StringTok"/>
        </w:rPr>
        <w:t xml:space="preserve">"until the discrepancy is explained."</w:t>
      </w:r>
      <w:r>
        <w:rPr>
          <w:rStyle w:val="NormalTok"/>
        </w:rPr>
        <w:t xml:space="preserve">,</w:t>
      </w:r>
      <w:r>
        <w:br/>
      </w:r>
      <w:r>
        <w:rPr>
          <w:rStyle w:val="NormalTok"/>
        </w:rPr>
        <w:t xml:space="preserve">                icon</w:t>
      </w:r>
      <w:r>
        <w:rPr>
          <w:rStyle w:val="Operator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st.divider()</w:t>
      </w:r>
      <w:r>
        <w:br/>
      </w:r>
      <w:r>
        <w:rPr>
          <w:rStyle w:val="NormalTok"/>
        </w:rPr>
        <w:t xml:space="preserve">    st.markdown(</w:t>
      </w:r>
      <w:r>
        <w:rPr>
          <w:rStyle w:val="StringTok"/>
        </w:rPr>
        <w:t xml:space="preserve">"**Erasure response period — Chapter 5 §5.5a**"</w:t>
      </w:r>
      <w:r>
        <w:rPr>
          <w:rStyle w:val="NormalTok"/>
        </w:rPr>
        <w:t xml:space="preserve">)</w:t>
      </w:r>
      <w:r>
        <w:br/>
      </w:r>
      <w:r>
        <w:rPr>
          <w:rStyle w:val="NormalTok"/>
        </w:rPr>
        <w:t xml:space="preserve">    st.write(</w:t>
      </w:r>
      <w:r>
        <w:br/>
      </w:r>
      <w:r>
        <w:rPr>
          <w:rStyle w:val="NormalTok"/>
        </w:rPr>
        <w:t xml:space="preserve">        </w:t>
      </w:r>
      <w:r>
        <w:rPr>
          <w:rStyle w:val="StringTok"/>
        </w:rPr>
        <w:t xml:space="preserve">"The model sets δ, the controller's response period for an erasure "</w:t>
      </w:r>
      <w:r>
        <w:br/>
      </w:r>
      <w:r>
        <w:rPr>
          <w:rStyle w:val="NormalTok"/>
        </w:rPr>
        <w:t xml:space="preserve">        </w:t>
      </w:r>
      <w:r>
        <w:rPr>
          <w:rStyle w:val="StringTok"/>
        </w:rPr>
        <w:t xml:space="preserve">"request, to one month. GDPR Article 12(3) allows an extension to three "</w:t>
      </w:r>
      <w:r>
        <w:br/>
      </w:r>
      <w:r>
        <w:rPr>
          <w:rStyle w:val="NormalTok"/>
        </w:rPr>
        <w:t xml:space="preserve">        </w:t>
      </w:r>
      <w:r>
        <w:rPr>
          <w:rStyle w:val="StringTok"/>
        </w:rPr>
        <w:t xml:space="preserve">"where the request is complex. If the infeasibility were an artefact of "</w:t>
      </w:r>
      <w:r>
        <w:br/>
      </w:r>
      <w:r>
        <w:rPr>
          <w:rStyle w:val="NormalTok"/>
        </w:rPr>
        <w:t xml:space="preserve">        </w:t>
      </w:r>
      <w:r>
        <w:rPr>
          <w:rStyle w:val="StringTok"/>
        </w:rPr>
        <w:t xml:space="preserve">"the tighter period, a longer one would dissolve it. This runs the "</w:t>
      </w:r>
      <w:r>
        <w:br/>
      </w:r>
      <w:r>
        <w:rPr>
          <w:rStyle w:val="NormalTok"/>
        </w:rPr>
        <w:t xml:space="preserve">        </w:t>
      </w:r>
      <w:r>
        <w:rPr>
          <w:rStyle w:val="StringTok"/>
        </w:rPr>
        <w:t xml:space="preserve">"population at both values rather than asserting the answer."</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st.button(</w:t>
      </w:r>
      <w:r>
        <w:rPr>
          <w:rStyle w:val="StringTok"/>
        </w:rPr>
        <w:t xml:space="preserve">"Run δ witness"</w:t>
      </w:r>
      <w:r>
        <w:rPr>
          <w:rStyle w:val="NormalTok"/>
        </w:rPr>
        <w:t xml:space="preserve">, key</w:t>
      </w:r>
      <w:r>
        <w:rPr>
          <w:rStyle w:val="OperatorTok"/>
        </w:rPr>
        <w:t xml:space="preserve">=</w:t>
      </w:r>
      <w:r>
        <w:rPr>
          <w:rStyle w:val="StringTok"/>
        </w:rPr>
        <w:t xml:space="preserve">"run_delta"</w:t>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"Re-running the population at δ = 1 and δ = 3 ..."</w:t>
      </w:r>
      <w:r>
        <w:rPr>
          <w:rStyle w:val="NormalTok"/>
        </w:rPr>
        <w:t xml:space="preserve">):</w:t>
      </w:r>
      <w:r>
        <w:br/>
      </w:r>
      <w:r>
        <w:rPr>
          <w:rStyle w:val="NormalTok"/>
        </w:rPr>
        <w:t xml:space="preserve">            rows </w:t>
      </w:r>
      <w:r>
        <w:rPr>
          <w:rStyle w:val="OperatorTok"/>
        </w:rPr>
        <w:t xml:space="preserve">=</w:t>
      </w:r>
      <w:r>
        <w:rPr>
          <w:rStyle w:val="NormalTok"/>
        </w:rPr>
        <w:t xml:space="preserve"> trf.delta_witness()</w:t>
      </w:r>
      <w:r>
        <w:br/>
      </w:r>
      <w:r>
        <w:rPr>
          <w:rStyle w:val="NormalTok"/>
        </w:rPr>
        <w:t xml:space="preserve">        st.dataframe(</w:t>
      </w:r>
      <w:r>
        <w:br/>
      </w:r>
      <w:r>
        <w:rPr>
          <w:rStyle w:val="NormalTok"/>
        </w:rPr>
        <w:t xml:space="preserve">            [{</w:t>
      </w:r>
      <w:r>
        <w:rPr>
          <w:rStyle w:val="StringTok"/>
        </w:rPr>
        <w:t xml:space="preserve">"δ (months)"</w:t>
      </w:r>
      <w:r>
        <w:rPr>
          <w:rStyle w:val="NormalTok"/>
        </w:rPr>
        <w:t xml:space="preserve">: r[</w:t>
      </w:r>
      <w:r>
        <w:rPr>
          <w:rStyle w:val="StringTok"/>
        </w:rPr>
        <w:t xml:space="preserve">"delta"</w:t>
      </w:r>
      <w:r>
        <w:rPr>
          <w:rStyle w:val="NormalTok"/>
        </w:rPr>
        <w:t xml:space="preserve">],</w:t>
      </w:r>
      <w:r>
        <w:br/>
      </w:r>
      <w:r>
        <w:rPr>
          <w:rStyle w:val="NormalTok"/>
        </w:rPr>
        <w:t xml:space="preserve">              </w:t>
      </w:r>
      <w:r>
        <w:rPr>
          <w:rStyle w:val="StringTok"/>
        </w:rPr>
        <w:t xml:space="preserve">"Sem I records"</w:t>
      </w:r>
      <w:r>
        <w:rPr>
          <w:rStyle w:val="NormalTok"/>
        </w:rPr>
        <w:t xml:space="preserve">: r[</w:t>
      </w:r>
      <w:r>
        <w:rPr>
          <w:rStyle w:val="StringTok"/>
        </w:rPr>
        <w:t xml:space="preserve">"sem1_records"</w:t>
      </w:r>
      <w:r>
        <w:rPr>
          <w:rStyle w:val="NormalTok"/>
        </w:rPr>
        <w:t xml:space="preserve">],</w:t>
      </w:r>
      <w:r>
        <w:br/>
      </w:r>
      <w:r>
        <w:rPr>
          <w:rStyle w:val="NormalTok"/>
        </w:rPr>
        <w:t xml:space="preserve">              </w:t>
      </w:r>
      <w:r>
        <w:rPr>
          <w:rStyle w:val="StringTok"/>
        </w:rPr>
        <w:t xml:space="preserve">"Sem I violations"</w:t>
      </w:r>
      <w:r>
        <w:rPr>
          <w:rStyle w:val="NormalTok"/>
        </w:rPr>
        <w:t xml:space="preserve">: r[</w:t>
      </w:r>
      <w:r>
        <w:rPr>
          <w:rStyle w:val="StringTok"/>
        </w:rPr>
        <w:t xml:space="preserve">"sem1_total"</w:t>
      </w:r>
      <w:r>
        <w:rPr>
          <w:rStyle w:val="NormalTok"/>
        </w:rPr>
        <w:t xml:space="preserve">],</w:t>
      </w:r>
      <w:r>
        <w:br/>
      </w:r>
      <w:r>
        <w:rPr>
          <w:rStyle w:val="NormalTok"/>
        </w:rPr>
        <w:t xml:space="preserve">              </w:t>
      </w:r>
      <w:r>
        <w:rPr>
          <w:rStyle w:val="StringTok"/>
        </w:rPr>
        <w:t xml:space="preserve">"Corollary 1.2 witnesses"</w:t>
      </w:r>
      <w:r>
        <w:rPr>
          <w:rStyle w:val="NormalTok"/>
        </w:rPr>
        <w:t xml:space="preserve">: r[</w:t>
      </w:r>
      <w:r>
        <w:rPr>
          <w:rStyle w:val="StringTok"/>
        </w:rPr>
        <w:t xml:space="preserve">"cor12"</w:t>
      </w:r>
      <w:r>
        <w:rPr>
          <w:rStyle w:val="NormalTok"/>
        </w:rPr>
        <w:t xml:space="preserve">],</w:t>
      </w:r>
      <w:r>
        <w:br/>
      </w:r>
      <w:r>
        <w:rPr>
          <w:rStyle w:val="NormalTok"/>
        </w:rPr>
        <w:t xml:space="preserve">              </w:t>
      </w:r>
      <w:r>
        <w:rPr>
          <w:rStyle w:val="StringTok"/>
        </w:rPr>
        <w:t xml:space="preserve">"invalidated"</w:t>
      </w:r>
      <w:r>
        <w:rPr>
          <w:rStyle w:val="NormalTok"/>
        </w:rPr>
        <w:t xml:space="preserve">: r[</w:t>
      </w:r>
      <w:r>
        <w:rPr>
          <w:rStyle w:val="StringTok"/>
        </w:rPr>
        <w:t xml:space="preserve">"invalidated"</w:t>
      </w:r>
      <w:r>
        <w:rPr>
          <w:rStyle w:val="NormalTok"/>
        </w:rPr>
        <w:t xml:space="preserve">],</w:t>
      </w:r>
      <w:r>
        <w:br/>
      </w:r>
      <w:r>
        <w:rPr>
          <w:rStyle w:val="NormalTok"/>
        </w:rPr>
        <w:t xml:space="preserve">              </w:t>
      </w:r>
      <w:r>
        <w:rPr>
          <w:rStyle w:val="StringTok"/>
        </w:rPr>
        <w:t xml:space="preserve">"Sem II violations"</w:t>
      </w:r>
      <w:r>
        <w:rPr>
          <w:rStyle w:val="NormalTok"/>
        </w:rPr>
        <w:t xml:space="preserve">: r[</w:t>
      </w:r>
      <w:r>
        <w:rPr>
          <w:rStyle w:val="StringTok"/>
        </w:rPr>
        <w:t xml:space="preserve">"sem2_total"</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use_container_width</w:t>
      </w:r>
      <w:r>
        <w:rPr>
          <w:rStyle w:val="OperatorTok"/>
        </w:rPr>
        <w:t xml:space="preserve">=</w:t>
      </w:r>
      <w:r>
        <w:rPr>
          <w:rStyle w:val="VariableTok"/>
        </w:rPr>
        <w:t xml:space="preserve">True</w:t>
      </w:r>
      <w:r>
        <w:rPr>
          <w:rStyle w:val="NormalTok"/>
        </w:rPr>
        <w:t xml:space="preserve">, hide_index</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(r[</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KeywordTok"/>
        </w:rPr>
        <w:t xml:space="preserve">and</w:t>
      </w:r>
      <w:r>
        <w:rPr>
          <w:rStyle w:val="NormalTok"/>
        </w:rPr>
        <w:t xml:space="preserve"> </w:t>
      </w:r>
      <w:r>
        <w:rPr>
          <w:rStyle w:val="BuiltInTok"/>
        </w:rPr>
        <w:t xml:space="preserve">all</w:t>
      </w:r>
      <w:r>
        <w:rPr>
          <w:rStyle w:val="NormalTok"/>
        </w:rPr>
        <w:t xml:space="preserve">(</w:t>
      </w:r>
      <w:r>
        <w:br/>
      </w:r>
      <w:r>
        <w:rPr>
          <w:rStyle w:val="NormalTok"/>
        </w:rPr>
        <w:t xml:space="preserve">                r[</w:t>
      </w:r>
      <w:r>
        <w:rPr>
          <w:rStyle w:val="StringTok"/>
        </w:rPr>
        <w:t xml:space="preserve">"sem1_total"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st.success(</w:t>
      </w:r>
      <w:r>
        <w:br/>
      </w:r>
      <w:r>
        <w:rPr>
          <w:rStyle w:val="NormalTok"/>
        </w:rPr>
        <w:t xml:space="preserve">                </w:t>
      </w:r>
      <w:r>
        <w:rPr>
          <w:rStyle w:val="StringTok"/>
        </w:rPr>
        <w:t xml:space="preserve">"Infeasibility under Semantics I survives the longer response "</w:t>
      </w:r>
      <w:r>
        <w:br/>
      </w:r>
      <w:r>
        <w:rPr>
          <w:rStyle w:val="NormalTok"/>
        </w:rPr>
        <w:t xml:space="preserve">                </w:t>
      </w:r>
      <w:r>
        <w:rPr>
          <w:rStyle w:val="StringTok"/>
        </w:rPr>
        <w:t xml:space="preserve">"period, and Semantics II remains satisfiable at both values. "</w:t>
      </w:r>
      <w:r>
        <w:br/>
      </w:r>
      <w:r>
        <w:rPr>
          <w:rStyle w:val="NormalTok"/>
        </w:rPr>
        <w:t xml:space="preserve">                </w:t>
      </w:r>
      <w:r>
        <w:rPr>
          <w:rStyle w:val="StringTok"/>
        </w:rPr>
        <w:t xml:space="preserve">"The collision is structural, not a consequence of δ = 1."</w:t>
      </w:r>
      <w:r>
        <w:rPr>
          <w:rStyle w:val="NormalTok"/>
        </w:rPr>
        <w:t xml:space="preserve">,</w:t>
      </w:r>
      <w:r>
        <w:br/>
      </w:r>
      <w:r>
        <w:rPr>
          <w:rStyle w:val="NormalTok"/>
        </w:rPr>
        <w:t xml:space="preserve">                icon</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st.warning(</w:t>
      </w:r>
      <w:r>
        <w:br/>
      </w:r>
      <w:r>
        <w:rPr>
          <w:rStyle w:val="NormalTok"/>
        </w:rPr>
        <w:t xml:space="preserve">                </w:t>
      </w:r>
      <w:r>
        <w:rPr>
          <w:rStyle w:val="StringTok"/>
        </w:rPr>
        <w:t xml:space="preserve">"The pattern differs from what Chapter 5 §5.5a reports. Check "</w:t>
      </w:r>
      <w:r>
        <w:br/>
      </w:r>
      <w:r>
        <w:rPr>
          <w:rStyle w:val="NormalTok"/>
        </w:rPr>
        <w:t xml:space="preserve">                </w:t>
      </w:r>
      <w:r>
        <w:rPr>
          <w:rStyle w:val="StringTok"/>
        </w:rPr>
        <w:t xml:space="preserve">"the module before citing this."</w:t>
      </w:r>
      <w:r>
        <w:rPr>
          <w:rStyle w:val="NormalTok"/>
        </w:rPr>
        <w:t xml:space="preserve">,</w:t>
      </w:r>
      <w:r>
        <w:br/>
      </w:r>
      <w:r>
        <w:rPr>
          <w:rStyle w:val="NormalTok"/>
        </w:rPr>
        <w:t xml:space="preserve">                icon</w:t>
      </w:r>
      <w:r>
        <w:rPr>
          <w:rStyle w:val="Operator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st.divider()</w:t>
      </w:r>
      <w:r>
        <w:br/>
      </w:r>
      <w:r>
        <w:rPr>
          <w:rStyle w:val="NormalTok"/>
        </w:rPr>
        <w:t xml:space="preserve">    st.markdown(</w:t>
      </w:r>
      <w:r>
        <w:rPr>
          <w:rStyle w:val="StringTok"/>
        </w:rPr>
        <w:t xml:space="preserve">"**What this artefact does not do**"</w:t>
      </w:r>
      <w:r>
        <w:rPr>
          <w:rStyle w:val="NormalTok"/>
        </w:rPr>
        <w:t xml:space="preserve">)</w:t>
      </w:r>
      <w:r>
        <w:br/>
      </w:r>
      <w:r>
        <w:rPr>
          <w:rStyle w:val="NormalTok"/>
        </w:rPr>
        <w:t xml:space="preserve">    st.write(</w:t>
      </w:r>
      <w:r>
        <w:br/>
      </w:r>
      <w:r>
        <w:rPr>
          <w:rStyle w:val="NormalTok"/>
        </w:rPr>
        <w:t xml:space="preserve">        </w:t>
      </w:r>
      <w:r>
        <w:rPr>
          <w:rStyle w:val="StringTok"/>
        </w:rPr>
        <w:t xml:space="preserve">"It does not connect to any National Contact Point, implement the "</w:t>
      </w:r>
      <w:r>
        <w:br/>
      </w:r>
      <w:r>
        <w:rPr>
          <w:rStyle w:val="NormalTok"/>
        </w:rPr>
        <w:t xml:space="preserve">        </w:t>
      </w:r>
      <w:r>
        <w:rPr>
          <w:rStyle w:val="StringTok"/>
        </w:rPr>
        <w:t xml:space="preserve">"OpenNCP transmission flow, evaluate consent policies, or implement any "</w:t>
      </w:r>
      <w:r>
        <w:br/>
      </w:r>
      <w:r>
        <w:rPr>
          <w:rStyle w:val="NormalTok"/>
        </w:rPr>
        <w:t xml:space="preserve">        </w:t>
      </w:r>
      <w:r>
        <w:rPr>
          <w:rStyle w:val="StringTok"/>
        </w:rPr>
        <w:t xml:space="preserve">"zero-knowledge proof system. Key destruction is simulated by removing a "</w:t>
      </w:r>
      <w:r>
        <w:br/>
      </w:r>
      <w:r>
        <w:rPr>
          <w:rStyle w:val="NormalTok"/>
        </w:rPr>
        <w:t xml:space="preserve">        </w:t>
      </w:r>
      <w:r>
        <w:rPr>
          <w:rStyle w:val="StringTok"/>
        </w:rPr>
        <w:t xml:space="preserve">"reference in program state: that demonstrates the mechanism's logic and "</w:t>
      </w:r>
      <w:r>
        <w:br/>
      </w:r>
      <w:r>
        <w:rPr>
          <w:rStyle w:val="NormalTok"/>
        </w:rPr>
        <w:t xml:space="preserve">        </w:t>
      </w:r>
      <w:r>
        <w:rPr>
          <w:rStyle w:val="StringTok"/>
        </w:rPr>
        <w:t xml:space="preserve">"says nothing about whether destruction can be assured in deployment. "</w:t>
      </w:r>
      <w:r>
        <w:br/>
      </w:r>
      <w:r>
        <w:rPr>
          <w:rStyle w:val="NormalTok"/>
        </w:rPr>
        <w:t xml:space="preserve">        </w:t>
      </w:r>
      <w:r>
        <w:rPr>
          <w:rStyle w:val="StringTok"/>
        </w:rPr>
        <w:t xml:space="preserve">"Chapter 5 §5.7 and Chapter 6 state these limits in full."</w:t>
      </w:r>
      <w:r>
        <w:br/>
      </w:r>
      <w:r>
        <w:rPr>
          <w:rStyle w:val="NormalTok"/>
        </w:rPr>
        <w:t xml:space="preserve">    )</w:t>
      </w:r>
      <w:r>
        <w:br/>
      </w:r>
      <w:r>
        <w:br/>
      </w:r>
      <w:r>
        <w:br/>
      </w:r>
      <w:r>
        <w:rPr>
          <w:rStyle w:val="NormalTok"/>
        </w:rPr>
        <w:t xml:space="preserve">st.divider()</w:t>
      </w:r>
      <w:r>
        <w:br/>
      </w:r>
      <w:r>
        <w:rPr>
          <w:rStyle w:val="NormalTok"/>
        </w:rPr>
        <w:t xml:space="preserve">st.caption(</w:t>
      </w:r>
      <w:r>
        <w:br/>
      </w:r>
      <w:r>
        <w:rPr>
          <w:rStyle w:val="NormalTok"/>
        </w:rPr>
        <w:t xml:space="preserve">    </w:t>
      </w:r>
      <w:r>
        <w:rPr>
          <w:rStyle w:val="StringTok"/>
        </w:rPr>
        <w:t xml:space="preserve">"This application is a viewer over the verified artefact. It is not a source "</w:t>
      </w:r>
      <w:r>
        <w:br/>
      </w:r>
      <w:r>
        <w:rPr>
          <w:rStyle w:val="NormalTok"/>
        </w:rPr>
        <w:t xml:space="preserve">    </w:t>
      </w:r>
      <w:r>
        <w:rPr>
          <w:rStyle w:val="StringTok"/>
        </w:rPr>
        <w:t xml:space="preserve">"of results. Tab 1, Tab 3 and Tab 5 reproduce figures reported in Chapter 5; "</w:t>
      </w:r>
      <w:r>
        <w:br/>
      </w:r>
      <w:r>
        <w:rPr>
          <w:rStyle w:val="NormalTok"/>
        </w:rPr>
        <w:t xml:space="preserve">    </w:t>
      </w:r>
      <w:r>
        <w:rPr>
          <w:rStyle w:val="StringTok"/>
        </w:rPr>
        <w:t xml:space="preserve">"Tab 2 is outside the thesis claims, and Tab 4 is illustrative of the "</w:t>
      </w:r>
      <w:r>
        <w:br/>
      </w:r>
      <w:r>
        <w:rPr>
          <w:rStyle w:val="NormalTok"/>
        </w:rPr>
        <w:t xml:space="preserve">    </w:t>
      </w:r>
      <w:r>
        <w:rPr>
          <w:rStyle w:val="StringTok"/>
        </w:rPr>
        <w:t xml:space="preserve">"Norwegian setting and not a thesis claim either. Source: trf_checker.py and "</w:t>
      </w:r>
      <w:r>
        <w:br/>
      </w:r>
      <w:r>
        <w:rPr>
          <w:rStyle w:val="NormalTok"/>
        </w:rPr>
        <w:t xml:space="preserve">    </w:t>
      </w:r>
      <w:r>
        <w:rPr>
          <w:rStyle w:val="StringTok"/>
        </w:rPr>
        <w:t xml:space="preserve">"synthea_layer.py, both unmodified, plus the Norwegian modules, which "</w:t>
      </w:r>
      <w:r>
        <w:br/>
      </w:r>
      <w:r>
        <w:rPr>
          <w:rStyle w:val="NormalTok"/>
        </w:rPr>
        <w:t xml:space="preserve">    </w:t>
      </w:r>
      <w:r>
        <w:rPr>
          <w:rStyle w:val="StringTok"/>
        </w:rPr>
        <w:t xml:space="preserve">"import the checker without modifying it."</w:t>
      </w:r>
      <w:r>
        <w:br/>
      </w:r>
      <w:r>
        <w:rPr>
          <w:rStyle w:val="NormalTok"/>
        </w:rPr>
        <w:t xml:space="preserve">)</w:t>
      </w:r>
    </w:p>
    <w:p>
      <w:r>
        <w:pict>
          <v:rect style="width:0;height:1.5pt" o:hralign="center" o:hrstd="t" o:hr="t"/>
        </w:pict>
      </w:r>
    </w:p>
    <w:bookmarkEnd w:id="124"/>
    <w:bookmarkStart w:id="125" w:name="a.10-console-output-of-the-reported-run"/>
    <w:p>
      <w:pPr>
        <w:pStyle w:val="Heading2"/>
      </w:pPr>
      <w:r>
        <w:t xml:space="preserve">A.10 Console output of the reported run</w:t>
      </w:r>
    </w:p>
    <w:p>
      <w:pPr>
        <w:pStyle w:val="FirstParagraph"/>
      </w:pPr>
      <w:r>
        <w:t xml:space="preserve">Verbatim output of</w:t>
      </w:r>
      <w:r>
        <w:t xml:space="preserve"> </w:t>
      </w:r>
      <w:r>
        <w:rPr>
          <w:rStyle w:val="VerbatimChar"/>
        </w:rPr>
        <w:t xml:space="preserve">python3 trf_checker.py</w:t>
      </w:r>
      <w:r>
        <w:t xml:space="preserve"> </w:t>
      </w:r>
      <w:r>
        <w:t xml:space="preserve">under seed 20260915. Every figure in Chapter 5, Tables 5.1 to 5.3, appears here.</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r>
      <w:r>
        <w:br/>
      </w:r>
      <w:r>
        <w:rPr>
          <w:rStyle w:val="VerbatimChar"/>
        </w:rPr>
        <w:t xml:space="preserve">Generated 200 records (100 cross-border, 100 SPE access-log)</w:t>
      </w:r>
      <w:r>
        <w:br/>
      </w:r>
      <w:r>
        <w:br/>
      </w:r>
      <w:r>
        <w:rPr>
          <w:rStyle w:val="VerbatimChar"/>
        </w:rPr>
        <w:t xml:space="preserve">--------------------------------------------------------------------------</w:t>
      </w:r>
      <w:r>
        <w:br/>
      </w:r>
      <w:r>
        <w:rPr>
          <w:rStyle w:val="VerbatimChar"/>
        </w:rPr>
        <w:t xml:space="preserve">SEMANTICS I  (plaintext verifiability:  V = alpha)   -&gt; Theorem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r>
      <w: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r>
      <w: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r>
      <w: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r>
      <w:r>
        <w:br/>
      </w:r>
      <w:r>
        <w:rPr>
          <w:rStyle w:val="VerbatimChar"/>
        </w:rPr>
        <w:t xml:space="preserve">--------------------------------------------------------------------------</w:t>
      </w:r>
      <w:r>
        <w:br/>
      </w:r>
      <w:r>
        <w:rPr>
          <w:rStyle w:val="VerbatimChar"/>
        </w:rPr>
        <w:t xml:space="preserve">SEMANTICS II (accountability preservation)          -&gt; Theorem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r>
      <w:r>
        <w:br/>
      </w:r>
      <w:r>
        <w:rPr>
          <w:rStyle w:val="VerbatimChar"/>
        </w:rPr>
        <w:t xml:space="preserve">Auditor view of rid=100 after invalidation:</w:t>
      </w:r>
      <w:r>
        <w:br/>
      </w:r>
      <w:r>
        <w:rPr>
          <w:rStyle w:val="VerbatimChar"/>
        </w:rPr>
        <w:t xml:space="preserve">  metadata intact      : True  actor=HP-026 ncp=NO outcome=success</w:t>
      </w:r>
      <w:r>
        <w:br/>
      </w:r>
      <w:r>
        <w:rPr>
          <w:rStyle w:val="VerbatimChar"/>
        </w:rPr>
        <w:t xml:space="preserve">  commitment c(a)      : 11087780fd192c8fdaa237081ee0bb11...</w:t>
      </w:r>
      <w:r>
        <w:br/>
      </w:r>
      <w:r>
        <w:rPr>
          <w:rStyle w:val="VerbatimChar"/>
        </w:rPr>
        <w:t xml:space="preserve">  payload key k(a)     : None   &lt;- destroyed</w:t>
      </w:r>
      <w:r>
        <w:br/>
      </w:r>
      <w:r>
        <w:rPr>
          <w:rStyle w:val="VerbatimChar"/>
        </w:rPr>
        <w:t xml:space="preserve">  invalidation iota(a) : month=16 ground=EHDS Art 68(12)</w:t>
      </w:r>
      <w:r>
        <w:br/>
      </w:r>
      <w:r>
        <w:rPr>
          <w:rStyle w:val="VerbatimChar"/>
        </w:rPr>
        <w:t xml:space="preserve">  payload readable?    : False</w:t>
      </w:r>
      <w:r>
        <w:br/>
      </w:r>
      <w: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p>
    <w:bookmarkEnd w:id="125"/>
    <w:bookmarkStart w:id="126" w:name="X7ac53c6eeba29154a87d665b9f75082225eba3e"/>
    <w:p>
      <w:pPr>
        <w:pStyle w:val="Heading2"/>
      </w:pPr>
      <w:r>
        <w:t xml:space="preserve">A.11 Console output of the payload-provenance comparison, full cohort</w:t>
      </w:r>
    </w:p>
    <w:p>
      <w:pPr>
        <w:pStyle w:val="FirstParagraph"/>
      </w:pPr>
      <w:r>
        <w:t xml:space="preserve">Produced by command 4 against the regenerated 98-bundle cohort. This is the run Chapter 5, Section 5.7 reports at a mean payload of 1,006 bytes. Reproducing it requires regenerating the cohort with command 3, because the full cohort is 314 MB and is not committed.</w:t>
      </w:r>
    </w:p>
    <w:p>
      <w:pPr>
        <w:pStyle w:val="BodyText"/>
      </w:pPr>
      <w:r>
        <w:t xml:space="preserve">Verbatim output of</w:t>
      </w:r>
      <w:r>
        <w:t xml:space="preserve"> </w:t>
      </w:r>
      <w:r>
        <w:rPr>
          <w:rStyle w:val="VerbatimChar"/>
        </w:rPr>
        <w:t xml:space="preserve">python3 synthea_layer.py</w:t>
      </w:r>
      <w:r>
        <w:t xml:space="preserve"> </w:t>
      </w:r>
      <w:r>
        <w:t xml:space="preserve">against the full 98-bundle cohort. This is the source of Chapter 5, Table 5.4.</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r>
      <w:r>
        <w:br/>
      </w:r>
      <w:r>
        <w:rPr>
          <w:rStyle w:val="VerbatimChar"/>
        </w:rPr>
        <w:t xml:space="preserve">Synthea bundles read : 98</w:t>
      </w:r>
      <w:r>
        <w:br/>
      </w:r>
      <w:r>
        <w:rPr>
          <w:rStyle w:val="VerbatimChar"/>
        </w:rPr>
        <w:t xml:space="preserve">clinical payloads    : 98</w:t>
      </w:r>
      <w:r>
        <w:br/>
      </w:r>
      <w:r>
        <w:rPr>
          <w:rStyle w:val="VerbatimChar"/>
        </w:rPr>
        <w:t xml:space="preserve">records              : 200</w:t>
      </w:r>
      <w:r>
        <w:br/>
      </w:r>
      <w:r>
        <w:rPr>
          <w:rStyle w:val="VerbatimChar"/>
        </w:rPr>
        <w:t xml:space="preserve">payload bytes (mean) : constructed=35  synthea=1006</w:t>
      </w:r>
      <w:r>
        <w:br/>
      </w:r>
      <w: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r>
      <w:r>
        <w:br/>
      </w:r>
      <w:r>
        <w:rPr>
          <w:rStyle w:val="VerbatimChar"/>
        </w:rPr>
        <w:t xml:space="preserve">commitments differing between the two runs: 200/200   (expected 200 — same salt, different payload)</w:t>
      </w:r>
      <w:r>
        <w:br/>
      </w:r>
      <w: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p>
      <w:r>
        <w:pict>
          <v:rect style="width:0;height:1.5pt" o:hralign="center" o:hrstd="t" o:hr="t"/>
        </w:pict>
      </w:r>
    </w:p>
    <w:bookmarkEnd w:id="126"/>
    <w:bookmarkStart w:id="127" w:name="Xbcb38d342013331fc892d7c0e117de382bbc4b9"/>
    <w:p>
      <w:pPr>
        <w:pStyle w:val="Heading2"/>
      </w:pPr>
      <w:r>
        <w:t xml:space="preserve">A.12 Console output of the erasure-response-period witness</w:t>
      </w:r>
    </w:p>
    <w:p>
      <w:pPr>
        <w:pStyle w:val="FirstParagraph"/>
      </w:pPr>
      <w:r>
        <w:t xml:space="preserve">Produced by command 5. Reproduces Table 5.2a: the infeasibility survives the extension Article 12(3) GDPR permits.</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r>
      <w:r>
        <w:br/>
      </w:r>
      <w:r>
        <w:rPr>
          <w:rStyle w:val="VerbatimChar"/>
        </w:rPr>
        <w:t xml:space="preserve">Generated 200 records (100 cross-border, 100 SPE access-log)</w:t>
      </w:r>
      <w:r>
        <w:br/>
      </w:r>
      <w:r>
        <w:br/>
      </w:r>
      <w:r>
        <w:rPr>
          <w:rStyle w:val="VerbatimChar"/>
        </w:rPr>
        <w:t xml:space="preserve">--------------------------------------------------------------------------</w:t>
      </w:r>
      <w:r>
        <w:br/>
      </w:r>
      <w:r>
        <w:rPr>
          <w:rStyle w:val="VerbatimChar"/>
        </w:rPr>
        <w:t xml:space="preserve">SEMANTICS I  (plaintext verifiability:  V = alpha)   -&gt; Theorem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r>
      <w: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r>
      <w: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r>
      <w: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r>
      <w:r>
        <w:br/>
      </w:r>
      <w:r>
        <w:rPr>
          <w:rStyle w:val="VerbatimChar"/>
        </w:rPr>
        <w:t xml:space="preserve">--------------------------------------------------------------------------</w:t>
      </w:r>
      <w:r>
        <w:br/>
      </w:r>
      <w:r>
        <w:rPr>
          <w:rStyle w:val="VerbatimChar"/>
        </w:rPr>
        <w:t xml:space="preserve">SEMANTICS II (accountability preservation)          -&gt; Theorem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r>
      <w:r>
        <w:br/>
      </w:r>
      <w:r>
        <w:rPr>
          <w:rStyle w:val="VerbatimChar"/>
        </w:rPr>
        <w:t xml:space="preserve">Auditor view of rid=100 after invalidation:</w:t>
      </w:r>
      <w:r>
        <w:br/>
      </w:r>
      <w:r>
        <w:rPr>
          <w:rStyle w:val="VerbatimChar"/>
        </w:rPr>
        <w:t xml:space="preserve">  metadata intact      : True  actor=HP-026 ncp=NO outcome=success</w:t>
      </w:r>
      <w:r>
        <w:br/>
      </w:r>
      <w:r>
        <w:rPr>
          <w:rStyle w:val="VerbatimChar"/>
        </w:rPr>
        <w:t xml:space="preserve">  commitment c(a)      : 11087780fd192c8fdaa237081ee0bb11...</w:t>
      </w:r>
      <w:r>
        <w:br/>
      </w:r>
      <w:r>
        <w:rPr>
          <w:rStyle w:val="VerbatimChar"/>
        </w:rPr>
        <w:t xml:space="preserve">  payload key k(a)     : None   &lt;- destroyed</w:t>
      </w:r>
      <w:r>
        <w:br/>
      </w:r>
      <w:r>
        <w:rPr>
          <w:rStyle w:val="VerbatimChar"/>
        </w:rPr>
        <w:t xml:space="preserve">  invalidation iota(a) : month=16 ground=EHDS Art 68(12)</w:t>
      </w:r>
      <w:r>
        <w:br/>
      </w:r>
      <w:r>
        <w:rPr>
          <w:rStyle w:val="VerbatimChar"/>
        </w:rPr>
        <w:t xml:space="preserve">  payload readable?    : False</w:t>
      </w:r>
      <w:r>
        <w:br/>
      </w:r>
      <w: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r>
        <w:br/>
      </w:r>
      <w:r>
        <w:rPr>
          <w:rStyle w:val="VerbatimChar"/>
        </w:rPr>
        <w:t xml:space="preserve"> delta  SemI recs  SemI viol   Cor1.2  SemII recs  SemII viol  invalidated</w:t>
      </w:r>
      <w:r>
        <w:br/>
      </w:r>
      <w:r>
        <w:rPr>
          <w:rStyle w:val="VerbatimChar"/>
        </w:rPr>
        <w:t xml:space="preserve">     1         90         95       39           0           0          138</w:t>
      </w:r>
      <w:r>
        <w:br/>
      </w:r>
      <w:r>
        <w:rPr>
          <w:rStyle w:val="VerbatimChar"/>
        </w:rPr>
        <w:t xml:space="preserve">     3         89         94       39           0           0          138</w:t>
      </w:r>
    </w:p>
    <w:p>
      <w:r>
        <w:pict>
          <v:rect style="width:0;height:1.5pt" o:hralign="center" o:hrstd="t" o:hr="t"/>
        </w:pict>
      </w:r>
    </w:p>
    <w:bookmarkEnd w:id="127"/>
    <w:bookmarkStart w:id="128" w:name="X267f184d8b645be53f6eff0d84e15b5ea764e54"/>
    <w:p>
      <w:pPr>
        <w:pStyle w:val="Heading2"/>
      </w:pPr>
      <w:r>
        <w:t xml:space="preserve">A.13 Console output of the Norwegian context module</w:t>
      </w:r>
    </w:p>
    <w:p>
      <w:pPr>
        <w:pStyle w:val="FirstParagraph"/>
      </w:pPr>
      <w:r>
        <w:t xml:space="preserve">Produced by the first command in 6. Illustrative of the Norwegian setting; no figure here is a thesis claim, and the module states so in its own output.</w:t>
      </w:r>
    </w:p>
    <w:p>
      <w:pPr>
        <w:pStyle w:val="SourceCode"/>
      </w:pPr>
      <w:r>
        <w:rPr>
          <w:rStyle w:val="VerbatimChar"/>
        </w:rPr>
        <w:t xml:space="preserve">==========================================================================</w:t>
      </w:r>
      <w:r>
        <w:br/>
      </w:r>
      <w:r>
        <w:rPr>
          <w:rStyle w:val="VerbatimChar"/>
        </w:rPr>
        <w:t xml:space="preserve">                             NORWEGIAN LAYER                              </w:t>
      </w:r>
      <w:r>
        <w:br/>
      </w:r>
      <w:r>
        <w:rPr>
          <w:rStyle w:val="VerbatimChar"/>
        </w:rPr>
        <w:t xml:space="preserve">==========================================================================</w:t>
      </w:r>
      <w:r>
        <w:br/>
      </w:r>
      <w:r>
        <w:br/>
      </w:r>
      <w:r>
        <w:rPr>
          <w:rStyle w:val="VerbatimChar"/>
        </w:rPr>
        <w:t xml:space="preserve">class           n  SemI recs  SemI viol  invalidated  SemII viol</w:t>
      </w:r>
      <w:r>
        <w:br/>
      </w:r>
      <w:r>
        <w:rPr>
          <w:rStyle w:val="VerbatimChar"/>
        </w:rPr>
        <w:t xml:space="preserve">NO-JOURNAL     40         12         12           12           0</w:t>
      </w:r>
      <w:r>
        <w:br/>
      </w:r>
      <w:r>
        <w:rPr>
          <w:rStyle w:val="VerbatimChar"/>
        </w:rPr>
        <w:t xml:space="preserve">NO-SPE         60         36         40           60           0</w:t>
      </w:r>
      <w:r>
        <w:br/>
      </w:r>
      <w:r>
        <w:rPr>
          <w:rStyle w:val="VerbatimChar"/>
        </w:rPr>
        <w:t xml:space="preserve">NO-XB          60         20         20           23           0</w:t>
      </w:r>
      <w:r>
        <w:br/>
      </w:r>
      <w:r>
        <w:br/>
      </w:r>
      <w:r>
        <w:rPr>
          <w:rStyle w:val="VerbatimChar"/>
        </w:rPr>
        <w:t xml:space="preserve">TOTAL         160         68         72           95           0</w:t>
      </w:r>
      <w:r>
        <w:br/>
      </w:r>
      <w:r>
        <w:br/>
      </w:r>
      <w:r>
        <w:rPr>
          <w:rStyle w:val="VerbatimChar"/>
        </w:rPr>
        <w:t xml:space="preserve">--------------------------------------------------------------------------</w:t>
      </w:r>
      <w:r>
        <w:br/>
      </w:r>
      <w:r>
        <w:rPr>
          <w:rStyle w:val="VerbatimChar"/>
        </w:rPr>
        <w:t xml:space="preserve">CASE WALKTHROUGHS</w:t>
      </w:r>
      <w:r>
        <w:br/>
      </w:r>
      <w:r>
        <w:rPr>
          <w:rStyle w:val="VerbatimChar"/>
        </w:rPr>
        <w:t xml:space="preserve">--------------------------------------------------------------------------</w:t>
      </w:r>
      <w:r>
        <w:br/>
      </w:r>
      <w:r>
        <w:br/>
      </w:r>
      <w:r>
        <w:rPr>
          <w:rStyle w:val="VerbatimChar"/>
        </w:rPr>
        <w:t xml:space="preserve">NO-JOURNAL  rid=121  (pasientjournalloven s 25 (purpose-based, indefinite))</w:t>
      </w:r>
      <w:r>
        <w:br/>
      </w:r>
      <w:r>
        <w:rPr>
          <w:rStyle w:val="VerbatimChar"/>
        </w:rPr>
        <w:t xml:space="preserve">  floor    : t=0 .. 600   [indefinite, truncated]</w:t>
      </w:r>
      <w:r>
        <w:br/>
      </w:r>
      <w:r>
        <w:rPr>
          <w:rStyle w:val="VerbatimChar"/>
        </w:rPr>
        <w:t xml:space="preserve">  erasure  : t_r=10 -&gt; deadline 11</w:t>
      </w:r>
      <w:r>
        <w:br/>
      </w:r>
      <w:r>
        <w:rPr>
          <w:rStyle w:val="VerbatimChar"/>
        </w:rPr>
        <w:t xml:space="preserve">  ceiling  : n/a</w:t>
      </w:r>
      <w:r>
        <w:br/>
      </w:r>
      <w:r>
        <w:rPr>
          <w:rStyle w:val="VerbatimChar"/>
        </w:rPr>
        <w:t xml:space="preserve">  collision: C2 at t=11</w:t>
      </w:r>
      <w:r>
        <w:br/>
      </w:r>
      <w:r>
        <w:rPr>
          <w:rStyle w:val="VerbatimChar"/>
        </w:rPr>
        <w:t xml:space="preserve">  after invalidation -&gt; metadata intact=True, commitment=c8eb840b7abcb3e4..., key=None, salt=None, ground=GDPR Art 17(1)</w:t>
      </w:r>
      <w:r>
        <w:br/>
      </w:r>
      <w:r>
        <w:br/>
      </w:r>
      <w:r>
        <w:rPr>
          <w:rStyle w:val="VerbatimChar"/>
        </w:rPr>
        <w:t xml:space="preserve">NO-SPE  rid=61  (controller-provided server)</w:t>
      </w:r>
      <w:r>
        <w:br/>
      </w:r>
      <w:r>
        <w:rPr>
          <w:rStyle w:val="VerbatimChar"/>
        </w:rPr>
        <w:t xml:space="preserve">  floor    : t=10 .. 22</w:t>
      </w:r>
      <w:r>
        <w:br/>
      </w:r>
      <w:r>
        <w:rPr>
          <w:rStyle w:val="VerbatimChar"/>
        </w:rPr>
        <w:t xml:space="preserve">  erasure  : none</w:t>
      </w:r>
      <w:r>
        <w:br/>
      </w:r>
      <w:r>
        <w:rPr>
          <w:rStyle w:val="VerbatimChar"/>
        </w:rPr>
        <w:t xml:space="preserve">  ceiling  : t_pi=15 -&gt; 21</w:t>
      </w:r>
      <w:r>
        <w:br/>
      </w:r>
      <w:r>
        <w:rPr>
          <w:rStyle w:val="VerbatimChar"/>
        </w:rPr>
        <w:t xml:space="preserve">  collision: C3 at t=21</w:t>
      </w:r>
      <w:r>
        <w:br/>
      </w:r>
      <w:r>
        <w:rPr>
          <w:rStyle w:val="VerbatimChar"/>
        </w:rPr>
        <w:t xml:space="preserve">  after invalidation -&gt; metadata intact=True, commitment=900dc608470b8289..., key=None, salt=None, ground=EHDS Art 68(12)</w:t>
      </w:r>
      <w:r>
        <w:br/>
      </w:r>
      <w:r>
        <w:br/>
      </w:r>
      <w:r>
        <w:rPr>
          <w:rStyle w:val="VerbatimChar"/>
        </w:rPr>
        <w:t xml:space="preserve">NO-XB  rid=1  (Bodo legevakt)</w:t>
      </w:r>
      <w:r>
        <w:br/>
      </w:r>
      <w:r>
        <w:rPr>
          <w:rStyle w:val="VerbatimChar"/>
        </w:rPr>
        <w:t xml:space="preserve">  floor    : t=4 .. 124</w:t>
      </w:r>
      <w:r>
        <w:br/>
      </w:r>
      <w:r>
        <w:rPr>
          <w:rStyle w:val="VerbatimChar"/>
        </w:rPr>
        <w:t xml:space="preserve">  erasure  : t_r=119 -&gt; deadline 120</w:t>
      </w:r>
      <w:r>
        <w:br/>
      </w:r>
      <w:r>
        <w:rPr>
          <w:rStyle w:val="VerbatimChar"/>
        </w:rPr>
        <w:t xml:space="preserve">  ceiling  : n/a</w:t>
      </w:r>
      <w:r>
        <w:br/>
      </w:r>
      <w:r>
        <w:rPr>
          <w:rStyle w:val="VerbatimChar"/>
        </w:rPr>
        <w:t xml:space="preserve">  collision: C2 at t=120</w:t>
      </w:r>
      <w:r>
        <w:br/>
      </w:r>
      <w:r>
        <w:rPr>
          <w:rStyle w:val="VerbatimChar"/>
        </w:rPr>
        <w:t xml:space="preserve">  after invalidation -&gt; metadata intact=True, commitment=af06e57b08ba4cf8..., key=None, salt=None, ground=GDPR Art 17(1)</w:t>
      </w:r>
      <w:r>
        <w:br/>
      </w:r>
      <w:r>
        <w:br/>
      </w:r>
      <w:r>
        <w:rPr>
          <w:rStyle w:val="VerbatimChar"/>
        </w:rPr>
        <w:t xml:space="preserve">Note: figures above are illustrative of the Norwegian setting, not</w:t>
      </w:r>
      <w:r>
        <w:br/>
      </w:r>
      <w:r>
        <w:rPr>
          <w:rStyle w:val="VerbatimChar"/>
        </w:rPr>
        <w:t xml:space="preserve">empirical. The canonical result of the thesis is unchanged and is</w:t>
      </w:r>
      <w:r>
        <w:br/>
      </w:r>
      <w:r>
        <w:rPr>
          <w:rStyle w:val="VerbatimChar"/>
        </w:rPr>
        <w:t xml:space="preserve">reproduced by running trf_checker.py on its own.</w:t>
      </w:r>
    </w:p>
    <w:p>
      <w:r>
        <w:pict>
          <v:rect style="width:0;height:1.5pt" o:hralign="center" o:hrstd="t" o:hr="t"/>
        </w:pict>
      </w:r>
    </w:p>
    <w:bookmarkEnd w:id="128"/>
    <w:bookmarkStart w:id="129" w:name="Xcf0a2c3048d6f186d671602fc9a843c0b3119bc"/>
    <w:p>
      <w:pPr>
        <w:pStyle w:val="Heading2"/>
      </w:pPr>
      <w:r>
        <w:t xml:space="preserve">A.14 Console output of the cross-sector instance</w:t>
      </w:r>
    </w:p>
    <w:p>
      <w:pPr>
        <w:pStyle w:val="FirstParagraph"/>
      </w:pPr>
      <w:r>
        <w:t xml:space="preserve">Produced by the second command in 6, and discussed in Chapter 6, Section 6.9. The zero in the second row is the finding: § 17 fixes both its limbs from the same origin, so it bounds a retention window rather than contradicting itself, and every collision the model finds is erasure-driven.</w:t>
      </w:r>
    </w:p>
    <w:p>
      <w:pPr>
        <w:pStyle w:val="SourceCode"/>
      </w:pPr>
      <w:r>
        <w:rPr>
          <w:rStyle w:val="VerbatimChar"/>
        </w:rPr>
        <w:t xml:space="preserve">==========================================================================</w:t>
      </w:r>
      <w:r>
        <w:br/>
      </w:r>
      <w:r>
        <w:rPr>
          <w:rStyle w:val="VerbatimChar"/>
        </w:rPr>
        <w:t xml:space="preserve">  CROSS-SECTOR INSTANCE: politiregisterloven s 17 (floor 12, ceiling 36)  </w:t>
      </w:r>
      <w:r>
        <w:br/>
      </w:r>
      <w:r>
        <w:rPr>
          <w:rStyle w:val="VerbatimChar"/>
        </w:rPr>
        <w:t xml:space="preserve">==========================================================================</w:t>
      </w:r>
      <w:r>
        <w:br/>
      </w:r>
      <w:r>
        <w:br/>
      </w:r>
      <w:r>
        <w:rPr>
          <w:rStyle w:val="VerbatimChar"/>
        </w:rPr>
        <w:t xml:space="preserve">records                              : 60</w:t>
      </w:r>
      <w:r>
        <w:br/>
      </w:r>
      <w:r>
        <w:rPr>
          <w:rStyle w:val="VerbatimChar"/>
        </w:rPr>
        <w:t xml:space="preserve">Semantics I, records with violation  : 7</w:t>
      </w:r>
      <w:r>
        <w:br/>
      </w:r>
      <w:r>
        <w:rPr>
          <w:rStyle w:val="VerbatimChar"/>
        </w:rPr>
        <w:t xml:space="preserve">  of which with NO erasure request   : 0  &lt;- floor vs ceiling alone</w:t>
      </w:r>
      <w:r>
        <w:br/>
      </w:r>
      <w:r>
        <w:rPr>
          <w:rStyle w:val="VerbatimChar"/>
        </w:rPr>
        <w:t xml:space="preserve">Semantics II, total violations       : 0</w:t>
      </w:r>
      <w:r>
        <w:br/>
      </w:r>
      <w:r>
        <w:rPr>
          <w:rStyle w:val="VerbatimChar"/>
        </w:rPr>
        <w:t xml:space="preserve">records invalidated                  : 60</w:t>
      </w:r>
      <w:r>
        <w:br/>
      </w:r>
      <w:r>
        <w:br/>
      </w:r>
      <w:r>
        <w:rPr>
          <w:rStyle w:val="VerbatimChar"/>
        </w:rPr>
        <w:t xml:space="preserve">No structural collision: s 17 orders its two limbs from one origin</w:t>
      </w:r>
      <w:r>
        <w:br/>
      </w:r>
      <w:r>
        <w:rPr>
          <w:rStyle w:val="VerbatimChar"/>
        </w:rPr>
        <w:t xml:space="preserve">(floor at t_a + 12, ceiling at t_a + 36), so the provision defines a</w:t>
      </w:r>
      <w:r>
        <w:br/>
      </w:r>
      <w:r>
        <w:rPr>
          <w:rStyle w:val="VerbatimChar"/>
        </w:rPr>
        <w:t xml:space="preserve">bounded retention window rather than a contradiction. Every collision</w:t>
      </w:r>
      <w:r>
        <w:br/>
      </w:r>
      <w:r>
        <w:rPr>
          <w:rStyle w:val="VerbatimChar"/>
        </w:rPr>
        <w:t xml:space="preserve">found is erasure-driven.</w:t>
      </w:r>
      <w:r>
        <w:br/>
      </w:r>
      <w:r>
        <w:br/>
      </w:r>
      <w:r>
        <w:rPr>
          <w:rStyle w:val="VerbatimChar"/>
        </w:rPr>
        <w:t xml:space="preserve">witness rid=906: log written t=0; floor to t=12; ceiling at t=36; erasure deadline 11; collision C2 at t=11</w:t>
      </w:r>
      <w:r>
        <w:br/>
      </w:r>
      <w:r>
        <w:br/>
      </w:r>
      <w:r>
        <w:rPr>
          <w:rStyle w:val="VerbatimChar"/>
        </w:rPr>
        <w:t xml:space="preserve">The floor parameter F(a) took a third value with no change to the model.</w:t>
      </w:r>
      <w:r>
        <w:br/>
      </w:r>
      <w:r>
        <w:rPr>
          <w:rStyle w:val="VerbatimChar"/>
        </w:rPr>
        <w:t xml:space="preserve">The finding: floors and ceilings coexist when one instrument fixes both from</w:t>
      </w:r>
      <w:r>
        <w:br/>
      </w:r>
      <w:r>
        <w:rPr>
          <w:rStyle w:val="VerbatimChar"/>
        </w:rPr>
        <w:t xml:space="preserve">the same origin, and collide when the ceiling is anchored to an external</w:t>
      </w:r>
      <w:r>
        <w:br/>
      </w:r>
      <w:r>
        <w:rPr>
          <w:rStyle w:val="VerbatimChar"/>
        </w:rPr>
        <w:t xml:space="preserve">event, as Art 68(12) anchors it to permit expiry. Scope: a structural</w:t>
      </w:r>
      <w:r>
        <w:br/>
      </w:r>
      <w:r>
        <w:rPr>
          <w:rStyle w:val="VerbatimChar"/>
        </w:rPr>
        <w:t xml:space="preserve">parallel. Whether the mechanism transfers to a record-level ceiling is a</w:t>
      </w:r>
      <w:r>
        <w:br/>
      </w:r>
      <w:r>
        <w:rPr>
          <w:rStyle w:val="VerbatimChar"/>
        </w:rPr>
        <w:t xml:space="preserve">design question this module does not answer.</w:t>
      </w:r>
    </w:p>
    <w:p>
      <w:r>
        <w:pict>
          <v:rect style="width:0;height:1.5pt" o:hralign="center" o:hrstd="t" o:hr="t"/>
        </w:pict>
      </w:r>
    </w:p>
    <w:bookmarkEnd w:id="129"/>
    <w:bookmarkStart w:id="130" w:name="X2f016327dc406909d7189d00f19dd202117fbf3"/>
    <w:p>
      <w:pPr>
        <w:pStyle w:val="Heading2"/>
      </w:pPr>
      <w:r>
        <w:t xml:space="preserve">A.11b Console output of the payload-provenance comparison, committed subset</w:t>
      </w:r>
    </w:p>
    <w:p>
      <w:pPr>
        <w:pStyle w:val="FirstParagraph"/>
      </w:pPr>
      <w:r>
        <w:t xml:space="preserve">Produced by command 4 against the eight bundles committed at</w:t>
      </w:r>
      <w:r>
        <w:t xml:space="preserve"> </w:t>
      </w:r>
      <w:r>
        <w:rPr>
          <w:rStyle w:val="VerbatimChar"/>
        </w:rPr>
        <w:t xml:space="preserve">data/synthea_subset/</w:t>
      </w:r>
      <w:r>
        <w:t xml:space="preserve">, which is what a reader who clones the repository obtains without regenerating anything. Chapter 5, Section 5.7 reports both cohort sizes because one figure changes and the rest do not: the mean payload is 891 bytes here against 1,006 for the full cohort, while all six measures and all 200 differing commitments are identical. That the measures hold across cohort size and across payload repetition frequency is a stronger result than a single substitution would give.</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r>
      <w:r>
        <w:br/>
      </w:r>
      <w:r>
        <w:rPr>
          <w:rStyle w:val="VerbatimChar"/>
        </w:rPr>
        <w:t xml:space="preserve">Synthea bundles read : 8</w:t>
      </w:r>
      <w:r>
        <w:br/>
      </w:r>
      <w:r>
        <w:rPr>
          <w:rStyle w:val="VerbatimChar"/>
        </w:rPr>
        <w:t xml:space="preserve">clinical payloads    : 8</w:t>
      </w:r>
      <w:r>
        <w:br/>
      </w:r>
      <w:r>
        <w:rPr>
          <w:rStyle w:val="VerbatimChar"/>
        </w:rPr>
        <w:t xml:space="preserve">records              : 200</w:t>
      </w:r>
      <w:r>
        <w:br/>
      </w:r>
      <w:r>
        <w:rPr>
          <w:rStyle w:val="VerbatimChar"/>
        </w:rPr>
        <w:t xml:space="preserve">payload bytes (mean) : constructed=35  synthea=891</w:t>
      </w:r>
      <w:r>
        <w:br/>
      </w:r>
      <w: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r>
      <w:r>
        <w:br/>
      </w:r>
      <w:r>
        <w:rPr>
          <w:rStyle w:val="VerbatimChar"/>
        </w:rPr>
        <w:t xml:space="preserve">commitments differing between the two runs: 200/200   (expected 200 — same salt, different payload)</w:t>
      </w:r>
      <w:r>
        <w:br/>
      </w:r>
      <w: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p>
      <w:r>
        <w:pict>
          <v:rect style="width:0;height:1.5pt" o:hralign="center" o:hrstd="t" o:hr="t"/>
        </w:pict>
      </w:r>
    </w:p>
    <w:bookmarkEnd w:id="130"/>
    <w:bookmarkEnd w:id="131"/>
    <w:bookmarkStart w:id="138" w:name="appendix-b.-search-query-log"/>
    <w:p>
      <w:pPr>
        <w:pStyle w:val="Heading1"/>
      </w:pPr>
      <w:r>
        <w:t xml:space="preserve">Appendix B. Search Query Log</w:t>
      </w:r>
    </w:p>
    <w:p>
      <w:pPr>
        <w:pStyle w:val="FirstParagraph"/>
      </w:pPr>
      <w:r>
        <w:t xml:space="preserve">This log records every search query executed in the course of the literature review, recovered from the working record of each session. Queries are reproduced as run, including those that produced nothing usable, since a curated log would be less credible than a complete one.</w:t>
      </w:r>
    </w:p>
    <w:p>
      <w:pPr>
        <w:pStyle w:val="BodyText"/>
      </w:pPr>
      <w:r>
        <w:t xml:space="preserve">Some entries are document-retrieval or verification queries rather than discovery queries: targeting a known citation, a regulation’s text, or a specific document’s status. These are marked</w:t>
      </w:r>
      <w:r>
        <w:t xml:space="preserve"> </w:t>
      </w:r>
      <w:r>
        <w:rPr>
          <w:iCs/>
          <w:i/>
        </w:rPr>
        <w:t xml:space="preserve">[R]</w:t>
      </w:r>
      <w:r>
        <w:t xml:space="preserve">. Discovery queries, which sought literature not already known to the review, are unmarked. Both are reported because the distinction matters for interpreting what the log evidences: only discovery queries bear on the absence claim of Chapter 2, Section 2.9. They are natural-language queries rather than Boolean strings, which is what the review actually used; Chapter 2, Section 2.1 states this and gives a Boolean replication protocol separately.</w:t>
      </w:r>
    </w:p>
    <w:bookmarkStart w:id="132" w:name="X1c7b8e7cdf46281783c18b02ca8b2002eb422aa"/>
    <w:p>
      <w:pPr>
        <w:pStyle w:val="Heading2"/>
      </w:pPr>
      <w:r>
        <w:t xml:space="preserve">Round 1: 25 May 2026 (landscape, infrastructure, regulatory baseline)</w:t>
      </w:r>
    </w:p>
    <w:p>
      <w:pPr>
        <w:numPr>
          <w:ilvl w:val="0"/>
          <w:numId w:val="1008"/>
        </w:numPr>
        <w:pStyle w:val="Compact"/>
      </w:pPr>
      <w:r>
        <w:rPr>
          <w:rStyle w:val="VerbatimChar"/>
        </w:rPr>
        <w:t xml:space="preserve">Norway electronic health record EHR infrastructure 2026 new regulations</w:t>
      </w:r>
    </w:p>
    <w:p>
      <w:pPr>
        <w:numPr>
          <w:ilvl w:val="0"/>
          <w:numId w:val="1008"/>
        </w:numPr>
        <w:pStyle w:val="Compact"/>
      </w:pPr>
      <w:r>
        <w:rPr>
          <w:rStyle w:val="VerbatimChar"/>
        </w:rPr>
        <w:t xml:space="preserve">MyHealth@EU cross-border patient summary how it works national contact point</w:t>
      </w:r>
    </w:p>
    <w:p>
      <w:pPr>
        <w:numPr>
          <w:ilvl w:val="0"/>
          <w:numId w:val="1008"/>
        </w:numPr>
        <w:pStyle w:val="Compact"/>
      </w:pPr>
      <w:r>
        <w:rPr>
          <w:rStyle w:val="VerbatimChar"/>
        </w:rPr>
        <w:t xml:space="preserve">eHDSI OpenNCP audit trail consent data minimisation HCP authorization IHE XCA</w:t>
      </w:r>
    </w:p>
    <w:p>
      <w:pPr>
        <w:numPr>
          <w:ilvl w:val="0"/>
          <w:numId w:val="1008"/>
        </w:numPr>
        <w:pStyle w:val="Compact"/>
      </w:pPr>
      <w:r>
        <w:rPr>
          <w:rStyle w:val="VerbatimChar"/>
        </w:rPr>
        <w:t xml:space="preserve">Norway Helsenorge kjernejournal architecture FHIR HL7 helseplattformen DIPS</w:t>
      </w:r>
    </w:p>
    <w:p>
      <w:pPr>
        <w:numPr>
          <w:ilvl w:val="0"/>
          <w:numId w:val="1008"/>
        </w:numPr>
        <w:pStyle w:val="Compact"/>
      </w:pPr>
      <w:r>
        <w:rPr>
          <w:rStyle w:val="VerbatimChar"/>
        </w:rPr>
        <w:t xml:space="preserve">European Health Data Space EHDS regulation 2025 primary secondary use timeline</w:t>
      </w:r>
    </w:p>
    <w:p>
      <w:pPr>
        <w:numPr>
          <w:ilvl w:val="0"/>
          <w:numId w:val="1008"/>
        </w:numPr>
        <w:pStyle w:val="Compact"/>
      </w:pPr>
      <w:r>
        <w:rPr>
          <w:rStyle w:val="VerbatimChar"/>
        </w:rPr>
        <w:t xml:space="preserve">Norway health data research innovation Helseanalyseplattformen Norwegian Centre HUNT BigMed</w:t>
      </w:r>
    </w:p>
    <w:p>
      <w:pPr>
        <w:numPr>
          <w:ilvl w:val="0"/>
          <w:numId w:val="1008"/>
        </w:numPr>
        <w:pStyle w:val="Compact"/>
      </w:pPr>
      <w:r>
        <w:rPr>
          <w:rStyle w:val="VerbatimChar"/>
        </w:rPr>
        <w:t xml:space="preserve">Norway Helsedataservice secondary use health data 2025 application portal Direktoratet for e-helse</w:t>
      </w:r>
    </w:p>
    <w:p>
      <w:pPr>
        <w:numPr>
          <w:ilvl w:val="0"/>
          <w:numId w:val="1008"/>
        </w:numPr>
        <w:pStyle w:val="Compact"/>
      </w:pPr>
      <w:r>
        <w:rPr>
          <w:rStyle w:val="VerbatimChar"/>
        </w:rPr>
        <w:t xml:space="preserve">Norwegian patient gets treated Spain ePrescription patient summary how process works</w:t>
      </w:r>
    </w:p>
    <w:p>
      <w:pPr>
        <w:numPr>
          <w:ilvl w:val="0"/>
          <w:numId w:val="1008"/>
        </w:numPr>
        <w:pStyle w:val="Compact"/>
      </w:pPr>
      <w:r>
        <w:rPr>
          <w:rStyle w:val="VerbatimChar"/>
        </w:rPr>
        <w:t xml:space="preserve">Norway MyHealth@EU national contact point eHealth go-live status 2025 2026</w:t>
      </w:r>
    </w:p>
    <w:p>
      <w:pPr>
        <w:numPr>
          <w:ilvl w:val="0"/>
          <w:numId w:val="1008"/>
        </w:numPr>
        <w:pStyle w:val="Compact"/>
      </w:pPr>
      <w:r>
        <w:rPr>
          <w:rStyle w:val="VerbatimChar"/>
        </w:rPr>
        <w:t xml:space="preserve">Norway AI medical imaging research 2025 federated learning health data</w:t>
      </w:r>
    </w:p>
    <w:p>
      <w:pPr>
        <w:numPr>
          <w:ilvl w:val="0"/>
          <w:numId w:val="1008"/>
        </w:numPr>
        <w:pStyle w:val="Compact"/>
      </w:pPr>
      <w:r>
        <w:rPr>
          <w:rStyle w:val="VerbatimChar"/>
        </w:rPr>
        <w:t xml:space="preserve">ZK-EHR zk-SNARK blockchain electronic health records MDPI Systems 2026</w:t>
      </w:r>
    </w:p>
    <w:p>
      <w:pPr>
        <w:numPr>
          <w:ilvl w:val="0"/>
          <w:numId w:val="1008"/>
        </w:numPr>
        <w:pStyle w:val="Compact"/>
      </w:pPr>
      <w:r>
        <w:rPr>
          <w:rStyle w:val="VerbatimChar"/>
        </w:rPr>
        <w:t xml:space="preserve">MDPI Systems \</w:t>
      </w:r>
    </w:p>
    <w:p>
      <w:pPr>
        <w:numPr>
          <w:ilvl w:val="0"/>
          <w:numId w:val="1008"/>
        </w:numPr>
        <w:pStyle w:val="Compact"/>
      </w:pPr>
      <w:r>
        <w:rPr>
          <w:rStyle w:val="VerbatimChar"/>
        </w:rPr>
        <w:t xml:space="preserve">KONFIDO project \</w:t>
      </w:r>
    </w:p>
    <w:p>
      <w:pPr>
        <w:numPr>
          <w:ilvl w:val="0"/>
          <w:numId w:val="1008"/>
        </w:numPr>
        <w:pStyle w:val="Compact"/>
      </w:pPr>
      <w:r>
        <w:rPr>
          <w:rStyle w:val="VerbatimChar"/>
        </w:rPr>
        <w:t xml:space="preserve">Helsedirektoratet EHDS European Health Data Space gap analysis Norway 2025</w:t>
      </w:r>
    </w:p>
    <w:p>
      <w:pPr>
        <w:numPr>
          <w:ilvl w:val="0"/>
          <w:numId w:val="1008"/>
        </w:numPr>
        <w:pStyle w:val="Compact"/>
      </w:pPr>
      <w:r>
        <w:rPr>
          <w:rStyle w:val="VerbatimChar"/>
        </w:rPr>
        <w:t xml:space="preserve">OpenNCP github repository ehdsi.europa.eu source code documentation NCP gateway</w:t>
      </w:r>
    </w:p>
    <w:p>
      <w:pPr>
        <w:numPr>
          <w:ilvl w:val="0"/>
          <w:numId w:val="1008"/>
        </w:numPr>
        <w:pStyle w:val="Compact"/>
      </w:pPr>
      <w:r>
        <w:rPr>
          <w:rStyle w:val="VerbatimChar"/>
        </w:rPr>
        <w:t xml:space="preserve">Norway AI Act implementation Nkom DigDir consultation 2025 h\u00f8ring Regulation 2024/1689</w:t>
      </w:r>
    </w:p>
    <w:bookmarkEnd w:id="132"/>
    <w:bookmarkStart w:id="133" w:name="X4a2a7d0c1e0e0ea8658fb362d79a91af0d4ac60"/>
    <w:p>
      <w:pPr>
        <w:pStyle w:val="Heading2"/>
      </w:pPr>
      <w:r>
        <w:t xml:space="preserve">Round 2: 29 May 2026 (verification and correction round)</w:t>
      </w:r>
    </w:p>
    <w:p>
      <w:pPr>
        <w:numPr>
          <w:ilvl w:val="0"/>
          <w:numId w:val="1009"/>
        </w:numPr>
        <w:pStyle w:val="Compact"/>
      </w:pPr>
      <w:r>
        <w:rPr>
          <w:rStyle w:val="VerbatimChar"/>
        </w:rPr>
        <w:t xml:space="preserve">SPUHiN \</w:t>
      </w:r>
    </w:p>
    <w:p>
      <w:pPr>
        <w:numPr>
          <w:ilvl w:val="0"/>
          <w:numId w:val="1009"/>
        </w:numPr>
        <w:pStyle w:val="Compact"/>
      </w:pPr>
      <w:r>
        <w:rPr>
          <w:rStyle w:val="VerbatimChar"/>
        </w:rPr>
        <w:t xml:space="preserve">EHDS implementation 2026 cross-border patient summary technical infrastructure Member State</w:t>
      </w:r>
    </w:p>
    <w:p>
      <w:pPr>
        <w:numPr>
          <w:ilvl w:val="0"/>
          <w:numId w:val="1009"/>
        </w:numPr>
        <w:pStyle w:val="Compact"/>
      </w:pPr>
      <w:r>
        <w:rPr>
          <w:rStyle w:val="VerbatimChar"/>
        </w:rPr>
        <w:t xml:space="preserve">IHE ATNA Audit Trail Node Authentication integration profile retention requirement</w:t>
      </w:r>
    </w:p>
    <w:p>
      <w:pPr>
        <w:numPr>
          <w:ilvl w:val="0"/>
          <w:numId w:val="1009"/>
        </w:numPr>
        <w:pStyle w:val="Compact"/>
      </w:pPr>
      <w:r>
        <w:rPr>
          <w:rStyle w:val="VerbatimChar"/>
        </w:rPr>
        <w:t xml:space="preserve">eHDSI MyHealth@EU audit log retention period years requirement</w:t>
      </w:r>
    </w:p>
    <w:p>
      <w:pPr>
        <w:numPr>
          <w:ilvl w:val="0"/>
          <w:numId w:val="1009"/>
        </w:numPr>
        <w:pStyle w:val="Compact"/>
      </w:pPr>
      <w:r>
        <w:rPr>
          <w:rStyle w:val="VerbatimChar"/>
        </w:rPr>
        <w:t xml:space="preserve">eHDSI security framework audit log retention specification cross-border European</w:t>
      </w:r>
    </w:p>
    <w:p>
      <w:pPr>
        <w:numPr>
          <w:ilvl w:val="0"/>
          <w:numId w:val="1009"/>
        </w:numPr>
        <w:pStyle w:val="Compact"/>
      </w:pPr>
      <w:r>
        <w:rPr>
          <w:rStyle w:val="VerbatimChar"/>
        </w:rPr>
        <w:t xml:space="preserve">GDPR Article 17 right erasure audit log retention healthcare EDPB guidance</w:t>
      </w:r>
    </w:p>
    <w:p>
      <w:pPr>
        <w:numPr>
          <w:ilvl w:val="0"/>
          <w:numId w:val="1009"/>
        </w:numPr>
        <w:pStyle w:val="Compact"/>
      </w:pPr>
      <w:r>
        <w:rPr>
          <w:rStyle w:val="VerbatimChar"/>
        </w:rPr>
        <w:t xml:space="preserve">cryptographic erasure audit log healthcare GDPR right to be forgotten academic</w:t>
      </w:r>
    </w:p>
    <w:p>
      <w:pPr>
        <w:numPr>
          <w:ilvl w:val="0"/>
          <w:numId w:val="1009"/>
        </w:numPr>
        <w:pStyle w:val="Compact"/>
      </w:pPr>
      <w:r>
        <w:rPr>
          <w:rStyle w:val="VerbatimChar"/>
        </w:rPr>
        <w:t xml:space="preserve">KONFIDO project OpenNCP architecture cross-border 2018 technical paper Natsiavas</w:t>
      </w:r>
    </w:p>
    <w:p>
      <w:pPr>
        <w:numPr>
          <w:ilvl w:val="0"/>
          <w:numId w:val="1009"/>
        </w:numPr>
        <w:pStyle w:val="Compact"/>
      </w:pPr>
      <w:r>
        <w:rPr>
          <w:rStyle w:val="VerbatimChar"/>
        </w:rPr>
        <w:t xml:space="preserve">zero-knowledge proof healthcare audit log verifiable revocation 2024 2025 2026</w:t>
      </w:r>
    </w:p>
    <w:p>
      <w:pPr>
        <w:numPr>
          <w:ilvl w:val="0"/>
          <w:numId w:val="1009"/>
        </w:numPr>
        <w:pStyle w:val="Compact"/>
      </w:pPr>
      <w:r>
        <w:rPr>
          <w:rStyle w:val="VerbatimChar"/>
        </w:rPr>
        <w:t xml:space="preserve">cryptographic accumulator commitment scheme revocation healthcare audit hash chain</w:t>
      </w:r>
    </w:p>
    <w:bookmarkEnd w:id="133"/>
    <w:bookmarkStart w:id="134" w:name="Xfe03fc85fed18cf0c2a2aedd5ecc7558e489de6"/>
    <w:p>
      <w:pPr>
        <w:pStyle w:val="Heading2"/>
      </w:pPr>
      <w:r>
        <w:t xml:space="preserve">Round 3: 15 September 2026 (resumption; novelty and currency)</w:t>
      </w:r>
    </w:p>
    <w:p>
      <w:pPr>
        <w:numPr>
          <w:ilvl w:val="0"/>
          <w:numId w:val="1010"/>
        </w:numPr>
        <w:pStyle w:val="Compact"/>
      </w:pPr>
      <w:r>
        <w:rPr>
          <w:rStyle w:val="VerbatimChar"/>
        </w:rPr>
        <w:t xml:space="preserve">Helsedataservice Norway secondary use access body workflow data permit registry</w:t>
      </w:r>
    </w:p>
    <w:p>
      <w:pPr>
        <w:numPr>
          <w:ilvl w:val="0"/>
          <w:numId w:val="1010"/>
        </w:numPr>
        <w:pStyle w:val="Compact"/>
      </w:pPr>
      <w:r>
        <w:rPr>
          <w:rStyle w:val="VerbatimChar"/>
        </w:rPr>
        <w:t xml:space="preserve">information logistics digital supply chain cross-border data flow regulatory compliance academic</w:t>
      </w:r>
    </w:p>
    <w:p>
      <w:pPr>
        <w:numPr>
          <w:ilvl w:val="0"/>
          <w:numId w:val="1010"/>
        </w:numPr>
        <w:pStyle w:val="Compact"/>
      </w:pPr>
      <w:r>
        <w:rPr>
          <w:rStyle w:val="VerbatimChar"/>
        </w:rPr>
        <w:t xml:space="preserve">Norwegian offshore workers health records cross-border medical exchange maritime logistics</w:t>
      </w:r>
    </w:p>
    <w:p>
      <w:pPr>
        <w:numPr>
          <w:ilvl w:val="0"/>
          <w:numId w:val="1010"/>
        </w:numPr>
        <w:pStyle w:val="Compact"/>
      </w:pPr>
      <w:r>
        <w:rPr>
          <w:rStyle w:val="VerbatimChar"/>
        </w:rPr>
        <w:t xml:space="preserve">formal model conflict audit log retention GDPR right to erasure constraint satisfaction</w:t>
      </w:r>
    </w:p>
    <w:p>
      <w:pPr>
        <w:numPr>
          <w:ilvl w:val="0"/>
          <w:numId w:val="1010"/>
        </w:numPr>
        <w:pStyle w:val="Compact"/>
      </w:pPr>
      <w:r>
        <w:rPr>
          <w:rStyle w:val="VerbatimChar"/>
        </w:rPr>
        <w:t xml:space="preserve">formal verification regulatory compliance conflicting retention requirements temporal logic healthcare audit</w:t>
      </w:r>
    </w:p>
    <w:p>
      <w:pPr>
        <w:numPr>
          <w:ilvl w:val="0"/>
          <w:numId w:val="1010"/>
        </w:numPr>
        <w:pStyle w:val="Compact"/>
      </w:pPr>
      <w:r>
        <w:rPr>
          <w:rStyle w:val="VerbatimChar"/>
        </w:rPr>
        <w:t xml:space="preserve">operations research optimization model data governance compliance reconciliation supply chain regulatory constraints</w:t>
      </w:r>
    </w:p>
    <w:p>
      <w:pPr>
        <w:numPr>
          <w:ilvl w:val="0"/>
          <w:numId w:val="1010"/>
        </w:numPr>
        <w:pStyle w:val="Compact"/>
      </w:pPr>
      <w:r>
        <w:rPr>
          <w:rStyle w:val="VerbatimChar"/>
        </w:rPr>
        <w:t xml:space="preserve">thesis chapter 3 TRF model formal specification VERA-SNARK</w:t>
      </w:r>
    </w:p>
    <w:p>
      <w:pPr>
        <w:numPr>
          <w:ilvl w:val="0"/>
          <w:numId w:val="1010"/>
        </w:numPr>
        <w:pStyle w:val="Compact"/>
      </w:pPr>
      <w:r>
        <w:rPr>
          <w:rStyle w:val="VerbatimChar"/>
        </w:rPr>
        <w:t xml:space="preserve">TRF model gate feasibility theorem crypto-erasure invalidation chapter 4</w:t>
      </w:r>
    </w:p>
    <w:p>
      <w:pPr>
        <w:numPr>
          <w:ilvl w:val="0"/>
          <w:numId w:val="1010"/>
        </w:numPr>
        <w:pStyle w:val="Compact"/>
      </w:pPr>
      <w:r>
        <w:rPr>
          <w:rStyle w:val="VerbatimChar"/>
        </w:rPr>
        <w:t xml:space="preserve">Norge EHDS E\u00d8S gjennomf\u00f8ring helsedata juni 2026</w:t>
      </w:r>
    </w:p>
    <w:p>
      <w:pPr>
        <w:numPr>
          <w:ilvl w:val="0"/>
          <w:numId w:val="1010"/>
        </w:numPr>
        <w:pStyle w:val="Compact"/>
      </w:pPr>
      <w:r>
        <w:rPr>
          <w:rStyle w:val="VerbatimChar"/>
        </w:rPr>
        <w:t xml:space="preserve">Google Drive read file content</w:t>
      </w:r>
    </w:p>
    <w:bookmarkEnd w:id="134"/>
    <w:bookmarkStart w:id="135" w:name="X42e6240ce94ac92875ca4170810e6341d8d647c"/>
    <w:p>
      <w:pPr>
        <w:pStyle w:val="Heading2"/>
      </w:pPr>
      <w:r>
        <w:t xml:space="preserve">Round 4: 16 September 2026 (adversarial novelty, prior art, currency)</w:t>
      </w:r>
    </w:p>
    <w:p>
      <w:pPr>
        <w:numPr>
          <w:ilvl w:val="0"/>
          <w:numId w:val="1011"/>
        </w:numPr>
        <w:pStyle w:val="Compact"/>
      </w:pPr>
      <w:r>
        <w:rPr>
          <w:rStyle w:val="VerbatimChar"/>
        </w:rPr>
        <w:t xml:space="preserve">EHDS secondary use audit log retention erasure 2026 IEEE Scopus formal compliance health data</w:t>
      </w:r>
    </w:p>
    <w:p>
      <w:pPr>
        <w:numPr>
          <w:ilvl w:val="0"/>
          <w:numId w:val="1011"/>
        </w:numPr>
        <w:pStyle w:val="Compact"/>
      </w:pPr>
      <w:r>
        <w:rPr>
          <w:rStyle w:val="VerbatimChar"/>
        </w:rPr>
        <w:t xml:space="preserve">"retention conflict" OR "conflicting retention" cryptographic erasure formal model 2026 arXiv</w:t>
      </w:r>
    </w:p>
    <w:p>
      <w:pPr>
        <w:numPr>
          <w:ilvl w:val="0"/>
          <w:numId w:val="1011"/>
        </w:numPr>
        <w:pStyle w:val="Compact"/>
      </w:pPr>
      <w:r>
        <w:rPr>
          <w:rStyle w:val="VerbatimChar"/>
        </w:rPr>
        <w:t xml:space="preserve">EUR-Lex 2025/327 Article 73 secure processing environment "keeping of identifiable logs" access activities year</w:t>
      </w:r>
    </w:p>
    <w:p>
      <w:pPr>
        <w:numPr>
          <w:ilvl w:val="0"/>
          <w:numId w:val="1011"/>
        </w:numPr>
        <w:pStyle w:val="Compact"/>
      </w:pPr>
      <w:r>
        <w:rPr>
          <w:rStyle w:val="VerbatimChar"/>
        </w:rPr>
        <w:t xml:space="preserve">Regulation 2025/327 EHDS entry into force 26 March 2025 application date Article 105 staggered 2029</w:t>
      </w:r>
    </w:p>
    <w:p>
      <w:pPr>
        <w:numPr>
          <w:ilvl w:val="0"/>
          <w:numId w:val="1011"/>
        </w:numPr>
        <w:pStyle w:val="Compact"/>
      </w:pPr>
      <w:r>
        <w:rPr>
          <w:rStyle w:val="VerbatimChar"/>
        </w:rPr>
        <w:t xml:space="preserve">EDPB Guidelines 02/2025 blockchain personal data final version adopted after public consultation</w:t>
      </w:r>
    </w:p>
    <w:p>
      <w:pPr>
        <w:numPr>
          <w:ilvl w:val="0"/>
          <w:numId w:val="1011"/>
        </w:numPr>
        <w:pStyle w:val="Compact"/>
      </w:pPr>
      <w:r>
        <w:rPr>
          <w:rStyle w:val="VerbatimChar"/>
        </w:rPr>
        <w:t xml:space="preserve">TEHDAS2 deliverable secure processing environment technical specifications 2026 D7 tehdas.eu</w:t>
      </w:r>
    </w:p>
    <w:p>
      <w:pPr>
        <w:numPr>
          <w:ilvl w:val="0"/>
          <w:numId w:val="1011"/>
        </w:numPr>
        <w:pStyle w:val="Compact"/>
      </w:pPr>
      <w:r>
        <w:rPr>
          <w:rStyle w:val="VerbatimChar"/>
        </w:rPr>
        <w:t xml:space="preserve">eHOMB eHealth Operational Management Board Norway ePrescription without eDispensation change proposal requirement catalogue approved</w:t>
      </w:r>
    </w:p>
    <w:p>
      <w:pPr>
        <w:numPr>
          <w:ilvl w:val="0"/>
          <w:numId w:val="1011"/>
        </w:numPr>
        <w:pStyle w:val="Compact"/>
      </w:pPr>
      <w:r>
        <w:rPr>
          <w:rStyle w:val="VerbatimChar"/>
        </w:rPr>
        <w:t xml:space="preserve">EHDS Article 68 paragraph 12 "data permit" delete personal electronic health data secure processing environment six months expiry</w:t>
      </w:r>
    </w:p>
    <w:p>
      <w:pPr>
        <w:numPr>
          <w:ilvl w:val="0"/>
          <w:numId w:val="1011"/>
        </w:numPr>
        <w:pStyle w:val="Compact"/>
      </w:pPr>
      <w:r>
        <w:rPr>
          <w:rStyle w:val="VerbatimChar"/>
        </w:rPr>
        <w:t xml:space="preserve">Walonoski Synthea synthetic patient generator JAMIA 2018 25(3) 230-238</w:t>
      </w:r>
    </w:p>
    <w:p>
      <w:pPr>
        <w:numPr>
          <w:ilvl w:val="0"/>
          <w:numId w:val="1011"/>
        </w:numPr>
        <w:pStyle w:val="Compact"/>
      </w:pPr>
      <w:r>
        <w:rPr>
          <w:rStyle w:val="VerbatimChar"/>
        </w:rPr>
        <w:t xml:space="preserve">validity synthetic clinical data Synthea validation clinical quality measures limitations</w:t>
      </w:r>
    </w:p>
    <w:p>
      <w:pPr>
        <w:numPr>
          <w:ilvl w:val="0"/>
          <w:numId w:val="1011"/>
        </w:numPr>
        <w:pStyle w:val="Compact"/>
      </w:pPr>
      <w:r>
        <w:rPr>
          <w:rStyle w:val="VerbatimChar"/>
        </w:rPr>
        <w:t xml:space="preserve">HL7 Norway basisprofiler FHIR R4 no-basis 2026 status</w:t>
      </w:r>
    </w:p>
    <w:p>
      <w:pPr>
        <w:numPr>
          <w:ilvl w:val="0"/>
          <w:numId w:val="1011"/>
        </w:numPr>
        <w:pStyle w:val="Compact"/>
      </w:pPr>
      <w:r>
        <w:rPr>
          <w:rStyle w:val="VerbatimChar"/>
        </w:rPr>
        <w:t xml:space="preserve">Datatilsynet NIF Norges idrettsforbund vedtak syntetiske testdata personopplysninger test</w:t>
      </w:r>
    </w:p>
    <w:p>
      <w:pPr>
        <w:numPr>
          <w:ilvl w:val="0"/>
          <w:numId w:val="1011"/>
        </w:numPr>
        <w:pStyle w:val="Compact"/>
      </w:pPr>
      <w:r>
        <w:rPr>
          <w:rStyle w:val="VerbatimChar"/>
        </w:rPr>
        <w:t xml:space="preserve">Peffers Tuunanen Rothenberger Chatterjee design science research methodology Journal of Management Information Systems 2007 24 3 45-77</w:t>
      </w:r>
    </w:p>
    <w:p>
      <w:pPr>
        <w:numPr>
          <w:ilvl w:val="0"/>
          <w:numId w:val="1011"/>
        </w:numPr>
        <w:pStyle w:val="Compact"/>
      </w:pPr>
      <w:r>
        <w:rPr>
          <w:rStyle w:val="VerbatimChar"/>
        </w:rPr>
        <w:t xml:space="preserve">NIST SP 800-88 Revision 2 media sanitization published date 2025 draft final</w:t>
      </w:r>
    </w:p>
    <w:p>
      <w:pPr>
        <w:numPr>
          <w:ilvl w:val="0"/>
          <w:numId w:val="1011"/>
        </w:numPr>
        <w:pStyle w:val="Compact"/>
      </w:pPr>
      <w:r>
        <w:rPr>
          <w:rStyle w:val="VerbatimChar"/>
        </w:rPr>
        <w:t xml:space="preserve">Norge MyHealth@EU pasientsammendrag pilot Bodø Stjørdal legevakt Portugal Tsjekkia Finland</w:t>
      </w:r>
    </w:p>
    <w:p>
      <w:pPr>
        <w:numPr>
          <w:ilvl w:val="0"/>
          <w:numId w:val="1011"/>
        </w:numPr>
        <w:pStyle w:val="Compact"/>
      </w:pPr>
      <w:r>
        <w:rPr>
          <w:rStyle w:val="VerbatimChar"/>
        </w:rPr>
        <w:t xml:space="preserve">EHDS implementing acts 2026 secure processing environment specifications adopted status</w:t>
      </w:r>
    </w:p>
    <w:p>
      <w:pPr>
        <w:numPr>
          <w:ilvl w:val="0"/>
          <w:numId w:val="1011"/>
        </w:numPr>
        <w:pStyle w:val="Compact"/>
      </w:pPr>
      <w:r>
        <w:rPr>
          <w:rStyle w:val="VerbatimChar"/>
        </w:rPr>
        <w:t xml:space="preserve">eprint 2026/1109 SoK cryptographic erasure public ledgers Destruction-IND</w:t>
      </w:r>
    </w:p>
    <w:p>
      <w:pPr>
        <w:numPr>
          <w:ilvl w:val="0"/>
          <w:numId w:val="1011"/>
        </w:numPr>
        <w:pStyle w:val="Compact"/>
      </w:pPr>
      <w:r>
        <w:rPr>
          <w:rStyle w:val="VerbatimChar"/>
        </w:rPr>
        <w:t xml:space="preserve">GDPR Article 12(3) one month respond erasure request extension two months</w:t>
      </w:r>
    </w:p>
    <w:p>
      <w:pPr>
        <w:numPr>
          <w:ilvl w:val="0"/>
          <w:numId w:val="1011"/>
        </w:numPr>
        <w:pStyle w:val="Compact"/>
      </w:pPr>
      <w:r>
        <w:rPr>
          <w:rStyle w:val="VerbatimChar"/>
        </w:rPr>
        <w:t xml:space="preserve">SPUHiN D5.2 recommendations minimum requirements secure processing final helsedirektoratet</w:t>
      </w:r>
    </w:p>
    <w:p>
      <w:pPr>
        <w:numPr>
          <w:ilvl w:val="0"/>
          <w:numId w:val="1011"/>
        </w:numPr>
        <w:pStyle w:val="Compact"/>
      </w:pPr>
      <w:r>
        <w:rPr>
          <w:rStyle w:val="VerbatimChar"/>
        </w:rPr>
        <w:t xml:space="preserve">Reardon Basin Capkun SoK secure data deletion 2013 IEEE</w:t>
      </w:r>
    </w:p>
    <w:p>
      <w:pPr>
        <w:numPr>
          <w:ilvl w:val="0"/>
          <w:numId w:val="1011"/>
        </w:numPr>
        <w:pStyle w:val="Compact"/>
      </w:pPr>
      <w:r>
        <w:rPr>
          <w:rStyle w:val="VerbatimChar"/>
        </w:rPr>
        <w:t xml:space="preserve">Finck blockchain GDPR European Parliament study 2019 can distributed ledgers be squared right erasure</w:t>
      </w:r>
    </w:p>
    <w:p>
      <w:pPr>
        <w:numPr>
          <w:ilvl w:val="0"/>
          <w:numId w:val="1011"/>
        </w:numPr>
        <w:pStyle w:val="Compact"/>
      </w:pPr>
      <w:r>
        <w:rPr>
          <w:rStyle w:val="VerbatimChar"/>
        </w:rPr>
        <w:t xml:space="preserve">Datatilsynet sletting anonymisering kryptering personopplysninger krav</w:t>
      </w:r>
    </w:p>
    <w:p>
      <w:pPr>
        <w:numPr>
          <w:ilvl w:val="0"/>
          <w:numId w:val="1011"/>
        </w:numPr>
        <w:pStyle w:val="Compact"/>
      </w:pPr>
      <w:r>
        <w:rPr>
          <w:rStyle w:val="VerbatimChar"/>
        </w:rPr>
        <w:t xml:space="preserve">formal model audit retention versus erasure crypto-shredding paper 2026</w:t>
      </w:r>
    </w:p>
    <w:bookmarkEnd w:id="135"/>
    <w:bookmarkStart w:id="136" w:name="X2fdbe87419df637ae3b8aee6c945edc0779b299"/>
    <w:p>
      <w:pPr>
        <w:pStyle w:val="Heading2"/>
      </w:pPr>
      <w:r>
        <w:t xml:space="preserve">Round 5: 28 September 2026 (locator verification and source-standing audit)</w:t>
      </w:r>
      <w:r>
        <w:t xml:space="preserve"> </w:t>
      </w:r>
      <w:r>
        <w:rPr>
          <w:iCs/>
          <w:i/>
        </w:rPr>
        <w:t xml:space="preserve">[R]</w:t>
      </w:r>
    </w:p>
    <w:p>
      <w:pPr>
        <w:pStyle w:val="FirstParagraph"/>
      </w:pPr>
      <w:r>
        <w:t xml:space="preserve">This round contains no discovery queries. Every lookup targeted a source already in the</w:t>
      </w:r>
      <w:r>
        <w:t xml:space="preserve"> </w:t>
      </w:r>
      <w:r>
        <w:t xml:space="preserve">bibliography and asked one of two questions: does a stable locator exist for it, and does</w:t>
      </w:r>
      <w:r>
        <w:t xml:space="preserve"> </w:t>
      </w:r>
      <w:r>
        <w:t xml:space="preserve">the document say what the citation claims it says. It is recorded because it changed the</w:t>
      </w:r>
      <w:r>
        <w:t xml:space="preserve"> </w:t>
      </w:r>
      <w:r>
        <w:t xml:space="preserve">reference list, and a log that omitted the round that removed two entries would misstate</w:t>
      </w:r>
      <w:r>
        <w:t xml:space="preserve"> </w:t>
      </w:r>
      <w:r>
        <w:t xml:space="preserve">how the bibliography reached its final form.</w:t>
      </w:r>
    </w:p>
    <w:p>
      <w:pPr>
        <w:pStyle w:val="BodyText"/>
      </w:pPr>
      <w:r>
        <w:t xml:space="preserve">Thirty-nine entries carrying no DOI or URL were taken as the working set and verified in</w:t>
      </w:r>
      <w:r>
        <w:t xml:space="preserve"> </w:t>
      </w:r>
      <w:r>
        <w:t xml:space="preserve">four parallel sweeps: European Union institutional sources; Norwegian government and</w:t>
      </w:r>
      <w:r>
        <w:t xml:space="preserve"> </w:t>
      </w:r>
      <w:r>
        <w:t xml:space="preserve">health-authority sources; academic papers and patents; and project deliverables, technical</w:t>
      </w:r>
      <w:r>
        <w:t xml:space="preserve"> </w:t>
      </w:r>
      <w:r>
        <w:t xml:space="preserve">standards and industry commentary. Each lookup was required to retrieve the document and</w:t>
      </w:r>
      <w:r>
        <w:t xml:space="preserve"> </w:t>
      </w:r>
      <w:r>
        <w:t xml:space="preserve">quote matching text before a locator was accepted, and to return a negative rather than a</w:t>
      </w:r>
      <w:r>
        <w:t xml:space="preserve"> </w:t>
      </w:r>
      <w:r>
        <w:t xml:space="preserve">plausible-looking substitute where no locator could be retrieved.</w:t>
      </w:r>
    </w:p>
    <w:p>
      <w:pPr>
        <w:pStyle w:val="BodyText"/>
      </w:pPr>
      <w:r>
        <w:t xml:space="preserve">Because these were executed as parallel verification sweeps rather than as single typed</w:t>
      </w:r>
      <w:r>
        <w:t xml:space="preserve"> </w:t>
      </w:r>
      <w:r>
        <w:t xml:space="preserve">queries, they are recorded here by target rather than by verbatim string. Reporting</w:t>
      </w:r>
      <w:r>
        <w:t xml:space="preserve"> </w:t>
      </w:r>
      <w:r>
        <w:t xml:space="preserve">invented query strings would be worse than reporting none.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Target verified</w:t>
            </w:r>
          </w:p>
        </w:tc>
        <w:tc>
          <w:tcPr/>
          <w:p>
            <w:pPr>
              <w:pStyle w:val="Compact"/>
              <w:jc w:val="left"/>
            </w:pPr>
            <w:r>
              <w:t xml:space="preserve">Outcome</w:t>
            </w:r>
          </w:p>
        </w:tc>
      </w:tr>
      <w:tr>
        <w:tc>
          <w:tcPr/>
          <w:p>
            <w:pPr>
              <w:pStyle w:val="Compact"/>
              <w:jc w:val="left"/>
            </w:pPr>
            <w:r>
              <w:t xml:space="preserve">60</w:t>
            </w:r>
          </w:p>
        </w:tc>
        <w:tc>
          <w:tcPr/>
          <w:p>
            <w:pPr>
              <w:pStyle w:val="Compact"/>
              <w:jc w:val="left"/>
            </w:pPr>
            <w:r>
              <w:t xml:space="preserve">European Commission EHDS Regulation page, and whether a separate</w:t>
            </w:r>
            <w:r>
              <w:t xml:space="preserve"> </w:t>
            </w:r>
            <w:r>
              <w:rPr>
                <w:iCs/>
                <w:i/>
              </w:rPr>
              <w:t xml:space="preserve">Implementation calendar</w:t>
            </w:r>
            <w:r>
              <w:t xml:space="preserve"> </w:t>
            </w:r>
            <w:r>
              <w:t xml:space="preserve">document exists</w:t>
            </w:r>
          </w:p>
        </w:tc>
        <w:tc>
          <w:tcPr/>
          <w:p>
            <w:pPr>
              <w:pStyle w:val="Compact"/>
              <w:jc w:val="left"/>
            </w:pPr>
            <w:r>
              <w:rPr>
                <w:bCs/>
                <w:b/>
              </w:rPr>
              <w:t xml:space="preserve">No such document.</w:t>
            </w:r>
            <w:r>
              <w:t xml:space="preserve"> </w:t>
            </w:r>
            <w:r>
              <w:t xml:space="preserve">The milestones are a section of the Regulation page headed</w:t>
            </w:r>
            <w:r>
              <w:t xml:space="preserve"> </w:t>
            </w:r>
            <w:r>
              <w:t xml:space="preserve">“</w:t>
            </w:r>
            <w:r>
              <w:t xml:space="preserve">Key milestones towards full implementation</w:t>
            </w:r>
            <w:r>
              <w:t xml:space="preserve">”</w:t>
            </w:r>
            <w:r>
              <w:t xml:space="preserve">. Entry removed</w:t>
            </w:r>
          </w:p>
        </w:tc>
      </w:tr>
      <w:tr>
        <w:tc>
          <w:tcPr/>
          <w:p>
            <w:pPr>
              <w:pStyle w:val="Compact"/>
              <w:jc w:val="left"/>
            </w:pPr>
            <w:r>
              <w:t xml:space="preserve">61</w:t>
            </w:r>
          </w:p>
        </w:tc>
        <w:tc>
          <w:tcPr/>
          <w:p>
            <w:pPr>
              <w:pStyle w:val="Compact"/>
              <w:jc w:val="left"/>
            </w:pPr>
            <w:r>
              <w:t xml:space="preserve">Helsedirektoratet national e-health portfolio, MyHealth@EU measures</w:t>
            </w:r>
          </w:p>
        </w:tc>
        <w:tc>
          <w:tcPr/>
          <w:p>
            <w:pPr>
              <w:pStyle w:val="Compact"/>
              <w:jc w:val="left"/>
            </w:pPr>
            <w:r>
              <w:t xml:space="preserve">The</w:t>
            </w:r>
            <w:r>
              <w:t xml:space="preserve"> </w:t>
            </w:r>
            <w:r>
              <w:rPr>
                <w:iCs/>
                <w:i/>
              </w:rPr>
              <w:t xml:space="preserve">Norsk helsenett</w:t>
            </w:r>
            <w:r>
              <w:t xml:space="preserve"> </w:t>
            </w:r>
            <w:r>
              <w:t xml:space="preserve">measure returns HTTP 404 and no live equivalent exists; the portfolio lists Helsedirektoratet and KS measures only. Entry removed</w:t>
            </w:r>
          </w:p>
        </w:tc>
      </w:tr>
      <w:tr>
        <w:tc>
          <w:tcPr/>
          <w:p>
            <w:pPr>
              <w:pStyle w:val="Compact"/>
              <w:jc w:val="left"/>
            </w:pPr>
            <w:r>
              <w:t xml:space="preserve">62</w:t>
            </w:r>
          </w:p>
        </w:tc>
        <w:tc>
          <w:tcPr/>
          <w:p>
            <w:pPr>
              <w:pStyle w:val="Compact"/>
              <w:jc w:val="left"/>
            </w:pPr>
            <w:r>
              <w:t xml:space="preserve">IHE ITI Technical Framework Volume 1 Chapter 9, revision and date</w:t>
            </w:r>
          </w:p>
        </w:tc>
        <w:tc>
          <w:tcPr/>
          <w:p>
            <w:pPr>
              <w:pStyle w:val="Compact"/>
              <w:jc w:val="left"/>
            </w:pPr>
            <w:r>
              <w:t xml:space="preserve">Revision 20.0, 4 August 2023, Final Text. The cited year 2024 was wrong and was corrected</w:t>
            </w:r>
          </w:p>
        </w:tc>
      </w:tr>
      <w:tr>
        <w:tc>
          <w:tcPr/>
          <w:p>
            <w:pPr>
              <w:pStyle w:val="Compact"/>
              <w:jc w:val="left"/>
            </w:pPr>
            <w:r>
              <w:t xml:space="preserve">63</w:t>
            </w:r>
          </w:p>
        </w:tc>
        <w:tc>
          <w:tcPr/>
          <w:p>
            <w:pPr>
              <w:pStyle w:val="Compact"/>
              <w:jc w:val="left"/>
            </w:pPr>
            <w:r>
              <w:t xml:space="preserve">VeritasChain Standards Organization, legal standing and accreditation</w:t>
            </w:r>
          </w:p>
        </w:tc>
        <w:tc>
          <w:tcPr/>
          <w:p>
            <w:pPr>
              <w:pStyle w:val="Compact"/>
              <w:jc w:val="left"/>
            </w:pPr>
            <w:r>
              <w:t xml:space="preserve">Founded 24 November 2025; not a registered legal entity; operationally supported by VeritasChain Inc.; states it is</w:t>
            </w:r>
            <w:r>
              <w:t xml:space="preserve"> </w:t>
            </w:r>
            <w:r>
              <w:t xml:space="preserve">“</w:t>
            </w:r>
            <w:r>
              <w:t xml:space="preserve">aspiring to be</w:t>
            </w:r>
            <w:r>
              <w:t xml:space="preserve">”</w:t>
            </w:r>
            <w:r>
              <w:t xml:space="preserve"> </w:t>
            </w:r>
            <w:r>
              <w:t xml:space="preserve">comparable to ISO, IEEE and IETF. Retained with its standing stated, not as a standards body</w:t>
            </w:r>
          </w:p>
        </w:tc>
      </w:tr>
      <w:tr>
        <w:tc>
          <w:tcPr/>
          <w:p>
            <w:pPr>
              <w:pStyle w:val="Compact"/>
              <w:jc w:val="left"/>
            </w:pPr>
            <w:r>
              <w:t xml:space="preserve">64</w:t>
            </w:r>
          </w:p>
        </w:tc>
        <w:tc>
          <w:tcPr/>
          <w:p>
            <w:pPr>
              <w:pStyle w:val="Compact"/>
              <w:jc w:val="left"/>
            </w:pPr>
            <w:r>
              <w:t xml:space="preserve">helsedata.no, the page cited as</w:t>
            </w:r>
            <w:r>
              <w:t xml:space="preserve"> </w:t>
            </w:r>
            <w:r>
              <w:rPr>
                <w:iCs/>
                <w:i/>
              </w:rPr>
              <w:t xml:space="preserve">Application workflow and fees</w:t>
            </w:r>
          </w:p>
        </w:tc>
        <w:tc>
          <w:tcPr/>
          <w:p>
            <w:pPr>
              <w:pStyle w:val="Compact"/>
              <w:jc w:val="left"/>
            </w:pPr>
            <w:r>
              <w:t xml:space="preserve">No page of that title. The page is</w:t>
            </w:r>
            <w:r>
              <w:t xml:space="preserve"> </w:t>
            </w:r>
            <w:r>
              <w:rPr>
                <w:iCs/>
                <w:i/>
              </w:rPr>
              <w:t xml:space="preserve">Fees and processing times</w:t>
            </w:r>
            <w:r>
              <w:t xml:space="preserve"> </w:t>
            </w:r>
            <w:r>
              <w:t xml:space="preserve">and carries no publication year</w:t>
            </w:r>
          </w:p>
        </w:tc>
      </w:tr>
      <w:tr>
        <w:tc>
          <w:tcPr/>
          <w:p>
            <w:pPr>
              <w:pStyle w:val="Compact"/>
              <w:jc w:val="left"/>
            </w:pPr>
            <w:r>
              <w:t xml:space="preserve">65</w:t>
            </w:r>
          </w:p>
        </w:tc>
        <w:tc>
          <w:tcPr/>
          <w:p>
            <w:pPr>
              <w:pStyle w:val="Compact"/>
              <w:jc w:val="left"/>
            </w:pPr>
            <w:r>
              <w:t xml:space="preserve">TEHDAS2 deliverable D6.3, version and date</w:t>
            </w:r>
          </w:p>
        </w:tc>
        <w:tc>
          <w:tcPr/>
          <w:p>
            <w:pPr>
              <w:pStyle w:val="Compact"/>
              <w:jc w:val="left"/>
            </w:pPr>
            <w:r>
              <w:t xml:space="preserve">The final is Version 2.0, 24 February 2026; the 2025 document is Version 1.5, a final draft. Dated accordingly</w:t>
            </w:r>
          </w:p>
        </w:tc>
      </w:tr>
      <w:tr>
        <w:tc>
          <w:tcPr/>
          <w:p>
            <w:pPr>
              <w:pStyle w:val="Compact"/>
              <w:jc w:val="left"/>
            </w:pPr>
            <w:r>
              <w:t xml:space="preserve">66</w:t>
            </w:r>
          </w:p>
        </w:tc>
        <w:tc>
          <w:tcPr/>
          <w:p>
            <w:pPr>
              <w:pStyle w:val="Compact"/>
              <w:jc w:val="left"/>
            </w:pPr>
            <w:r>
              <w:t xml:space="preserve">Journal of Data Intelligence 3(1), Scope et al.</w:t>
            </w:r>
          </w:p>
        </w:tc>
        <w:tc>
          <w:tcPr/>
          <w:p>
            <w:pPr>
              <w:pStyle w:val="Compact"/>
              <w:jc w:val="left"/>
            </w:pPr>
            <w:r>
              <w:t xml:space="preserve">Pages 149–168, added. No DOI is issued by the publisher</w:t>
            </w:r>
          </w:p>
        </w:tc>
      </w:tr>
      <w:tr>
        <w:tc>
          <w:tcPr/>
          <w:p>
            <w:pPr>
              <w:pStyle w:val="Compact"/>
              <w:jc w:val="left"/>
            </w:pPr>
            <w:r>
              <w:t xml:space="preserve">67</w:t>
            </w:r>
          </w:p>
        </w:tc>
        <w:tc>
          <w:tcPr/>
          <w:p>
            <w:pPr>
              <w:pStyle w:val="Compact"/>
              <w:jc w:val="left"/>
            </w:pPr>
            <w:r>
              <w:t xml:space="preserve">Finck (2019) European Parliament STOA study</w:t>
            </w:r>
          </w:p>
        </w:tc>
        <w:tc>
          <w:tcPr/>
          <w:p>
            <w:pPr>
              <w:pStyle w:val="Compact"/>
              <w:jc w:val="left"/>
            </w:pPr>
            <w:r>
              <w:t xml:space="preserve">DOI 10.2861/535, PE 634.445</w:t>
            </w:r>
          </w:p>
        </w:tc>
      </w:tr>
      <w:tr>
        <w:tc>
          <w:tcPr/>
          <w:p>
            <w:pPr>
              <w:pStyle w:val="Compact"/>
              <w:jc w:val="left"/>
            </w:pPr>
            <w:r>
              <w:t xml:space="preserve">68</w:t>
            </w:r>
          </w:p>
        </w:tc>
        <w:tc>
          <w:tcPr/>
          <w:p>
            <w:pPr>
              <w:pStyle w:val="Compact"/>
              <w:jc w:val="left"/>
            </w:pPr>
            <w:r>
              <w:t xml:space="preserve">United States Patent 12,425,209</w:t>
            </w:r>
          </w:p>
        </w:tc>
        <w:tc>
          <w:tcPr/>
          <w:p>
            <w:pPr>
              <w:pStyle w:val="Compact"/>
              <w:jc w:val="left"/>
            </w:pPr>
            <w:r>
              <w:t xml:space="preserve">Confirmed: kind code B2, granted 23 September 2025, inventors Scope and Rasin</w:t>
            </w:r>
          </w:p>
        </w:tc>
      </w:tr>
      <w:tr>
        <w:tc>
          <w:tcPr/>
          <w:p>
            <w:pPr>
              <w:pStyle w:val="Compact"/>
              <w:jc w:val="left"/>
            </w:pPr>
            <w:r>
              <w:t xml:space="preserve">69</w:t>
            </w:r>
          </w:p>
        </w:tc>
        <w:tc>
          <w:tcPr/>
          <w:p>
            <w:pPr>
              <w:pStyle w:val="Compact"/>
              <w:jc w:val="left"/>
            </w:pPr>
            <w:r>
              <w:t xml:space="preserve">Staffa et al. (2018) KONFIDO chapter</w:t>
            </w:r>
          </w:p>
        </w:tc>
        <w:tc>
          <w:tcPr/>
          <w:p>
            <w:pPr>
              <w:pStyle w:val="Compact"/>
              <w:jc w:val="left"/>
            </w:pPr>
            <w:r>
              <w:t xml:space="preserve">DOI 10.1007/978-3-319-95189-8_2, all eight authors confirmed against the publisher record</w:t>
            </w:r>
          </w:p>
        </w:tc>
      </w:tr>
      <w:tr>
        <w:tc>
          <w:tcPr/>
          <w:p>
            <w:pPr>
              <w:pStyle w:val="Compact"/>
              <w:jc w:val="left"/>
            </w:pPr>
            <w:r>
              <w:t xml:space="preserve">70</w:t>
            </w:r>
          </w:p>
        </w:tc>
        <w:tc>
          <w:tcPr/>
          <w:p>
            <w:pPr>
              <w:pStyle w:val="Compact"/>
              <w:jc w:val="left"/>
            </w:pPr>
            <w:r>
              <w:t xml:space="preserve">Broadbent and Islam (2020), Springer chapter and arXiv identifier</w:t>
            </w:r>
          </w:p>
        </w:tc>
        <w:tc>
          <w:tcPr/>
          <w:p>
            <w:pPr>
              <w:pStyle w:val="Compact"/>
              <w:jc w:val="left"/>
            </w:pPr>
            <w:r>
              <w:t xml:space="preserve">DOI 10.1007/978-3-030-64381-2_4; LNCS 12552, pp. 92–122; arXiv:1910.03551 confirmed</w:t>
            </w:r>
          </w:p>
        </w:tc>
      </w:tr>
      <w:tr>
        <w:tc>
          <w:tcPr/>
          <w:p>
            <w:pPr>
              <w:pStyle w:val="Compact"/>
              <w:jc w:val="left"/>
            </w:pPr>
            <w:r>
              <w:t xml:space="preserve">71</w:t>
            </w:r>
          </w:p>
        </w:tc>
        <w:tc>
          <w:tcPr/>
          <w:p>
            <w:pPr>
              <w:pStyle w:val="Compact"/>
              <w:jc w:val="left"/>
            </w:pPr>
            <w:r>
              <w:t xml:space="preserve">Bursuc et al. (2024), publication status</w:t>
            </w:r>
          </w:p>
        </w:tc>
        <w:tc>
          <w:tcPr/>
          <w:p>
            <w:pPr>
              <w:pStyle w:val="Compact"/>
              <w:jc w:val="left"/>
            </w:pPr>
            <w:r>
              <w:t xml:space="preserve">Since published at the 37th IEEE Computer Security Foundations Symposium, July 2024. The IEEE DOI could not be retrieved and is therefore not stated</w:t>
            </w:r>
          </w:p>
        </w:tc>
      </w:tr>
      <w:tr>
        <w:tc>
          <w:tcPr/>
          <w:p>
            <w:pPr>
              <w:pStyle w:val="Compact"/>
              <w:jc w:val="left"/>
            </w:pPr>
            <w:r>
              <w:t xml:space="preserve">72</w:t>
            </w:r>
          </w:p>
        </w:tc>
        <w:tc>
          <w:tcPr/>
          <w:p>
            <w:pPr>
              <w:pStyle w:val="Compact"/>
              <w:jc w:val="left"/>
            </w:pPr>
            <w:r>
              <w:t xml:space="preserve">SPUHiN deliverable D5.2, public-hearing version</w:t>
            </w:r>
          </w:p>
        </w:tc>
        <w:tc>
          <w:tcPr/>
          <w:p>
            <w:pPr>
              <w:pStyle w:val="Compact"/>
              <w:jc w:val="left"/>
            </w:pPr>
            <w:r>
              <w:t xml:space="preserve">The consultation page has been withdrawn and returns 404. No stable locator established; the entry says so and cites the project page</w:t>
            </w:r>
          </w:p>
        </w:tc>
      </w:tr>
      <w:tr>
        <w:tc>
          <w:tcPr/>
          <w:p>
            <w:pPr>
              <w:pStyle w:val="Compact"/>
              <w:jc w:val="left"/>
            </w:pPr>
            <w:r>
              <w:t xml:space="preserve">73</w:t>
            </w:r>
          </w:p>
        </w:tc>
        <w:tc>
          <w:tcPr/>
          <w:p>
            <w:pPr>
              <w:pStyle w:val="Compact"/>
              <w:jc w:val="left"/>
            </w:pPr>
            <w:r>
              <w:t xml:space="preserve">Deloitte Advokatfirma commentary, publication date</w:t>
            </w:r>
          </w:p>
        </w:tc>
        <w:tc>
          <w:tcPr/>
          <w:p>
            <w:pPr>
              <w:pStyle w:val="Compact"/>
              <w:jc w:val="left"/>
            </w:pPr>
            <w:r>
              <w:t xml:space="preserve">Published 24 August 2020. The citation’s</w:t>
            </w:r>
            <w:r>
              <w:t xml:space="preserve"> </w:t>
            </w:r>
            <w:r>
              <w:t xml:space="preserve">“</w:t>
            </w:r>
            <w:r>
              <w:t xml:space="preserve">n.d.</w:t>
            </w:r>
            <w:r>
              <w:t xml:space="preserve">”</w:t>
            </w:r>
            <w:r>
              <w:t xml:space="preserve"> </w:t>
            </w:r>
            <w:r>
              <w:t xml:space="preserve">was avoidable and was corrected</w:t>
            </w:r>
          </w:p>
        </w:tc>
      </w:tr>
      <w:tr>
        <w:tc>
          <w:tcPr/>
          <w:p>
            <w:pPr>
              <w:pStyle w:val="Compact"/>
              <w:jc w:val="left"/>
            </w:pPr>
            <w:r>
              <w:t xml:space="preserve">74</w:t>
            </w:r>
          </w:p>
        </w:tc>
        <w:tc>
          <w:tcPr/>
          <w:p>
            <w:pPr>
              <w:pStyle w:val="Compact"/>
              <w:jc w:val="left"/>
            </w:pPr>
            <w:r>
              <w:t xml:space="preserve">Norsk forening for allmennmedisin consultation response</w:t>
            </w:r>
          </w:p>
        </w:tc>
        <w:tc>
          <w:tcPr/>
          <w:p>
            <w:pPr>
              <w:pStyle w:val="Compact"/>
              <w:jc w:val="left"/>
            </w:pPr>
            <w:r>
              <w:t xml:space="preserve">Retrieved. The citation read</w:t>
            </w:r>
            <w:r>
              <w:t xml:space="preserve"> </w:t>
            </w:r>
            <w:r>
              <w:t xml:space="preserve">“</w:t>
            </w:r>
            <w:r>
              <w:t xml:space="preserve">analyserum</w:t>
            </w:r>
            <w:r>
              <w:t xml:space="preserve">”</w:t>
            </w:r>
            <w:r>
              <w:t xml:space="preserve">; the document reads</w:t>
            </w:r>
            <w:r>
              <w:t xml:space="preserve"> </w:t>
            </w:r>
            <w:r>
              <w:t xml:space="preserve">“</w:t>
            </w:r>
            <w:r>
              <w:t xml:space="preserve">analyserom</w:t>
            </w:r>
            <w:r>
              <w:t xml:space="preserve">”</w:t>
            </w:r>
          </w:p>
        </w:tc>
      </w:tr>
      <w:tr>
        <w:tc>
          <w:tcPr/>
          <w:p>
            <w:pPr>
              <w:pStyle w:val="Compact"/>
              <w:jc w:val="left"/>
            </w:pPr>
            <w:r>
              <w:t xml:space="preserve">75</w:t>
            </w:r>
          </w:p>
        </w:tc>
        <w:tc>
          <w:tcPr/>
          <w:p>
            <w:pPr>
              <w:pStyle w:val="Compact"/>
              <w:jc w:val="left"/>
            </w:pPr>
            <w:r>
              <w:t xml:space="preserve">Norwegian Maritime Authority 2023 amendment</w:t>
            </w:r>
          </w:p>
        </w:tc>
        <w:tc>
          <w:tcPr/>
          <w:p>
            <w:pPr>
              <w:pStyle w:val="Compact"/>
              <w:jc w:val="left"/>
            </w:pPr>
            <w:r>
              <w:t xml:space="preserve">The cited title was the regulations’ name. The amending instrument is Circular RSR 2-2023</w:t>
            </w:r>
          </w:p>
        </w:tc>
      </w:tr>
      <w:tr>
        <w:tc>
          <w:tcPr/>
          <w:p>
            <w:pPr>
              <w:pStyle w:val="Compact"/>
              <w:jc w:val="left"/>
            </w:pPr>
            <w:r>
              <w:t xml:space="preserve">76</w:t>
            </w:r>
          </w:p>
        </w:tc>
        <w:tc>
          <w:tcPr/>
          <w:p>
            <w:pPr>
              <w:pStyle w:val="Compact"/>
              <w:jc w:val="left"/>
            </w:pPr>
            <w:r>
              <w:t xml:space="preserve">EDPB documents 2026a and 2026b, official titles</w:t>
            </w:r>
          </w:p>
        </w:tc>
        <w:tc>
          <w:tcPr/>
          <w:p>
            <w:pPr>
              <w:pStyle w:val="Compact"/>
              <w:jc w:val="left"/>
            </w:pPr>
            <w:r>
              <w:t xml:space="preserve">Both titles corrected to the Board’s own wording</w:t>
            </w:r>
          </w:p>
        </w:tc>
      </w:tr>
      <w:tr>
        <w:tc>
          <w:tcPr/>
          <w:p>
            <w:pPr>
              <w:pStyle w:val="Compact"/>
              <w:jc w:val="left"/>
            </w:pPr>
            <w:r>
              <w:t xml:space="preserve">77</w:t>
            </w:r>
          </w:p>
        </w:tc>
        <w:tc>
          <w:tcPr/>
          <w:p>
            <w:pPr>
              <w:pStyle w:val="Compact"/>
              <w:jc w:val="left"/>
            </w:pPr>
            <w:r>
              <w:t xml:space="preserve">Remaining institutional and standards sources: Datatilsynet, Folkehelseinstituttet, Forskningsetikk, Helse- og omsorgsdepartementet, Stortinget, HL7 Norway, NORTRE, ICC, Berngaard, OneUptime, Healthy Europe, Ernst &amp; Young, GDPR</w:t>
            </w:r>
          </w:p>
        </w:tc>
        <w:tc>
          <w:tcPr/>
          <w:p>
            <w:pPr>
              <w:pStyle w:val="Compact"/>
              <w:jc w:val="left"/>
            </w:pPr>
            <w:r>
              <w:t xml:space="preserve">Locators retrieved and matched against title, issuer and year</w:t>
            </w:r>
          </w:p>
        </w:tc>
      </w:tr>
    </w:tbl>
    <w:p>
      <w:pPr>
        <w:pStyle w:val="BodyText"/>
      </w:pPr>
      <w:r>
        <w:rPr>
          <w:iCs/>
          <w:i/>
        </w:rPr>
        <w:t xml:space="preserve">Round 5 outcome: 68 entries with 41 locators became 67 entries with 67 locators. Two</w:t>
      </w:r>
      <w:r>
        <w:rPr>
          <w:iCs/>
          <w:i/>
        </w:rPr>
        <w:t xml:space="preserve"> </w:t>
      </w:r>
      <w:r>
        <w:rPr>
          <w:iCs/>
          <w:i/>
        </w:rPr>
        <w:t xml:space="preserve">entries were removed as documents that do not exist as cited, and six citations were</w:t>
      </w:r>
      <w:r>
        <w:rPr>
          <w:iCs/>
          <w:i/>
        </w:rPr>
        <w:t xml:space="preserve"> </w:t>
      </w:r>
      <w:r>
        <w:rPr>
          <w:iCs/>
          <w:i/>
        </w:rPr>
        <w:t xml:space="preserve">corrected on year, title or author. Nothing was linked that was not retrieved.</w:t>
      </w:r>
    </w:p>
    <w:p>
      <w:r>
        <w:pict>
          <v:rect style="width:0;height:1.5pt" o:hralign="center" o:hrstd="t" o:hr="t"/>
        </w:pict>
      </w:r>
    </w:p>
    <w:p>
      <w:pPr>
        <w:pStyle w:val="FirstParagraph"/>
      </w:pPr>
      <w:r>
        <w:rPr>
          <w:iCs/>
          <w:i/>
        </w:rPr>
        <w:t xml:space="preserve">Total distinct queries logged: 59 discovery and verification queries across four rounds, plus 18 locator verifications in round 5.</w:t>
      </w:r>
    </w:p>
    <w:bookmarkEnd w:id="136"/>
    <w:bookmarkStart w:id="137" w:name="note-on-coverage"/>
    <w:p>
      <w:pPr>
        <w:pStyle w:val="Heading2"/>
      </w:pPr>
      <w:r>
        <w:t xml:space="preserve">Note on coverage</w:t>
      </w:r>
    </w:p>
    <w:p>
      <w:pPr>
        <w:pStyle w:val="FirstParagraph"/>
      </w:pPr>
      <w:r>
        <w:t xml:space="preserve">The log records queries executed through the review’s search tooling. Two categories of source entered the review by other routes and are noted here so that the log is not read as exhaustive of how sources were found.</w:t>
      </w:r>
    </w:p>
    <w:p>
      <w:pPr>
        <w:pStyle w:val="BodyText"/>
      </w:pPr>
      <w:r>
        <w:t xml:space="preserve">Backward snowballing from reference lists supplied several sources, including the Camenisch and Lysyanskaya accumulator work and the Benaloh and de Mare original, which were reached from Ren’s survey rather than by query.</w:t>
      </w:r>
    </w:p>
    <w:p>
      <w:pPr>
        <w:pStyle w:val="BodyText"/>
      </w:pPr>
      <w:r>
        <w:t xml:space="preserve">The closest prior art, the DePaul retention-and-purging programme and United States Patent 12,425,209, was located during the adversarial round 4 through patent-database searching, which sits outside the query tooling this log records. That search is noted here rather than omitted, because a log claiming completeness while containing no query capable of finding the most important prior-art item in the review would misrepresent itself.</w:t>
      </w:r>
    </w:p>
    <w:p>
      <w:r>
        <w:pict>
          <v:rect style="width:0;height:1.5pt" o:hralign="center" o:hrstd="t" o:hr="t"/>
        </w:pict>
      </w:r>
    </w:p>
    <w:bookmarkEnd w:id="137"/>
    <w:bookmarkEnd w:id="138"/>
    <w:bookmarkStart w:id="158" w:name="appendix-c.-expert-evaluation-instrument"/>
    <w:p>
      <w:pPr>
        <w:pStyle w:val="Heading1"/>
      </w:pPr>
      <w:r>
        <w:t xml:space="preserve">Appendix C. Expert Evaluation Instrument</w:t>
      </w:r>
    </w:p>
    <w:p>
      <w:pPr>
        <w:pStyle w:val="FirstParagraph"/>
      </w:pPr>
      <w:r>
        <w:rPr>
          <w:iCs/>
          <w:i/>
        </w:rPr>
        <w:t xml:space="preserve">(v1, 18 September 2026. The instrument specified here was designed following supervisory feedback of September 2026 and constitutes the evaluation design for the next iteration of the design science cycle. Its execution status is stated in Chapter 3, Section 3.8.</w:t>
      </w:r>
      <w:r>
        <w:rPr>
          <w:iCs/>
          <w:i/>
        </w:rPr>
        <w:t xml:space="preserve"> </w:t>
      </w:r>
      <w:r>
        <w:rPr>
          <w:bCs/>
          <w:b/>
          <w:iCs/>
          <w:i/>
        </w:rPr>
        <w:t xml:space="preserve">This is a design, not a fielded instrument. Section C.1a states what is expected to change once it meets real respondents.</w:t>
      </w:r>
      <w:r>
        <w:rPr>
          <w:iCs/>
          <w:i/>
        </w:rPr>
        <w:t xml:space="preserve">)</w:t>
      </w:r>
    </w:p>
    <w:p>
      <w:r>
        <w:pict>
          <v:rect style="width:0;height:1.5pt" o:hralign="center" o:hrstd="t" o:hr="t"/>
        </w:pict>
      </w:r>
    </w:p>
    <w:bookmarkStart w:id="139" w:name="c.1-purpose-and-status"/>
    <w:p>
      <w:pPr>
        <w:pStyle w:val="Heading2"/>
      </w:pPr>
      <w:r>
        <w:t xml:space="preserve">C.1 Purpose and status</w:t>
      </w:r>
    </w:p>
    <w:p>
      <w:pPr>
        <w:pStyle w:val="FirstParagraph"/>
      </w:pPr>
      <w:r>
        <w:t xml:space="preserve">Chapter 3, Section 3.7 sets out the analytical evaluation strategy adopted for this thesis: internal validity through logical consistency and executable checking, external validity through compatibility analysis against verified infrastructure, and reliability through deterministic execution. That strategy evaluates the artefact against the objectives stated in Chapter 1, Section 1.3, and it is the evaluation the thesis reports.</w:t>
      </w:r>
    </w:p>
    <w:p>
      <w:pPr>
        <w:pStyle w:val="BodyText"/>
      </w:pPr>
      <w:r>
        <w:t xml:space="preserve">It does not collect stakeholder input. Design Science Research as elaborated by Hevner, March, Park, and Ram (2004) and Peffers, Tuunanen, Rothenberger, and Chatterjee (2007) treats evaluation as an activity that may be conducted through several methods, of which expert assessment is one, and a specification-and-demonstration study of the kind reported here frequently designs the evaluation that a subsequent cycle executes. This appendix is that design.</w:t>
      </w:r>
    </w:p>
    <w:p>
      <w:pPr>
        <w:pStyle w:val="BodyText"/>
      </w:pPr>
      <w:r>
        <w:t xml:space="preserve">The instrument is specified in sufficient detail to be executed without further design work: panel composition and recruitment approach, session structure, demonstration script, semi-structured interview guide, a closed-response questionnaire, the analysis approach, and the data-protection arrangements execution would require. The four closed-response dimensions follow the structure proposed in supervisory feedback and are reproduced with their anchor statements intact.</w:t>
      </w:r>
    </w:p>
    <w:p>
      <w:r>
        <w:pict>
          <v:rect style="width:0;height:1.5pt" o:hralign="center" o:hrstd="t" o:hr="t"/>
        </w:pict>
      </w:r>
    </w:p>
    <w:bookmarkEnd w:id="139"/>
    <w:bookmarkStart w:id="140" w:name="Xb9c564999ec60add1a78f92c409131973200637"/>
    <w:p>
      <w:pPr>
        <w:pStyle w:val="Heading2"/>
      </w:pPr>
      <w:r>
        <w:t xml:space="preserve">C.1a Status of this instrument, and what is expected to change</w:t>
      </w:r>
    </w:p>
    <w:p>
      <w:pPr>
        <w:pStyle w:val="FirstParagraph"/>
      </w:pPr>
      <w:r>
        <w:t xml:space="preserve">An instrument that has never been administered is a hypothesis about what respondents will</w:t>
      </w:r>
      <w:r>
        <w:t xml:space="preserve"> </w:t>
      </w:r>
      <w:r>
        <w:t xml:space="preserve">understand, not a measurement device. This one has been reviewed by a supervisor and</w:t>
      </w:r>
      <w:r>
        <w:t xml:space="preserve"> </w:t>
      </w:r>
      <w:r>
        <w:t xml:space="preserve">reasoned through against the thesis’s claims; it has not been piloted, and no respondent</w:t>
      </w:r>
      <w:r>
        <w:t xml:space="preserve"> </w:t>
      </w:r>
      <w:r>
        <w:t xml:space="preserve">has yet tried to answer it. The distinction matters for how its results should be read if</w:t>
      </w:r>
      <w:r>
        <w:t xml:space="preserve"> </w:t>
      </w:r>
      <w:r>
        <w:t xml:space="preserve">it is executed, and it is stated here rather than discovered afterwards.</w:t>
      </w:r>
    </w:p>
    <w:p>
      <w:pPr>
        <w:pStyle w:val="BodyText"/>
      </w:pPr>
      <w:r>
        <w:t xml:space="preserve">The following are expected to change, and changing them would not constitute a departure</w:t>
      </w:r>
      <w:r>
        <w:t xml:space="preserve"> </w:t>
      </w:r>
      <w:r>
        <w:t xml:space="preserve">from the design:</w:t>
      </w:r>
    </w:p>
    <w:p>
      <w:pPr>
        <w:pStyle w:val="BodyText"/>
      </w:pPr>
      <w:r>
        <w:rPr>
          <w:iCs/>
          <w:i/>
        </w:rPr>
        <w:t xml:space="preserve">Wording of the closed-response items.</w:t>
      </w:r>
      <w:r>
        <w:t xml:space="preserve"> </w:t>
      </w:r>
      <w:r>
        <w:t xml:space="preserve">The four dimensions and their anchor statements are</w:t>
      </w:r>
      <w:r>
        <w:t xml:space="preserve"> </w:t>
      </w:r>
      <w:r>
        <w:t xml:space="preserve">reproduced as proposed in supervisory feedback, with one already known to overstate what</w:t>
      </w:r>
      <w:r>
        <w:t xml:space="preserve"> </w:t>
      </w:r>
      <w:r>
        <w:t xml:space="preserve">the thesis claims: item A1 asserts that the mechanism gives auditors</w:t>
      </w:r>
      <w:r>
        <w:t xml:space="preserve"> </w:t>
      </w:r>
      <w:r>
        <w:rPr>
          <w:iCs/>
          <w:i/>
        </w:rPr>
        <w:t xml:space="preserve">full confidence</w:t>
      </w:r>
      <w:r>
        <w:t xml:space="preserve">,</w:t>
      </w:r>
      <w:r>
        <w:t xml:space="preserve"> </w:t>
      </w:r>
      <w:r>
        <w:t xml:space="preserve">which Chapter 6, Section 6.3 explicitly does not claim. It is retained verbatim because it</w:t>
      </w:r>
      <w:r>
        <w:t xml:space="preserve"> </w:t>
      </w:r>
      <w:r>
        <w:t xml:space="preserve">was proposed as the anchor and because silently correcting a supervisor’s wording would</w:t>
      </w:r>
      <w:r>
        <w:t xml:space="preserve"> </w:t>
      </w:r>
      <w:r>
        <w:t xml:space="preserve">misrepresent the record. A pilot is the proper place to resolve it.</w:t>
      </w:r>
    </w:p>
    <w:p>
      <w:pPr>
        <w:pStyle w:val="BodyText"/>
      </w:pPr>
      <w:r>
        <w:rPr>
          <w:iCs/>
          <w:i/>
        </w:rPr>
        <w:t xml:space="preserve">The panel.</w:t>
      </w:r>
      <w:r>
        <w:t xml:space="preserve"> </w:t>
      </w:r>
      <w:r>
        <w:t xml:space="preserve">Eight participants across four perspectives is a target, not a recruitment</w:t>
      </w:r>
      <w:r>
        <w:t xml:space="preserve"> </w:t>
      </w:r>
      <w:r>
        <w:t xml:space="preserve">outcome. Norwegian health-data governance is a small professional community and some of</w:t>
      </w:r>
      <w:r>
        <w:t xml:space="preserve"> </w:t>
      </w:r>
      <w:r>
        <w:t xml:space="preserve">the roles sought are held by very few people. If a perspective cannot be filled, the</w:t>
      </w:r>
      <w:r>
        <w:t xml:space="preserve"> </w:t>
      </w:r>
      <w:r>
        <w:t xml:space="preserve">analysis reports which voice is missing rather than redistributing its weight silently.</w:t>
      </w:r>
    </w:p>
    <w:p>
      <w:pPr>
        <w:pStyle w:val="BodyText"/>
      </w:pPr>
      <w:r>
        <w:rPr>
          <w:iCs/>
          <w:i/>
        </w:rPr>
        <w:t xml:space="preserve">Session length and the demonstration script.</w:t>
      </w:r>
      <w:r>
        <w:t xml:space="preserve"> </w:t>
      </w:r>
      <w:r>
        <w:t xml:space="preserve">Forty-five minutes is an estimate. The</w:t>
      </w:r>
      <w:r>
        <w:t xml:space="preserve"> </w:t>
      </w:r>
      <w:r>
        <w:t xml:space="preserve">demonstration walks through a live artefact, and the first session will establish whether</w:t>
      </w:r>
      <w:r>
        <w:t xml:space="preserve"> </w:t>
      </w:r>
      <w:r>
        <w:t xml:space="preserve">the script fits the time or whether the closed-response section must move to a follow-up.</w:t>
      </w:r>
    </w:p>
    <w:p>
      <w:pPr>
        <w:pStyle w:val="BodyText"/>
      </w:pPr>
      <w:r>
        <w:rPr>
          <w:iCs/>
          <w:i/>
        </w:rPr>
        <w:t xml:space="preserve">The coding frame.</w:t>
      </w:r>
      <w:r>
        <w:t xml:space="preserve"> </w:t>
      </w:r>
      <w:r>
        <w:t xml:space="preserve">The three areas derived from supervisory feedback (legal defensibility,</w:t>
      </w:r>
      <w:r>
        <w:t xml:space="preserve"> </w:t>
      </w:r>
      <w:r>
        <w:t xml:space="preserve">key custody and trust assumptions, operational viability) carry an open category precisely</w:t>
      </w:r>
      <w:r>
        <w:t xml:space="preserve"> </w:t>
      </w:r>
      <w:r>
        <w:t xml:space="preserve">because the frame is expected to be incomplete. Themes that recur outside it are a finding</w:t>
      </w:r>
      <w:r>
        <w:t xml:space="preserve"> </w:t>
      </w:r>
      <w:r>
        <w:t xml:space="preserve">about the frame, not noise to be forced into it.</w:t>
      </w:r>
    </w:p>
    <w:p>
      <w:pPr>
        <w:pStyle w:val="BodyText"/>
      </w:pPr>
      <w:r>
        <w:rPr>
          <w:iCs/>
          <w:i/>
        </w:rPr>
        <w:t xml:space="preserve">What would not change.</w:t>
      </w:r>
      <w:r>
        <w:t xml:space="preserve"> </w:t>
      </w:r>
      <w:r>
        <w:t xml:space="preserve">The instrument’s purpose is to test whether practitioners find the</w:t>
      </w:r>
      <w:r>
        <w:t xml:space="preserve"> </w:t>
      </w:r>
      <w:r>
        <w:t xml:space="preserve">artefact defensible, not to elicit endorsement. Items are not to be reworded toward</w:t>
      </w:r>
      <w:r>
        <w:t xml:space="preserve"> </w:t>
      </w:r>
      <w:r>
        <w:t xml:space="preserve">agreement if early responses are unfavourable, and an unfavourable result is reportable as</w:t>
      </w:r>
      <w:r>
        <w:t xml:space="preserve"> </w:t>
      </w:r>
      <w:r>
        <w:t xml:space="preserve">a result. Any revision made after piloting is to be recorded with its reason, and the</w:t>
      </w:r>
      <w:r>
        <w:t xml:space="preserve"> </w:t>
      </w:r>
      <w:r>
        <w:t xml:space="preserve">version of the instrument actually administered is to be reproduced in the thesis that</w:t>
      </w:r>
      <w:r>
        <w:t xml:space="preserve"> </w:t>
      </w:r>
      <w:r>
        <w:t xml:space="preserve">reports it, rather than this one.</w:t>
      </w:r>
    </w:p>
    <w:p>
      <w:pPr>
        <w:pStyle w:val="BodyText"/>
      </w:pPr>
      <w:r>
        <w:t xml:space="preserve">Should the evaluation be executed, this appendix stands as the pre-registered design</w:t>
      </w:r>
      <w:r>
        <w:t xml:space="preserve"> </w:t>
      </w:r>
      <w:r>
        <w:t xml:space="preserve">against which any subsequent version can be compared.</w:t>
      </w:r>
    </w:p>
    <w:p>
      <w:r>
        <w:pict>
          <v:rect style="width:0;height:1.5pt" o:hralign="center" o:hrstd="t" o:hr="t"/>
        </w:pict>
      </w:r>
    </w:p>
    <w:bookmarkEnd w:id="140"/>
    <w:bookmarkStart w:id="141" w:name="c.2-panel-composition"/>
    <w:p>
      <w:pPr>
        <w:pStyle w:val="Heading2"/>
      </w:pPr>
      <w:r>
        <w:t xml:space="preserve">C.2 Panel composition</w:t>
      </w:r>
    </w:p>
    <w:p>
      <w:pPr>
        <w:pStyle w:val="FirstParagraph"/>
      </w:pPr>
      <w:r>
        <w:t xml:space="preserve">Eight participants across four perspectives, two in each, chosen so that no single professional viewpoint dominates and so that legal, architectural, operational, and disciplinary assessments are each represented by more than one voice.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Perspective</w:t>
            </w:r>
          </w:p>
        </w:tc>
        <w:tc>
          <w:tcPr/>
          <w:p>
            <w:pPr>
              <w:pStyle w:val="Compact"/>
              <w:jc w:val="left"/>
            </w:pPr>
            <w:r>
              <w:t xml:space="preserve">Profile sought</w:t>
            </w:r>
          </w:p>
        </w:tc>
        <w:tc>
          <w:tcPr/>
          <w:p>
            <w:pPr>
              <w:pStyle w:val="Compact"/>
              <w:jc w:val="left"/>
            </w:pPr>
            <w:r>
              <w:t xml:space="preserve">Assesses</w:t>
            </w:r>
          </w:p>
        </w:tc>
      </w:tr>
      <w:tr>
        <w:tc>
          <w:tcPr/>
          <w:p>
            <w:pPr>
              <w:pStyle w:val="Compact"/>
              <w:jc w:val="left"/>
            </w:pPr>
            <w:r>
              <w:t xml:space="preserve">P1, P2</w:t>
            </w:r>
          </w:p>
        </w:tc>
        <w:tc>
          <w:tcPr/>
          <w:p>
            <w:pPr>
              <w:pStyle w:val="Compact"/>
              <w:jc w:val="left"/>
            </w:pPr>
            <w:r>
              <w:t xml:space="preserve">Data protection</w:t>
            </w:r>
          </w:p>
        </w:tc>
        <w:tc>
          <w:tcPr/>
          <w:p>
            <w:pPr>
              <w:pStyle w:val="Compact"/>
              <w:jc w:val="left"/>
            </w:pPr>
            <w:r>
              <w:t xml:space="preserve">Data Protection Officer or privacy counsel in a Norwegian health or research institution</w:t>
            </w:r>
          </w:p>
        </w:tc>
        <w:tc>
          <w:tcPr/>
          <w:p>
            <w:pPr>
              <w:pStyle w:val="Compact"/>
              <w:jc w:val="left"/>
            </w:pPr>
            <w:r>
              <w:t xml:space="preserve">Whether invalidation is defensible as satisfying retention; whether the surviving residue clears the anonymity threshold; the Article 68(12) scope question</w:t>
            </w:r>
          </w:p>
        </w:tc>
      </w:tr>
      <w:tr>
        <w:tc>
          <w:tcPr/>
          <w:p>
            <w:pPr>
              <w:pStyle w:val="Compact"/>
              <w:jc w:val="left"/>
            </w:pPr>
            <w:r>
              <w:t xml:space="preserve">P3, P4</w:t>
            </w:r>
          </w:p>
        </w:tc>
        <w:tc>
          <w:tcPr/>
          <w:p>
            <w:pPr>
              <w:pStyle w:val="Compact"/>
              <w:jc w:val="left"/>
            </w:pPr>
            <w:r>
              <w:t xml:space="preserve">Health IT architecture</w:t>
            </w:r>
          </w:p>
        </w:tc>
        <w:tc>
          <w:tcPr/>
          <w:p>
            <w:pPr>
              <w:pStyle w:val="Compact"/>
              <w:jc w:val="left"/>
            </w:pPr>
            <w:r>
              <w:t xml:space="preserve">Architect or senior engineer at Norsk Helsenett or Helsedataservice with NCPeH or HDAB exposure</w:t>
            </w:r>
          </w:p>
        </w:tc>
        <w:tc>
          <w:tcPr/>
          <w:p>
            <w:pPr>
              <w:pStyle w:val="Compact"/>
              <w:jc w:val="left"/>
            </w:pPr>
            <w:r>
              <w:t xml:space="preserve">Whether the mechanism attaches at the right boundary; interoperability consequences; effect on the OpenNCP transmission flow</w:t>
            </w:r>
          </w:p>
        </w:tc>
      </w:tr>
      <w:tr>
        <w:tc>
          <w:tcPr/>
          <w:p>
            <w:pPr>
              <w:pStyle w:val="Compact"/>
              <w:jc w:val="left"/>
            </w:pPr>
            <w:r>
              <w:t xml:space="preserve">P5, P6</w:t>
            </w:r>
          </w:p>
        </w:tc>
        <w:tc>
          <w:tcPr/>
          <w:p>
            <w:pPr>
              <w:pStyle w:val="Compact"/>
              <w:jc w:val="left"/>
            </w:pPr>
            <w:r>
              <w:t xml:space="preserve">Secure Processing Environment operation</w:t>
            </w:r>
          </w:p>
        </w:tc>
        <w:tc>
          <w:tcPr/>
          <w:p>
            <w:pPr>
              <w:pStyle w:val="Compact"/>
              <w:jc w:val="left"/>
            </w:pPr>
            <w:r>
              <w:t xml:space="preserve">Operator or technical lead at a NORTRE node (TSD, SAFE, or HUNT Cloud)</w:t>
            </w:r>
          </w:p>
        </w:tc>
        <w:tc>
          <w:tcPr/>
          <w:p>
            <w:pPr>
              <w:pStyle w:val="Compact"/>
              <w:jc w:val="left"/>
            </w:pPr>
            <w:r>
              <w:t xml:space="preserve">Key custody in practice; operational burden of per-record granularity; single-point-of-failure risk absent hardware security modules</w:t>
            </w:r>
          </w:p>
        </w:tc>
      </w:tr>
      <w:tr>
        <w:tc>
          <w:tcPr/>
          <w:p>
            <w:pPr>
              <w:pStyle w:val="Compact"/>
              <w:jc w:val="left"/>
            </w:pPr>
            <w:r>
              <w:t xml:space="preserve">P7, P8</w:t>
            </w:r>
          </w:p>
        </w:tc>
        <w:tc>
          <w:tcPr/>
          <w:p>
            <w:pPr>
              <w:pStyle w:val="Compact"/>
              <w:jc w:val="left"/>
            </w:pPr>
            <w:r>
              <w:t xml:space="preserve">Information logistics</w:t>
            </w:r>
          </w:p>
        </w:tc>
        <w:tc>
          <w:tcPr/>
          <w:p>
            <w:pPr>
              <w:pStyle w:val="Compact"/>
              <w:jc w:val="left"/>
            </w:pPr>
            <w:r>
              <w:t xml:space="preserve">Academic or practitioner in logistics or supply-chain compliance</w:t>
            </w:r>
          </w:p>
        </w:tc>
        <w:tc>
          <w:tcPr/>
          <w:p>
            <w:pPr>
              <w:pStyle w:val="Compact"/>
              <w:jc w:val="left"/>
            </w:pPr>
            <w:r>
              <w:t xml:space="preserve">Whether the customs-ledger framing holds; transferability of the tri-lateral structure to other regulated flows</w:t>
            </w:r>
          </w:p>
        </w:tc>
      </w:tr>
    </w:tbl>
    <w:p>
      <w:pPr>
        <w:pStyle w:val="BodyText"/>
      </w:pPr>
      <w:r>
        <w:t xml:space="preserve">Recruitment would proceed by direct approach through institutional channels, with the supervisor’s introduction where available. A minimum of six completed sessions, with at least one from each perspective, would be treated as the threshold for reporting; below that the results would be reported as indicative commentary rather than as evaluation.</w:t>
      </w:r>
    </w:p>
    <w:p>
      <w:r>
        <w:pict>
          <v:rect style="width:0;height:1.5pt" o:hralign="center" o:hrstd="t" o:hr="t"/>
        </w:pict>
      </w:r>
    </w:p>
    <w:bookmarkEnd w:id="141"/>
    <w:bookmarkStart w:id="142" w:name="c.3-session-structure"/>
    <w:p>
      <w:pPr>
        <w:pStyle w:val="Heading2"/>
      </w:pPr>
      <w:r>
        <w:t xml:space="preserve">C.3 Session structure</w:t>
      </w:r>
    </w:p>
    <w:p>
      <w:pPr>
        <w:pStyle w:val="FirstParagraph"/>
      </w:pPr>
      <w:r>
        <w:t xml:space="preserve">Forty-five minutes, conducted in Norwegian or English at the participant’s preference, remotely or in person.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Minutes</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0–5</w:t>
            </w:r>
          </w:p>
        </w:tc>
        <w:tc>
          <w:tcPr/>
          <w:p>
            <w:pPr>
              <w:pStyle w:val="Compact"/>
              <w:jc w:val="left"/>
            </w:pPr>
            <w:r>
              <w:t xml:space="preserve">Framing</w:t>
            </w:r>
          </w:p>
        </w:tc>
        <w:tc>
          <w:tcPr/>
          <w:p>
            <w:pPr>
              <w:pStyle w:val="Compact"/>
              <w:jc w:val="left"/>
            </w:pPr>
            <w:r>
              <w:t xml:space="preserve">Purpose, voluntariness, recording and anonymity arrangements, participant’s right to withdraw. No thesis conclusions stated at this point.</w:t>
            </w:r>
          </w:p>
        </w:tc>
      </w:tr>
      <w:tr>
        <w:tc>
          <w:tcPr/>
          <w:p>
            <w:pPr>
              <w:pStyle w:val="Compact"/>
              <w:jc w:val="left"/>
            </w:pPr>
            <w:r>
              <w:t xml:space="preserve">5–12</w:t>
            </w:r>
          </w:p>
        </w:tc>
        <w:tc>
          <w:tcPr/>
          <w:p>
            <w:pPr>
              <w:pStyle w:val="Compact"/>
              <w:jc w:val="left"/>
            </w:pPr>
            <w:r>
              <w:t xml:space="preserve">Problem presentation</w:t>
            </w:r>
          </w:p>
        </w:tc>
        <w:tc>
          <w:tcPr/>
          <w:p>
            <w:pPr>
              <w:pStyle w:val="Compact"/>
              <w:jc w:val="left"/>
            </w:pPr>
            <w:r>
              <w:t xml:space="preserve">The three retention regimes and their sources, presented from the primary instruments without the thesis’s resolution. Participants are asked how their institution currently handles the conflict, before being shown any proposed answer.</w:t>
            </w:r>
          </w:p>
        </w:tc>
      </w:tr>
      <w:tr>
        <w:tc>
          <w:tcPr/>
          <w:p>
            <w:pPr>
              <w:pStyle w:val="Compact"/>
              <w:jc w:val="left"/>
            </w:pPr>
            <w:r>
              <w:t xml:space="preserve">12–22</w:t>
            </w:r>
          </w:p>
        </w:tc>
        <w:tc>
          <w:tcPr/>
          <w:p>
            <w:pPr>
              <w:pStyle w:val="Compact"/>
              <w:jc w:val="left"/>
            </w:pPr>
            <w:r>
              <w:t xml:space="preserve">Demonstration</w:t>
            </w:r>
          </w:p>
        </w:tc>
        <w:tc>
          <w:tcPr/>
          <w:p>
            <w:pPr>
              <w:pStyle w:val="Compact"/>
              <w:jc w:val="left"/>
            </w:pPr>
            <w:r>
              <w:t xml:space="preserve">Live execution of the feasibility checker (Section C.4).</w:t>
            </w:r>
          </w:p>
        </w:tc>
      </w:tr>
      <w:tr>
        <w:tc>
          <w:tcPr/>
          <w:p>
            <w:pPr>
              <w:pStyle w:val="Compact"/>
              <w:jc w:val="left"/>
            </w:pPr>
            <w:r>
              <w:t xml:space="preserve">22–35</w:t>
            </w:r>
          </w:p>
        </w:tc>
        <w:tc>
          <w:tcPr/>
          <w:p>
            <w:pPr>
              <w:pStyle w:val="Compact"/>
              <w:jc w:val="left"/>
            </w:pPr>
            <w:r>
              <w:t xml:space="preserve">Semi-structured discussion</w:t>
            </w:r>
          </w:p>
        </w:tc>
        <w:tc>
          <w:tcPr/>
          <w:p>
            <w:pPr>
              <w:pStyle w:val="Compact"/>
              <w:jc w:val="left"/>
            </w:pPr>
            <w:r>
              <w:t xml:space="preserve">Interview guide, Section C.5.</w:t>
            </w:r>
          </w:p>
        </w:tc>
      </w:tr>
      <w:tr>
        <w:tc>
          <w:tcPr/>
          <w:p>
            <w:pPr>
              <w:pStyle w:val="Compact"/>
              <w:jc w:val="left"/>
            </w:pPr>
            <w:r>
              <w:t xml:space="preserve">35–43</w:t>
            </w:r>
          </w:p>
        </w:tc>
        <w:tc>
          <w:tcPr/>
          <w:p>
            <w:pPr>
              <w:pStyle w:val="Compact"/>
              <w:jc w:val="left"/>
            </w:pPr>
            <w:r>
              <w:t xml:space="preserve">Closed-response instrument</w:t>
            </w:r>
          </w:p>
        </w:tc>
        <w:tc>
          <w:tcPr/>
          <w:p>
            <w:pPr>
              <w:pStyle w:val="Compact"/>
              <w:jc w:val="left"/>
            </w:pPr>
            <w:r>
              <w:t xml:space="preserve">Questionnaire, Section C.6, completed by the participant.</w:t>
            </w:r>
          </w:p>
        </w:tc>
      </w:tr>
      <w:tr>
        <w:tc>
          <w:tcPr/>
          <w:p>
            <w:pPr>
              <w:pStyle w:val="Compact"/>
              <w:jc w:val="left"/>
            </w:pPr>
            <w:r>
              <w:t xml:space="preserve">43–45</w:t>
            </w:r>
          </w:p>
        </w:tc>
        <w:tc>
          <w:tcPr/>
          <w:p>
            <w:pPr>
              <w:pStyle w:val="Compact"/>
              <w:jc w:val="left"/>
            </w:pPr>
            <w:r>
              <w:t xml:space="preserve">Close</w:t>
            </w:r>
          </w:p>
        </w:tc>
        <w:tc>
          <w:tcPr/>
          <w:p>
            <w:pPr>
              <w:pStyle w:val="Compact"/>
              <w:jc w:val="left"/>
            </w:pPr>
            <w:r>
              <w:t xml:space="preserve">Opportunity to add anything not asked; follow-up arrangements.</w:t>
            </w:r>
          </w:p>
        </w:tc>
      </w:tr>
    </w:tbl>
    <w:p>
      <w:pPr>
        <w:pStyle w:val="BodyText"/>
      </w:pPr>
      <w:r>
        <w:t xml:space="preserve">The ordering is deliberate. Participants describe current practice before seeing the proposed mechanism, so that their account of the status quo is not shaped by the solution. The closed-response instrument follows the open discussion so that numerical responses are informed rather than first impressions.</w:t>
      </w:r>
    </w:p>
    <w:p>
      <w:r>
        <w:pict>
          <v:rect style="width:0;height:1.5pt" o:hralign="center" o:hrstd="t" o:hr="t"/>
        </w:pict>
      </w:r>
    </w:p>
    <w:bookmarkEnd w:id="142"/>
    <w:bookmarkStart w:id="143" w:name="c.4-demonstration-script"/>
    <w:p>
      <w:pPr>
        <w:pStyle w:val="Heading2"/>
      </w:pPr>
      <w:r>
        <w:t xml:space="preserve">C.4 Demonstration script</w:t>
      </w:r>
    </w:p>
    <w:p>
      <w:pPr>
        <w:pStyle w:val="FirstParagraph"/>
      </w:pPr>
      <w:r>
        <w:t xml:space="preserve">The demonstration runs the artefact rather than describing it. Approximately ten minutes.</w:t>
      </w:r>
    </w:p>
    <w:p>
      <w:pPr>
        <w:numPr>
          <w:ilvl w:val="0"/>
          <w:numId w:val="1012"/>
        </w:numPr>
        <w:pStyle w:val="Compact"/>
      </w:pPr>
      <w:r>
        <w:rPr>
          <w:iCs/>
          <w:i/>
        </w:rPr>
        <w:t xml:space="preserve">Show the record structure.</w:t>
      </w:r>
      <w:r>
        <w:t xml:space="preserve"> </w:t>
      </w:r>
      <w:r>
        <w:t xml:space="preserve">One audit record: metadata, payload, commitment, key. Identify which parts the accountability purpose needs and which it does not.</w:t>
      </w:r>
    </w:p>
    <w:p>
      <w:pPr>
        <w:numPr>
          <w:ilvl w:val="0"/>
          <w:numId w:val="1012"/>
        </w:numPr>
        <w:pStyle w:val="Compact"/>
      </w:pPr>
      <w:r>
        <w:rPr>
          <w:iCs/>
          <w:i/>
        </w:rPr>
        <w:t xml:space="preserve">Run the checker under plaintext semantics.</w:t>
      </w:r>
      <w:r>
        <w:t xml:space="preserve"> </w:t>
      </w:r>
      <w:r>
        <w:rPr>
          <w:rStyle w:val="VerbatimChar"/>
        </w:rPr>
        <w:t xml:space="preserve">python3 trf_checker.py</w:t>
      </w:r>
      <w:r>
        <w:t xml:space="preserve">. Show the output: ninety-five violations across ninety of two hundred records. Open one witness line and walk through the arithmetic: the collision month, the two constraints, the window.</w:t>
      </w:r>
    </w:p>
    <w:p>
      <w:pPr>
        <w:numPr>
          <w:ilvl w:val="0"/>
          <w:numId w:val="1012"/>
        </w:numPr>
        <w:pStyle w:val="Compact"/>
      </w:pPr>
      <w:r>
        <w:rPr>
          <w:iCs/>
          <w:i/>
        </w:rPr>
        <w:t xml:space="preserve">Isolate the Corollary 1.2 cases.</w:t>
      </w:r>
      <w:r>
        <w:t xml:space="preserve"> </w:t>
      </w:r>
      <w:r>
        <w:t xml:space="preserve">Thirty-nine Secure Processing Environment records with no erasure request at all. Show record 100: created month 7, permit expires month 10, ceiling from month 16, floor to month 19. State the interpretive condition (Chapter 4, Section 4.6) explicitly rather than glossing it.</w:t>
      </w:r>
    </w:p>
    <w:p>
      <w:pPr>
        <w:numPr>
          <w:ilvl w:val="0"/>
          <w:numId w:val="1012"/>
        </w:numPr>
        <w:pStyle w:val="Compact"/>
      </w:pPr>
      <w:r>
        <w:rPr>
          <w:iCs/>
          <w:i/>
        </w:rPr>
        <w:t xml:space="preserve">Show the exhaustive cross-check.</w:t>
      </w:r>
      <w:r>
        <w:t xml:space="preserve"> </w:t>
      </w:r>
      <w:r>
        <w:t xml:space="preserve">Sixteen thousand three hundred and eighty-four assignments per case; no satisfying assignment in the three conflict cases; the control case passes.</w:t>
      </w:r>
    </w:p>
    <w:p>
      <w:pPr>
        <w:numPr>
          <w:ilvl w:val="0"/>
          <w:numId w:val="1012"/>
        </w:numPr>
        <w:pStyle w:val="Compact"/>
      </w:pPr>
      <w:r>
        <w:rPr>
          <w:iCs/>
          <w:i/>
        </w:rPr>
        <w:t xml:space="preserve">Run under invalidation semantics.</w:t>
      </w:r>
      <w:r>
        <w:t xml:space="preserve"> </w:t>
      </w:r>
      <w:r>
        <w:t xml:space="preserve">Zero violations. Show the auditor’s view of record 100 after invalidation: metadata intact, commitment present, key destroyed, invalidation entry with month and legal ground, payload unreadable.</w:t>
      </w:r>
    </w:p>
    <w:p>
      <w:pPr>
        <w:numPr>
          <w:ilvl w:val="0"/>
          <w:numId w:val="1012"/>
        </w:numPr>
        <w:pStyle w:val="Compact"/>
      </w:pPr>
      <w:r>
        <w:rPr>
          <w:iCs/>
          <w:i/>
        </w:rPr>
        <w:t xml:space="preserve">State the limits before being asked.</w:t>
      </w:r>
      <w:r>
        <w:t xml:space="preserve"> </w:t>
      </w:r>
      <w:r>
        <w:t xml:space="preserve">Key destruction is simulated in program state; the invalidation entry is an attestation, not a proof; no National Contact Point is connected; no performance claim is made.</w:t>
      </w:r>
    </w:p>
    <w:p>
      <w:pPr>
        <w:pStyle w:val="FirstParagraph"/>
      </w:pPr>
      <w:r>
        <w:t xml:space="preserve">Step 6 is not optional. A demonstration that presents only strengths invites participants to spend their time finding the weaknesses instead of assessing the design.</w:t>
      </w:r>
    </w:p>
    <w:p>
      <w:r>
        <w:pict>
          <v:rect style="width:0;height:1.5pt" o:hralign="center" o:hrstd="t" o:hr="t"/>
        </w:pict>
      </w:r>
    </w:p>
    <w:bookmarkEnd w:id="143"/>
    <w:bookmarkStart w:id="148" w:name="c.5-semi-structured-interview-guide"/>
    <w:p>
      <w:pPr>
        <w:pStyle w:val="Heading2"/>
      </w:pPr>
      <w:r>
        <w:t xml:space="preserve">C.5 Semi-structured interview guide</w:t>
      </w:r>
    </w:p>
    <w:p>
      <w:pPr>
        <w:pStyle w:val="FirstParagraph"/>
      </w:pPr>
      <w:r>
        <w:t xml:space="preserve">Thirteen questions across four themes. Prompts are used only where a participant’s answer is brief; the guide is not a script to be read verbatim.</w:t>
      </w:r>
    </w:p>
    <w:bookmarkStart w:id="144" w:name="current-practice-and-problem-recognition"/>
    <w:p>
      <w:pPr>
        <w:pStyle w:val="Heading3"/>
      </w:pPr>
      <w:r>
        <w:t xml:space="preserve">Current practice and problem recognition</w:t>
      </w:r>
    </w:p>
    <w:p>
      <w:pPr>
        <w:numPr>
          <w:ilvl w:val="0"/>
          <w:numId w:val="1013"/>
        </w:numPr>
        <w:pStyle w:val="Compact"/>
      </w:pPr>
      <w:r>
        <w:t xml:space="preserve">How does your institution currently handle a request to erase personal data that is also subject to an audit-retention obligation? Is there a documented position, or is it decided case by case?</w:t>
      </w:r>
    </w:p>
    <w:p>
      <w:pPr>
        <w:numPr>
          <w:ilvl w:val="0"/>
          <w:numId w:val="1013"/>
        </w:numPr>
        <w:pStyle w:val="Compact"/>
      </w:pPr>
      <w:r>
        <w:t xml:space="preserve">Before today, had you encountered the interaction between Article 68(12) and Article 73(1)(e)?</w:t>
      </w:r>
      <w:r>
        <w:t xml:space="preserve"> </w:t>
      </w:r>
      <w:r>
        <w:rPr>
          <w:iCs/>
          <w:i/>
        </w:rPr>
        <w:t xml:space="preserve">(Prompt: if not, does it look like a real problem or an artefact of how it has been presented?)</w:t>
      </w:r>
    </w:p>
    <w:p>
      <w:pPr>
        <w:numPr>
          <w:ilvl w:val="0"/>
          <w:numId w:val="1013"/>
        </w:numPr>
        <w:pStyle w:val="Compact"/>
      </w:pPr>
      <w:r>
        <w:t xml:space="preserve">Where in your organisation would responsibility for resolving this sit?</w:t>
      </w:r>
    </w:p>
    <w:bookmarkEnd w:id="144"/>
    <w:bookmarkStart w:id="145" w:name="legal-defensibility"/>
    <w:p>
      <w:pPr>
        <w:pStyle w:val="Heading3"/>
      </w:pPr>
      <w:r>
        <w:t xml:space="preserve">Legal defensibility</w:t>
      </w:r>
    </w:p>
    <w:p>
      <w:pPr>
        <w:numPr>
          <w:ilvl w:val="0"/>
          <w:numId w:val="1014"/>
        </w:numPr>
        <w:pStyle w:val="Compact"/>
      </w:pPr>
      <w:r>
        <w:t xml:space="preserve">The mechanism treats an audit record as verifiable when its metadata is intact, its commitment survives, and the invalidation is logged: without the payload remaining readable. Is that defensible as satisfying a retention obligation, in your judgement?</w:t>
      </w:r>
    </w:p>
    <w:p>
      <w:pPr>
        <w:numPr>
          <w:ilvl w:val="0"/>
          <w:numId w:val="1014"/>
        </w:numPr>
        <w:pStyle w:val="Compact"/>
      </w:pPr>
      <w:r>
        <w:t xml:space="preserve">What would a supervisory authority need to see before accepting it?</w:t>
      </w:r>
    </w:p>
    <w:p>
      <w:pPr>
        <w:numPr>
          <w:ilvl w:val="0"/>
          <w:numId w:val="1014"/>
        </w:numPr>
        <w:pStyle w:val="Compact"/>
      </w:pPr>
      <w:r>
        <w:t xml:space="preserve">The surviving residue is characterised as pseudonymised rather than anonymous. Does that characterisation match your reading of the Norwegian threshold?</w:t>
      </w:r>
    </w:p>
    <w:p>
      <w:pPr>
        <w:numPr>
          <w:ilvl w:val="0"/>
          <w:numId w:val="1014"/>
        </w:numPr>
        <w:pStyle w:val="Compact"/>
      </w:pPr>
      <w:r>
        <w:t xml:space="preserve">Article 68(12) provides that</w:t>
      </w:r>
      <w:r>
        <w:t xml:space="preserve"> </w:t>
      </w:r>
      <w:r>
        <w:t xml:space="preserve">“</w:t>
      </w:r>
      <w:r>
        <w:t xml:space="preserve">the electronic health data within the secure processing environment shall be deleted within six months of the expiry of the data permit.</w:t>
      </w:r>
      <w:r>
        <w:t xml:space="preserve">”</w:t>
      </w:r>
      <w:r>
        <w:t xml:space="preserve"> </w:t>
      </w:r>
      <w:r>
        <w:t xml:space="preserve">Does that reach access logs kept at patient-record granularity, or only the dataset supplied under the permit? And does auditing</w:t>
      </w:r>
      <w:r>
        <w:t xml:space="preserve"> </w:t>
      </w:r>
      <w:r>
        <w:t xml:space="preserve">“</w:t>
      </w:r>
      <w:r>
        <w:t xml:space="preserve">all processing operations</w:t>
      </w:r>
      <w:r>
        <w:t xml:space="preserve">”</w:t>
      </w:r>
      <w:r>
        <w:t xml:space="preserve"> </w:t>
      </w:r>
      <w:r>
        <w:t xml:space="preserve">under Article 73(1)(e) after that point need the link to the patient, or only the identity of the person who accessed?</w:t>
      </w:r>
    </w:p>
    <w:bookmarkEnd w:id="145"/>
    <w:bookmarkStart w:id="146" w:name="trust-and-key-custody"/>
    <w:p>
      <w:pPr>
        <w:pStyle w:val="Heading3"/>
      </w:pPr>
      <w:r>
        <w:t xml:space="preserve">Trust and key custody</w:t>
      </w:r>
    </w:p>
    <w:p>
      <w:pPr>
        <w:numPr>
          <w:ilvl w:val="0"/>
          <w:numId w:val="1015"/>
        </w:numPr>
        <w:pStyle w:val="Compact"/>
      </w:pPr>
      <w:r>
        <w:t xml:space="preserve">The invalidation entry attests that a key was destroyed; it does not prove it. Is attestation sufficient in your operating context, and if not, what would make it sufficient?</w:t>
      </w:r>
    </w:p>
    <w:p>
      <w:pPr>
        <w:numPr>
          <w:ilvl w:val="0"/>
          <w:numId w:val="1015"/>
        </w:numPr>
        <w:pStyle w:val="Compact"/>
      </w:pPr>
      <w:r>
        <w:t xml:space="preserve">Where would key custody sit in your architecture, and what failure modes concern you most?</w:t>
      </w:r>
    </w:p>
    <w:p>
      <w:pPr>
        <w:numPr>
          <w:ilvl w:val="0"/>
          <w:numId w:val="1015"/>
        </w:numPr>
        <w:pStyle w:val="Compact"/>
      </w:pPr>
      <w:r>
        <w:t xml:space="preserve">Does per-record key granularity create a single point of failure you would be unwilling to accept without hardware-backed attestation?</w:t>
      </w:r>
    </w:p>
    <w:bookmarkEnd w:id="146"/>
    <w:bookmarkStart w:id="147" w:name="operational-viability"/>
    <w:p>
      <w:pPr>
        <w:pStyle w:val="Heading3"/>
      </w:pPr>
      <w:r>
        <w:t xml:space="preserve">Operational viability</w:t>
      </w:r>
    </w:p>
    <w:p>
      <w:pPr>
        <w:numPr>
          <w:ilvl w:val="0"/>
          <w:numId w:val="1016"/>
        </w:numPr>
        <w:pStyle w:val="Compact"/>
      </w:pPr>
      <w:r>
        <w:t xml:space="preserve">What would implementing this at your institution actually require: systems, process, people?</w:t>
      </w:r>
    </w:p>
    <w:p>
      <w:pPr>
        <w:numPr>
          <w:ilvl w:val="0"/>
          <w:numId w:val="1016"/>
        </w:numPr>
        <w:pStyle w:val="Compact"/>
      </w:pPr>
      <w:r>
        <w:t xml:space="preserve">At what record volume would the per-record key registry become a problem?</w:t>
      </w:r>
    </w:p>
    <w:p>
      <w:pPr>
        <w:numPr>
          <w:ilvl w:val="0"/>
          <w:numId w:val="1016"/>
        </w:numPr>
        <w:pStyle w:val="Compact"/>
      </w:pPr>
      <w:r>
        <w:t xml:space="preserve">What would you change about the design before deploying it?</w:t>
      </w:r>
    </w:p>
    <w:p>
      <w:pPr>
        <w:pStyle w:val="FirstParagraph"/>
      </w:pPr>
      <w:r>
        <w:t xml:space="preserve">Question 7 is included because the thesis’s sharpest result depends on the answer, and practitioner readings of it are evidence this author cannot generate.</w:t>
      </w:r>
    </w:p>
    <w:p>
      <w:r>
        <w:pict>
          <v:rect style="width:0;height:1.5pt" o:hralign="center" o:hrstd="t" o:hr="t"/>
        </w:pict>
      </w:r>
    </w:p>
    <w:bookmarkEnd w:id="147"/>
    <w:bookmarkEnd w:id="148"/>
    <w:bookmarkStart w:id="154" w:name="c.6-closed-response-questionnaire"/>
    <w:p>
      <w:pPr>
        <w:pStyle w:val="Heading2"/>
      </w:pPr>
      <w:r>
        <w:t xml:space="preserve">C.6 Closed-response questionnaire</w:t>
      </w:r>
    </w:p>
    <w:p>
      <w:pPr>
        <w:pStyle w:val="FirstParagraph"/>
      </w:pPr>
      <w:r>
        <w:t xml:space="preserve">Five-point Likert scale throughout: 1 = strongly disagree, 2 = disagree, 3 = neither agree nor disagree, 4 = agree, 5 = strongly agree. A sixth option,</w:t>
      </w:r>
      <w:r>
        <w:t xml:space="preserve"> </w:t>
      </w:r>
      <w:r>
        <w:rPr>
          <w:iCs/>
          <w:i/>
        </w:rPr>
        <w:t xml:space="preserve">not able to judge</w:t>
      </w:r>
      <w:r>
        <w:t xml:space="preserve">, is offered on every item and is reported separately rather than treated as a midpoint.</w:t>
      </w:r>
    </w:p>
    <w:p>
      <w:pPr>
        <w:pStyle w:val="BodyText"/>
      </w:pPr>
      <w:r>
        <w:t xml:space="preserve">Each dimension opens with the anchor statement proposed in supervisory feedback, reproduced verbatim, followed by items that decompose it.</w:t>
      </w:r>
    </w:p>
    <w:bookmarkStart w:id="149" w:name="dimension-1-perceived-utility"/>
    <w:p>
      <w:pPr>
        <w:pStyle w:val="Heading3"/>
      </w:pPr>
      <w:r>
        <w:t xml:space="preserve">Dimension 1: Perceived utility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Statement</w:t>
            </w:r>
          </w:p>
        </w:tc>
      </w:tr>
      <w:tr>
        <w:tc>
          <w:tcPr/>
          <w:p>
            <w:pPr>
              <w:pStyle w:val="Compact"/>
              <w:jc w:val="left"/>
            </w:pPr>
            <w:r>
              <w:t xml:space="preserve">U1</w:t>
            </w:r>
          </w:p>
        </w:tc>
        <w:tc>
          <w:tcPr/>
          <w:p>
            <w:pPr>
              <w:pStyle w:val="Compact"/>
              <w:jc w:val="left"/>
            </w:pPr>
            <w:r>
              <w:rPr>
                <w:iCs/>
                <w:i/>
              </w:rPr>
              <w:t xml:space="preserve">The key-invalidation mechanism effectively resolves the conflict between retention floors and erasure ceilings.</w:t>
            </w:r>
          </w:p>
        </w:tc>
      </w:tr>
      <w:tr>
        <w:tc>
          <w:tcPr/>
          <w:p>
            <w:pPr>
              <w:pStyle w:val="Compact"/>
              <w:jc w:val="left"/>
            </w:pPr>
            <w:r>
              <w:t xml:space="preserve">U2</w:t>
            </w:r>
          </w:p>
        </w:tc>
        <w:tc>
          <w:tcPr/>
          <w:p>
            <w:pPr>
              <w:pStyle w:val="Compact"/>
              <w:jc w:val="left"/>
            </w:pPr>
            <w:r>
              <w:t xml:space="preserve">The problem this mechanism addresses is one my institution will face in practice.</w:t>
            </w:r>
          </w:p>
        </w:tc>
      </w:tr>
      <w:tr>
        <w:tc>
          <w:tcPr/>
          <w:p>
            <w:pPr>
              <w:pStyle w:val="Compact"/>
              <w:jc w:val="left"/>
            </w:pPr>
            <w:r>
              <w:t xml:space="preserve">U3</w:t>
            </w:r>
          </w:p>
        </w:tc>
        <w:tc>
          <w:tcPr/>
          <w:p>
            <w:pPr>
              <w:pStyle w:val="Compact"/>
              <w:jc w:val="left"/>
            </w:pPr>
            <w:r>
              <w:t xml:space="preserve">The mechanism addresses the problem more effectively than the approach my institution currently uses or would default to.</w:t>
            </w:r>
          </w:p>
        </w:tc>
      </w:tr>
      <w:tr>
        <w:tc>
          <w:tcPr/>
          <w:p>
            <w:pPr>
              <w:pStyle w:val="Compact"/>
              <w:jc w:val="left"/>
            </w:pPr>
            <w:r>
              <w:t xml:space="preserve">U4</w:t>
            </w:r>
          </w:p>
        </w:tc>
        <w:tc>
          <w:tcPr/>
          <w:p>
            <w:pPr>
              <w:pStyle w:val="Compact"/>
              <w:jc w:val="left"/>
            </w:pPr>
            <w:r>
              <w:t xml:space="preserve">The distinction between plaintext verifiability and accountability-preserving verifiability is one I had not previously considered explicitly.</w:t>
            </w:r>
          </w:p>
        </w:tc>
      </w:tr>
    </w:tbl>
    <w:bookmarkEnd w:id="149"/>
    <w:bookmarkStart w:id="150" w:name="dimension-2-regulatory-alignment"/>
    <w:p>
      <w:pPr>
        <w:pStyle w:val="Heading3"/>
      </w:pPr>
      <w:r>
        <w:t xml:space="preserve">Dimension 2: Regulatory alignment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Statement</w:t>
            </w:r>
          </w:p>
        </w:tc>
      </w:tr>
      <w:tr>
        <w:tc>
          <w:tcPr/>
          <w:p>
            <w:pPr>
              <w:pStyle w:val="Compact"/>
              <w:jc w:val="left"/>
            </w:pPr>
            <w:r>
              <w:t xml:space="preserve">R1</w:t>
            </w:r>
          </w:p>
        </w:tc>
        <w:tc>
          <w:tcPr/>
          <w:p>
            <w:pPr>
              <w:pStyle w:val="Compact"/>
              <w:jc w:val="left"/>
            </w:pPr>
            <w:r>
              <w:rPr>
                <w:iCs/>
                <w:i/>
              </w:rPr>
              <w:t xml:space="preserve">The residual audit log provides sufficient verification without violating GDPR Article 17 or EDPB guidelines.</w:t>
            </w:r>
          </w:p>
        </w:tc>
      </w:tr>
      <w:tr>
        <w:tc>
          <w:tcPr/>
          <w:p>
            <w:pPr>
              <w:pStyle w:val="Compact"/>
              <w:jc w:val="left"/>
            </w:pPr>
            <w:r>
              <w:t xml:space="preserve">R2</w:t>
            </w:r>
          </w:p>
        </w:tc>
        <w:tc>
          <w:tcPr/>
          <w:p>
            <w:pPr>
              <w:pStyle w:val="Compact"/>
              <w:jc w:val="left"/>
            </w:pPr>
            <w:r>
              <w:t xml:space="preserve">The surviving residue — metadata, commitment, invalidation entry — would be defensible to a supervisory authority.</w:t>
            </w:r>
          </w:p>
        </w:tc>
      </w:tr>
      <w:tr>
        <w:tc>
          <w:tcPr/>
          <w:p>
            <w:pPr>
              <w:pStyle w:val="Compact"/>
              <w:jc w:val="left"/>
            </w:pPr>
            <w:r>
              <w:t xml:space="preserve">R3</w:t>
            </w:r>
          </w:p>
        </w:tc>
        <w:tc>
          <w:tcPr/>
          <w:p>
            <w:pPr>
              <w:pStyle w:val="Compact"/>
              <w:jc w:val="left"/>
            </w:pPr>
            <w:r>
              <w:t xml:space="preserve">Article 68(12) should be read as reaching the access logs generated within a Secure Processing Environment.</w:t>
            </w:r>
          </w:p>
        </w:tc>
      </w:tr>
      <w:tr>
        <w:tc>
          <w:tcPr/>
          <w:p>
            <w:pPr>
              <w:pStyle w:val="Compact"/>
              <w:jc w:val="left"/>
            </w:pPr>
            <w:r>
              <w:t xml:space="preserve">R4</w:t>
            </w:r>
          </w:p>
        </w:tc>
        <w:tc>
          <w:tcPr/>
          <w:p>
            <w:pPr>
              <w:pStyle w:val="Compact"/>
              <w:jc w:val="left"/>
            </w:pPr>
            <w:r>
              <w:t xml:space="preserve">The mechanism’s characterisation of its residue as pseudonymised rather than anonymous is the correct characterisation.</w:t>
            </w:r>
          </w:p>
        </w:tc>
      </w:tr>
    </w:tbl>
    <w:bookmarkEnd w:id="150"/>
    <w:bookmarkStart w:id="151" w:name="dimension-3-operational-viability"/>
    <w:p>
      <w:pPr>
        <w:pStyle w:val="Heading3"/>
      </w:pPr>
      <w:r>
        <w:t xml:space="preserve">Dimension 3: Operational viability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Statement</w:t>
            </w:r>
          </w:p>
        </w:tc>
      </w:tr>
      <w:tr>
        <w:tc>
          <w:tcPr/>
          <w:p>
            <w:pPr>
              <w:pStyle w:val="Compact"/>
              <w:jc w:val="left"/>
            </w:pPr>
            <w:r>
              <w:t xml:space="preserve">O1</w:t>
            </w:r>
          </w:p>
        </w:tc>
        <w:tc>
          <w:tcPr/>
          <w:p>
            <w:pPr>
              <w:pStyle w:val="Compact"/>
              <w:jc w:val="left"/>
            </w:pPr>
            <w:r>
              <w:rPr>
                <w:iCs/>
                <w:i/>
              </w:rPr>
              <w:t xml:space="preserve">The proposed key registry structure is practical to implement within current Norwegian health data infrastructure (SPUHiN / NORTRE).</w:t>
            </w:r>
          </w:p>
        </w:tc>
      </w:tr>
      <w:tr>
        <w:tc>
          <w:tcPr/>
          <w:p>
            <w:pPr>
              <w:pStyle w:val="Compact"/>
              <w:jc w:val="left"/>
            </w:pPr>
            <w:r>
              <w:t xml:space="preserve">O2</w:t>
            </w:r>
          </w:p>
        </w:tc>
        <w:tc>
          <w:tcPr/>
          <w:p>
            <w:pPr>
              <w:pStyle w:val="Compact"/>
              <w:jc w:val="left"/>
            </w:pPr>
            <w:r>
              <w:t xml:space="preserve">Per-record key granularity is operationally sustainable at the record volumes my institution handles.</w:t>
            </w:r>
          </w:p>
        </w:tc>
      </w:tr>
      <w:tr>
        <w:tc>
          <w:tcPr/>
          <w:p>
            <w:pPr>
              <w:pStyle w:val="Compact"/>
              <w:jc w:val="left"/>
            </w:pPr>
            <w:r>
              <w:t xml:space="preserve">O3</w:t>
            </w:r>
          </w:p>
        </w:tc>
        <w:tc>
          <w:tcPr/>
          <w:p>
            <w:pPr>
              <w:pStyle w:val="Compact"/>
              <w:jc w:val="left"/>
            </w:pPr>
            <w:r>
              <w:t xml:space="preserve">The mechanism requires nothing of the processing environment beyond what the finalised national criteria already demand.</w:t>
            </w:r>
          </w:p>
        </w:tc>
      </w:tr>
      <w:tr>
        <w:tc>
          <w:tcPr/>
          <w:p>
            <w:pPr>
              <w:pStyle w:val="Compact"/>
              <w:jc w:val="left"/>
            </w:pPr>
            <w:r>
              <w:t xml:space="preserve">O4</w:t>
            </w:r>
          </w:p>
        </w:tc>
        <w:tc>
          <w:tcPr/>
          <w:p>
            <w:pPr>
              <w:pStyle w:val="Compact"/>
              <w:jc w:val="left"/>
            </w:pPr>
            <w:r>
              <w:t xml:space="preserve">Placing the mechanism at the audit-logging boundary, rather than inside the processing environment, is the right architectural choice.</w:t>
            </w:r>
          </w:p>
        </w:tc>
      </w:tr>
    </w:tbl>
    <w:bookmarkEnd w:id="151"/>
    <w:bookmarkStart w:id="152" w:name="dimension-4-audit-integrity"/>
    <w:p>
      <w:pPr>
        <w:pStyle w:val="Heading3"/>
      </w:pPr>
      <w:r>
        <w:t xml:space="preserve">Dimension 4: Audit integrity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Statement</w:t>
            </w:r>
          </w:p>
        </w:tc>
      </w:tr>
      <w:tr>
        <w:tc>
          <w:tcPr/>
          <w:p>
            <w:pPr>
              <w:pStyle w:val="Compact"/>
              <w:jc w:val="left"/>
            </w:pPr>
            <w:r>
              <w:t xml:space="preserve">A1</w:t>
            </w:r>
          </w:p>
        </w:tc>
        <w:tc>
          <w:tcPr/>
          <w:p>
            <w:pPr>
              <w:pStyle w:val="Compact"/>
              <w:jc w:val="left"/>
            </w:pPr>
            <w:r>
              <w:rPr>
                <w:iCs/>
                <w:i/>
              </w:rPr>
              <w:t xml:space="preserve">The cryptographic proof gives auditors full confidence that data was lawfully deleted at the required timestamp.</w:t>
            </w:r>
          </w:p>
        </w:tc>
      </w:tr>
      <w:tr>
        <w:tc>
          <w:tcPr/>
          <w:p>
            <w:pPr>
              <w:pStyle w:val="Compact"/>
              <w:jc w:val="left"/>
            </w:pPr>
            <w:r>
              <w:t xml:space="preserve">A2</w:t>
            </w:r>
          </w:p>
        </w:tc>
        <w:tc>
          <w:tcPr/>
          <w:p>
            <w:pPr>
              <w:pStyle w:val="Compact"/>
              <w:jc w:val="left"/>
            </w:pPr>
            <w:r>
              <w:t xml:space="preserve">An attested invalidation entry, without hardware-backed proof of key destruction, is sufficient for audit purposes in my context.</w:t>
            </w:r>
          </w:p>
        </w:tc>
      </w:tr>
      <w:tr>
        <w:tc>
          <w:tcPr/>
          <w:p>
            <w:pPr>
              <w:pStyle w:val="Compact"/>
              <w:jc w:val="left"/>
            </w:pPr>
            <w:r>
              <w:t xml:space="preserve">A3</w:t>
            </w:r>
          </w:p>
        </w:tc>
        <w:tc>
          <w:tcPr/>
          <w:p>
            <w:pPr>
              <w:pStyle w:val="Compact"/>
              <w:jc w:val="left"/>
            </w:pPr>
            <w:r>
              <w:t xml:space="preserve">The mechanism provides stronger audit assurance than deleting the record and logging that a deletion occurred.</w:t>
            </w:r>
          </w:p>
        </w:tc>
      </w:tr>
      <w:tr>
        <w:tc>
          <w:tcPr/>
          <w:p>
            <w:pPr>
              <w:pStyle w:val="Compact"/>
              <w:jc w:val="left"/>
            </w:pPr>
            <w:r>
              <w:t xml:space="preserve">A4</w:t>
            </w:r>
          </w:p>
        </w:tc>
        <w:tc>
          <w:tcPr/>
          <w:p>
            <w:pPr>
              <w:pStyle w:val="Compact"/>
              <w:jc w:val="left"/>
            </w:pPr>
            <w:r>
              <w:t xml:space="preserve">An external auditor could establish, from the surviving record alone, what was invalidated and on what legal ground.</w:t>
            </w:r>
          </w:p>
        </w:tc>
      </w:tr>
    </w:tbl>
    <w:bookmarkEnd w:id="152"/>
    <w:bookmarkStart w:id="153" w:name="open-items"/>
    <w:p>
      <w:pPr>
        <w:pStyle w:val="Heading3"/>
      </w:pPr>
      <w:r>
        <w:t xml:space="preserve">Open items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Prompt</w:t>
            </w:r>
          </w:p>
        </w:tc>
      </w:tr>
      <w:tr>
        <w:tc>
          <w:tcPr/>
          <w:p>
            <w:pPr>
              <w:pStyle w:val="Compact"/>
              <w:jc w:val="left"/>
            </w:pPr>
            <w:r>
              <w:t xml:space="preserve">X1</w:t>
            </w:r>
          </w:p>
        </w:tc>
        <w:tc>
          <w:tcPr/>
          <w:p>
            <w:pPr>
              <w:pStyle w:val="Compact"/>
              <w:jc w:val="left"/>
            </w:pPr>
            <w:r>
              <w:t xml:space="preserve">The single change you would most want made to the design.</w:t>
            </w:r>
          </w:p>
        </w:tc>
      </w:tr>
      <w:tr>
        <w:tc>
          <w:tcPr/>
          <w:p>
            <w:pPr>
              <w:pStyle w:val="Compact"/>
              <w:jc w:val="left"/>
            </w:pPr>
            <w:r>
              <w:t xml:space="preserve">X2</w:t>
            </w:r>
          </w:p>
        </w:tc>
        <w:tc>
          <w:tcPr/>
          <w:p>
            <w:pPr>
              <w:pStyle w:val="Compact"/>
              <w:jc w:val="left"/>
            </w:pPr>
            <w:r>
              <w:t xml:space="preserve">The assumption in the design you consider least safe.</w:t>
            </w:r>
          </w:p>
        </w:tc>
      </w:tr>
      <w:tr>
        <w:tc>
          <w:tcPr/>
          <w:p>
            <w:pPr>
              <w:pStyle w:val="Compact"/>
              <w:jc w:val="left"/>
            </w:pPr>
            <w:r>
              <w:t xml:space="preserve">X3</w:t>
            </w:r>
          </w:p>
        </w:tc>
        <w:tc>
          <w:tcPr/>
          <w:p>
            <w:pPr>
              <w:pStyle w:val="Compact"/>
              <w:jc w:val="left"/>
            </w:pPr>
            <w:r>
              <w:t xml:space="preserve">Anything the questions above did not ask about.</w:t>
            </w:r>
          </w:p>
        </w:tc>
      </w:tr>
    </w:tbl>
    <w:p>
      <w:pPr>
        <w:pStyle w:val="BodyText"/>
      </w:pPr>
      <w:r>
        <w:t xml:space="preserve">A note on item A1. The anchor statement asserts that the mechanism gives auditors</w:t>
      </w:r>
      <w:r>
        <w:t xml:space="preserve"> </w:t>
      </w:r>
      <w:r>
        <w:rPr>
          <w:iCs/>
          <w:i/>
        </w:rPr>
        <w:t xml:space="preserve">full confidence</w:t>
      </w:r>
      <w:r>
        <w:t xml:space="preserve">, which the thesis itself does not claim: Chapter 6, Section 6.3 states that the invalidation entry is an attestation rather than a proof. The item is retained verbatim because it was proposed as the anchor and because disagreement with it would be an accurate response rather than a failure of the instrument. Item A2 exists to capture that distinction directly, and analysis would read A1 and A2 together rather than A1 alone.</w:t>
      </w:r>
    </w:p>
    <w:p>
      <w:r>
        <w:pict>
          <v:rect style="width:0;height:1.5pt" o:hralign="center" o:hrstd="t" o:hr="t"/>
        </w:pict>
      </w:r>
    </w:p>
    <w:bookmarkEnd w:id="153"/>
    <w:bookmarkEnd w:id="154"/>
    <w:bookmarkStart w:id="155" w:name="c.7-analysis"/>
    <w:p>
      <w:pPr>
        <w:pStyle w:val="Heading2"/>
      </w:pPr>
      <w:r>
        <w:t xml:space="preserve">C.7 Analysis</w:t>
      </w:r>
    </w:p>
    <w:p>
      <w:pPr>
        <w:pStyle w:val="FirstParagraph"/>
      </w:pPr>
      <w:r>
        <w:t xml:space="preserve">Closed responses would be reported as medians with full distributions rather than means, given ordinal data and a panel of eight; no inferential statistics would be computed, and none would be meaningful at this size.</w:t>
      </w:r>
      <w:r>
        <w:t xml:space="preserve"> </w:t>
      </w:r>
      <w:r>
        <w:rPr>
          <w:iCs/>
          <w:i/>
        </w:rPr>
        <w:t xml:space="preserve">Not able to judge</w:t>
      </w:r>
      <w:r>
        <w:t xml:space="preserve"> </w:t>
      </w:r>
      <w:r>
        <w:t xml:space="preserve">responses would be reported by item, since a concentration of them is itself a finding about which audiences can assess which dimensions.</w:t>
      </w:r>
    </w:p>
    <w:p>
      <w:pPr>
        <w:pStyle w:val="BodyText"/>
      </w:pPr>
      <w:r>
        <w:t xml:space="preserve">Open responses and interview transcripts would be analysed thematically following a coding frame derived from the three areas supervisory feedback identified (legal defensibility, key custody and trust assumptions, operational feasibility) with an open category for themes not anticipated. Coding by a single researcher would be stated as a limitation, as it is for the literature review in Chapter 2, Section 2.1.7.</w:t>
      </w:r>
    </w:p>
    <w:p>
      <w:pPr>
        <w:pStyle w:val="BodyText"/>
      </w:pPr>
      <w:r>
        <w:t xml:space="preserve">Integration into the thesis would follow the design science cycle rather than being appended to it:</w:t>
      </w:r>
    </w:p>
    <w:p>
      <w:pPr>
        <w:pStyle w:val="BodyText"/>
      </w:pPr>
      <w:r>
        <w:rPr>
          <w:iCs/>
          <w:i/>
        </w:rPr>
        <w:t xml:space="preserve">Misalignments</w:t>
      </w:r>
      <w:r>
        <w:t xml:space="preserve"> </w:t>
      </w:r>
      <w:r>
        <w:t xml:space="preserve">between the design and operational reality would be documented as findings, not smoothed over. If Secure Processing Environment operators identify key custody as a single point of failure absent hardware security modules, that becomes a stated limitation of the mechanism and a design requirement for the next iteration.</w:t>
      </w:r>
    </w:p>
    <w:p>
      <w:pPr>
        <w:pStyle w:val="BodyText"/>
      </w:pPr>
      <w:r>
        <w:rPr>
          <w:iCs/>
          <w:i/>
        </w:rPr>
        <w:t xml:space="preserve">Assumption revision.</w:t>
      </w:r>
      <w:r>
        <w:t xml:space="preserve"> </w:t>
      </w:r>
      <w:r>
        <w:t xml:space="preserve">Legal responses to items R2, R3 and R4, and to interview questions 4 through 7, would revise the trust model and the residue analysis of Chapter 4, Section 4.9: in particular whether attestation of key destruction is treated as adequate.</w:t>
      </w:r>
    </w:p>
    <w:p>
      <w:pPr>
        <w:pStyle w:val="BodyText"/>
      </w:pPr>
      <w:r>
        <w:rPr>
          <w:iCs/>
          <w:i/>
        </w:rPr>
        <w:t xml:space="preserve">Future iterations.</w:t>
      </w:r>
      <w:r>
        <w:t xml:space="preserve"> </w:t>
      </w:r>
      <w:r>
        <w:t xml:space="preserve">Responses to A2 would inform whether the next design iteration should move from software-attested key destruction to hardware-backed attestation through a hardware security module or secure enclave, which Chapter 7, Section 7.5 already identifies as the direction in which the assurance boundary would move.</w:t>
      </w:r>
    </w:p>
    <w:p>
      <w:pPr>
        <w:pStyle w:val="BodyText"/>
      </w:pPr>
      <w:r>
        <w:t xml:space="preserve">Disconfirming responses would be reported with the same prominence as confirming ones. An evaluation that can only strengthen the artefact is not an evaluation.</w:t>
      </w:r>
    </w:p>
    <w:p>
      <w:r>
        <w:pict>
          <v:rect style="width:0;height:1.5pt" o:hralign="center" o:hrstd="t" o:hr="t"/>
        </w:pict>
      </w:r>
    </w:p>
    <w:bookmarkEnd w:id="155"/>
    <w:bookmarkStart w:id="156" w:name="c.8-data-protection-if-executed"/>
    <w:p>
      <w:pPr>
        <w:pStyle w:val="Heading2"/>
      </w:pPr>
      <w:r>
        <w:t xml:space="preserve">C.8 Data protection, if executed</w:t>
      </w:r>
    </w:p>
    <w:p>
      <w:pPr>
        <w:pStyle w:val="FirstParagraph"/>
      </w:pPr>
      <w:r>
        <w:t xml:space="preserve">Execution would process personal data about identifiable professionals and would therefore require notification to Sikt (Norwegian Agency for Shared Services in Education and Research) before any participant is approached. Typical processing time is four to six weeks.</w:t>
      </w:r>
    </w:p>
    <w:p>
      <w:pPr>
        <w:pStyle w:val="BodyText"/>
      </w:pPr>
      <w:r>
        <w:t xml:space="preserve">The arrangements would be: written information and consent obtained before each session; audio recording only with consent, transcribed and the recording deleted on transcription; participants identified in reporting by perspective and number only (P1 through P8), with institutions named only where a participant expressly agrees; no special-category data collected; storage on institutional infrastructure for the duration of the project and deletion on completion; and withdrawal permitted at any point up to the completion of analysis.</w:t>
      </w:r>
    </w:p>
    <w:p>
      <w:pPr>
        <w:pStyle w:val="BodyText"/>
      </w:pPr>
      <w:r>
        <w:t xml:space="preserve">Executing this instrument would change the thesis’s ethics position materially. Chapter 1, Section 1.5, Chapter 3, Section 3.8, and the Declaration of Originality each state that this research involves no human participants and required no ethical approval. Those statements are accurate for the thesis as submitted and would require revision if the instrument were executed. This appendix does not revise them.</w:t>
      </w:r>
    </w:p>
    <w:p>
      <w:r>
        <w:pict>
          <v:rect style="width:0;height:1.5pt" o:hralign="center" o:hrstd="t" o:hr="t"/>
        </w:pict>
      </w:r>
    </w:p>
    <w:bookmarkEnd w:id="156"/>
    <w:bookmarkStart w:id="157" w:name="references-appendix-c"/>
    <w:p>
      <w:pPr>
        <w:pStyle w:val="Heading2"/>
      </w:pPr>
      <w:r>
        <w:t xml:space="preserve">References (Appendix C)</w:t>
      </w:r>
    </w:p>
    <w:p>
      <w:pPr>
        <w:pStyle w:val="FirstParagraph"/>
      </w:pPr>
      <w:r>
        <w:t xml:space="preserve">Hevner, A. R., March, S. T., Park, J., &amp; Ram, S. (2004). Design science in information systems research.</w:t>
      </w:r>
      <w:r>
        <w:t xml:space="preserve"> </w:t>
      </w:r>
      <w:r>
        <w:rPr>
          <w:iCs/>
          <w:i/>
        </w:rPr>
        <w:t xml:space="preserve">MIS Quarterly</w:t>
      </w:r>
      <w:r>
        <w:t xml:space="preserve">,</w:t>
      </w:r>
      <w:r>
        <w:t xml:space="preserve"> </w:t>
      </w:r>
      <w:r>
        <w:rPr>
          <w:iCs/>
          <w:i/>
        </w:rPr>
        <w:t xml:space="preserve">28</w:t>
      </w:r>
      <w:r>
        <w:t xml:space="preserve">(1), 75–105.</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w:t>
      </w:r>
      <w:r>
        <w:t xml:space="preserve">,</w:t>
      </w:r>
      <w:r>
        <w:t xml:space="preserve"> </w:t>
      </w:r>
      <w:r>
        <w:rPr>
          <w:iCs/>
          <w:i/>
        </w:rPr>
        <w:t xml:space="preserve">24</w:t>
      </w:r>
      <w:r>
        <w:t xml:space="preserve">(3), 45–77.</w:t>
      </w:r>
    </w:p>
    <w:p>
      <w:r>
        <w:pict>
          <v:rect style="width:0;height:1.5pt" o:hralign="center" o:hrstd="t" o:hr="t"/>
        </w:pict>
      </w:r>
    </w:p>
    <w:bookmarkEnd w:id="157"/>
    <w:bookmarkEnd w:id="158"/>
    <w:sect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40" w:before="36" w:line="36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360" w:before="480" w:line="276" w:lineRule="auto"/>
      <w:jc w:val="center"/>
    </w:pPr>
    <w:rPr>
      <w:rFonts w:ascii="Times New Roman" w:asciiTheme="majorHAnsi" w:cs="Times New Roman" w:cstheme="majorBidi" w:eastAsia="Times New Roman" w:eastAsiaTheme="majorEastAsia" w:hAnsi="Times New Roman" w:hAnsiTheme="majorHAnsi"/>
      <w:b/>
      <w:bCs/>
      <w:color w:val="1A1A1A"/>
      <w:sz w:val="48"/>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240" w:before="600" w:line="276" w:lineRule="auto"/>
      <w:outlineLvl w:val="0"/>
    </w:pPr>
    <w:rPr>
      <w:rFonts w:ascii="Times New Roman" w:asciiTheme="majorHAnsi" w:cs="Times New Roman" w:cstheme="majorBidi" w:eastAsia="Times New Roman" w:eastAsiaTheme="majorEastAsia" w:hAnsi="Times New Roman" w:hAnsiTheme="majorHAnsi"/>
      <w:b/>
      <w:bCs/>
      <w:color w:val="1A1A1A"/>
      <w:sz w:val="36"/>
      <w:szCs w:val="32"/>
    </w:rPr>
  </w:style>
  <w:style w:styleId="Heading2" w:type="paragraph">
    <w:name w:val="Heading 2"/>
    <w:basedOn w:val="Normal"/>
    <w:next w:val="BodyText"/>
    <w:uiPriority w:val="9"/>
    <w:unhideWhenUsed/>
    <w:qFormat/>
    <w:pPr>
      <w:keepNext/>
      <w:keepLines/>
      <w:spacing w:after="160" w:before="360" w:line="276" w:lineRule="auto"/>
      <w:outlineLvl w:val="1"/>
    </w:pPr>
    <w:rPr>
      <w:rFonts w:ascii="Times New Roman" w:asciiTheme="majorHAnsi" w:cs="Times New Roman" w:cstheme="majorBidi" w:eastAsia="Times New Roman" w:eastAsiaTheme="majorEastAsia" w:hAnsi="Times New Roman"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76" w:lineRule="auto"/>
      <w:outlineLvl w:val="2"/>
    </w:pPr>
    <w:rPr>
      <w:rFonts w:ascii="Times New Roman" w:asciiTheme="majorHAnsi" w:cs="Times New Roman" w:cstheme="majorBidi" w:eastAsia="Times New Roman" w:eastAsiaTheme="majorEastAsia" w:hAnsi="Times New Roman" w:hAnsiTheme="majorHAnsi"/>
      <w:b/>
      <w:bCs/>
      <w:color w:val="333333"/>
      <w:sz w:val="24"/>
      <w:szCs w:val="24"/>
    </w:rPr>
  </w:style>
  <w:style w:styleId="Heading4" w:type="paragraph">
    <w:name w:val="Heading 4"/>
    <w:basedOn w:val="Normal"/>
    <w:next w:val="BodyText"/>
    <w:uiPriority w:val="9"/>
    <w:unhideWhenUsed/>
    <w:qFormat/>
    <w:pPr>
      <w:keepNext/>
      <w:keepLines/>
      <w:spacing w:after="80" w:before="240" w:line="276" w:lineRule="auto"/>
      <w:outlineLvl w:val="3"/>
    </w:pPr>
    <w:rPr>
      <w:rFonts w:ascii="Times New Roman" w:asciiTheme="majorHAnsi" w:cs="Times New Roman" w:cstheme="majorBidi" w:eastAsia="Times New Roman" w:eastAsiaTheme="majorEastAsia" w:hAnsi="Times New Roman" w:hAnsiTheme="majorHAnsi"/>
      <w:i/>
      <w:b w:val="0"/>
      <w:bCs/>
      <w:color w:val="33333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line="276" w:lineRule="auto"/>
      <w:ind w:firstLine="0" w:left="567"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TableCaption" w:type="paragraph">
    <w:name w:val="Table Caption"/>
    <w:basedOn w:val="Caption"/>
    <w:pPr>
      <w:keepNext/>
      <w:spacing w:after="120" w:before="80" w:line="240" w:lineRule="auto"/>
    </w:pPr>
    <w:rPr>
      <w:rFonts w:ascii="Times New Roman" w:cs="Times New Roman" w:eastAsia="Times New Roman" w:hAnsi="Times New Roman"/>
      <w:i/>
      <w:color w:val="333333"/>
      <w:sz w:val="20"/>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2026-10-03T14:58:50Z</dcterms:created>
  <dcterms:modified xsi:type="dcterms:W3CDTF">2026-10-03T14:58:50Z</dcterms:modified>
</cp:coreProperties>
</file>

<file path=docProps/custom.xml><?xml version="1.0" encoding="utf-8"?>
<Properties xmlns="http://schemas.openxmlformats.org/officeDocument/2006/custom-properties" xmlns:vt="http://schemas.openxmlformats.org/officeDocument/2006/docPropsVTypes"/>
</file>