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8.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the thesis argues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on one reading of Article 68(12) it arises there even without them.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Storage has an energy cost at system scale: data centres used</w:t>
      </w:r>
      <w:r>
        <w:t xml:space="preserve"> </w:t>
      </w:r>
      <w:r>
        <w:t xml:space="preserve">“</w:t>
      </w:r>
      <w:r>
        <w:t xml:space="preserve">around 1.5% of the world’s electricity consumption in 2024, or 415 terawatt-hours</w:t>
      </w:r>
      <w:r>
        <w:t xml:space="preserve">”</w:t>
      </w:r>
      <w:r>
        <w:t xml:space="preserve"> </w:t>
      </w:r>
      <w:r>
        <w:t xml:space="preserve">(International Energy Agency, 2025). The thesis does not estimate what share retained audit records account for, and claims no energy saving for the mechanism.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may be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framing rests on the discipline’s own definitions, not on analogy alone. The Council of Supply Chain Management Professionals defines logistics management as the part of supply chain management that</w:t>
      </w:r>
      <w:r>
        <w:t xml:space="preserve"> </w:t>
      </w:r>
      <w:r>
        <w:t xml:space="preserve">“</w:t>
      </w:r>
      <w:r>
        <w:t xml:space="preserve">plans, implements, and controls the efficient, effective forward and reverse flow and storage of goods, services and related information between the point of origin and the point of consumption</w:t>
      </w:r>
      <w:r>
        <w:t xml:space="preserve">”</w:t>
      </w:r>
      <w:r>
        <w:t xml:space="preserve"> </w:t>
      </w:r>
      <w:r>
        <w:t xml:space="preserve">(Council of Supply Chain Management Professionals, n.d.). An audit record is related information in exactly this sense. The thesis concerns its storage and its planned exit: the reverse end of the flow, where a record is retained, reduced or disposed of.</w:t>
      </w:r>
    </w:p>
    <w:p>
      <w:pPr>
        <w:pStyle w:val="BodyText"/>
      </w:pPr>
      <w:r>
        <w:t xml:space="preserve">Operations research supplies the closest formal relative. Perishable inventory theory studies stock that must be held to meet demand but expires after a fixed or random lifetime (Nahmias, 1982). A record under a retention floor and a deletion ceiling is perishable stock with two clocks. Proposition 3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condition in that idiom: when the expiry clock starts at a different event from the holding clock, whether an item can be held as long as it must depends on each item’s history, not on the rule book.</w:t>
      </w:r>
    </w:p>
    <w:p>
      <w:pPr>
        <w:pStyle w:val="BodyText"/>
      </w:pPr>
      <w:r>
        <w:t xml:space="preserve">The energy sector’s own data infrastructure schedules retention in the same terms. Elhub, the Norwegian electricity data hub, keeps a customer’s personal data for</w:t>
      </w:r>
      <w:r>
        <w:t xml:space="preserve"> </w:t>
      </w:r>
      <w:r>
        <w:t xml:space="preserve">“</w:t>
      </w:r>
      <w:r>
        <w:t xml:space="preserve">ytterligere 3 år og 41 dager</w:t>
      </w:r>
      <w:r>
        <w:t xml:space="preserve">”</w:t>
      </w:r>
      <w:r>
        <w:t xml:space="preserve"> </w:t>
      </w:r>
      <w:r>
        <w:t xml:space="preserve">after both the supply and the grid contract end,</w:t>
      </w:r>
      <w:r>
        <w:t xml:space="preserve"> </w:t>
      </w:r>
      <w:r>
        <w:t xml:space="preserve">“</w:t>
      </w:r>
      <w:r>
        <w:t xml:space="preserve">for eventuell feilretting og mulighet for å korrigere økonomiske oppgjør</w:t>
      </w:r>
      <w:r>
        <w:t xml:space="preserve">”</w:t>
      </w:r>
      <w:r>
        <w:t xml:space="preserve">, and keeps metering values for ten years only where the customer asks (Elhub, 2026). That is a retention period per data category, anchored to an event, with an extension the data subject controls: the parameters of the model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a different sector.</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6"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A patient asks for her data to be erased. The audit record of who looked at them must, on the reported deployment baseline, stay verifiable for ten years. In a research environment a third rule wants the data gone six months after the permit ends. Can one record obey all three? This chapter answers: not if verifiable means readable; yes if it means accountable. It gets there in three steps, and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Everything in this chapter rests on one split: the part of an audit record the law needs kept, and the part it does not. The split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The model is deliberately small: one record, one clock, and one question asked every month: can the payload still be read?</w:t>
      </w:r>
    </w:p>
    <w:p>
      <w:pPr>
        <w:pStyle w:val="BodyText"/>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now becomes a constraint on the trajectory of</w:t>
      </w:r>
      <w:r>
        <w:t xml:space="preserve"> </w:t>
      </w:r>
      <m:oMath>
        <m:r>
          <m:t>α</m:t>
        </m:r>
      </m:oMath>
      <w:r>
        <w:t xml:space="preserve"> </w:t>
      </w:r>
      <w:r>
        <w:t xml:space="preserve">and</w:t>
      </w:r>
      <w:r>
        <w:t xml:space="preserve"> </w:t>
      </w:r>
      <m:oMath>
        <m:r>
          <m:t>V</m:t>
        </m:r>
      </m:oMath>
      <w:r>
        <w:t xml:space="preserve">: one floor that says how long a record must last, and two limits that say how soon its payload must go.</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t xml:space="preserve">Everything now turns on one undefined word: verifiable. Two definitions are available, and the propositions show that they lead to opposite answers.</w:t>
      </w:r>
    </w:p>
    <w:p>
      <w:pPr>
        <w:pStyle w:val="BodyText"/>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050" w:name="sec_4_6"/>
      <w:r>
        <w:t xml:space="preserve">4.6 Propositions 1 and 3: Infeasibility, and Where the Ceiling Is Anchored</w:t>
      </w:r>
      <w:bookmarkEnd w:id="1050"/>
    </w:p>
    <w:p>
      <w:pPr>
        <w:pStyle w:val="FirstParagraph"/>
      </w:pPr>
      <w:r>
        <w:t xml:space="preserve">Under Semantics I the conflict is not bad luck or rare timing. It is a contradiction, and it can be located to the month.</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FirstParagraph"/>
      </w:pPr>
      <w:r>
        <w:t xml:space="preserve">Change what verifiable means and the contradiction disappears, for every record, every pattern of requests and every floor. The proof builds the trajectory that does it, and that trajectory is the mechanism.</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The response concedes its premise and denies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10" w:history="1">
        <w:r>
          <w:rPr>
            <w:rStyle w:val="Hyperlink"/>
          </w:rPr>
          <w:t xml:space="preserve">Section 4.10</w:t>
        </w:r>
      </w:hyperlink>
      <w:r>
        <w:t xml:space="preserve"> concedes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71"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proof of Proposition 2 is also a build sheet: the trajectory it constructs is the specification of the mechanism. This section states it as an implementable design: what is encrypted, what is committed, what is destroyed, and what is logged when it is. Figure 4.1 shows the whole of it on one page.</w:t>
      </w:r>
    </w:p>
    <w:p>
      <w:pPr>
        <w:pStyle w:val="CaptionedFigure"/>
      </w:pPr>
      <w:r>
        <w:drawing>
          <wp:inline>
            <wp:extent cx="5753100" cy="3409082"/>
            <wp:effectExtent b="0" l="0" r="0" t="0"/>
            <wp:docPr descr="Figure 4.1. Crypto-Erasure by Invalidation at the audit boundary. Solid arrows are writes at access time; red dashed arrows are the invalidation at the earlier of the erasure deadline and the deletion ceiling. The Merkle log holds accessor fields, commitments and invalidation entries, never the payload or the subject fields." title="" id="69" name="Picture"/>
            <a:graphic>
              <a:graphicData uri="http://schemas.openxmlformats.org/drawingml/2006/picture">
                <pic:pic>
                  <pic:nvPicPr>
                    <pic:cNvPr descr="figures/fig4_1_cei_mechanism.png" id="70" name="Picture"/>
                    <pic:cNvPicPr>
                      <a:picLocks noChangeArrowheads="1" noChangeAspect="1"/>
                    </pic:cNvPicPr>
                  </pic:nvPicPr>
                  <pic:blipFill>
                    <a:blip r:embed="rId68"/>
                    <a:stretch>
                      <a:fillRect/>
                    </a:stretch>
                  </pic:blipFill>
                  <pic:spPr bwMode="auto">
                    <a:xfrm>
                      <a:off x="0" y="0"/>
                      <a:ext cx="5753100" cy="3409082"/>
                    </a:xfrm>
                    <a:prstGeom prst="rect">
                      <a:avLst/>
                    </a:prstGeom>
                    <a:noFill/>
                    <a:ln w="9525">
                      <a:noFill/>
                      <a:headEnd/>
                      <a:tailEnd/>
                    </a:ln>
                  </pic:spPr>
                </pic:pic>
              </a:graphicData>
            </a:graphic>
          </wp:inline>
        </w:drawing>
      </w:r>
    </w:p>
    <w:p>
      <w:pPr>
        <w:pStyle w:val="ImageCaption"/>
      </w:pPr>
      <w:r>
        <w:t xml:space="preserve">Figure 4.1. Crypto-Erasure by Invalidation at the audit boundary. Solid arrows are writes at access time; red dashed arrows are the invalidation at the earlier of the erasure deadline and the deletion ceiling. The Merkle log holds accessor fields, commitments and invalidation entries, never the payload or the subject fields.</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71"/>
    <w:bookmarkStart w:id="72" w:name="residue-analysis"/>
    <w:p>
      <w:pPr>
        <w:pStyle w:val="Heading2"/>
      </w:pPr>
      <w:bookmarkStart w:id="1053" w:name="sec_4_9"/>
      <w:r>
        <w:t xml:space="preserve">4.9 Residue Analysis</w:t>
      </w:r>
      <w:bookmarkEnd w:id="1053"/>
    </w:p>
    <w:p>
      <w:pPr>
        <w:pStyle w:val="FirstParagraph"/>
      </w:pPr>
      <w:r>
        <w:t xml:space="preserve">A mechanism that erases by destroying keys is only as good as what it leaves behind. 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72"/>
    <w:bookmarkStart w:id="73" w:name="rival-designs-and-proposition-4"/>
    <w:p>
      <w:pPr>
        <w:pStyle w:val="Heading2"/>
      </w:pPr>
      <w:bookmarkStart w:id="1054" w:name="sec_4_10"/>
      <w:r>
        <w:t xml:space="preserve">4.10 Rival Designs and Proposition 4</w:t>
      </w:r>
      <w:bookmarkEnd w:id="1054"/>
    </w:p>
    <w:p>
      <w:pPr>
        <w:pStyle w:val="FirstParagraph"/>
      </w:pPr>
      <w:r>
        <w:t xml:space="preserve">If a simpler design solved the problem, this mechanism would be unnecessary. Six alternative designs are therefore tested against it.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commitment bound into the log at write time constrains this only for a party that kept its own opening; once the salt and payload are destroyed no auditor can open it, so the advantage over this rival is narrower than first stated.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3"/>
    <w:bookmarkStart w:id="74"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A mechanism is only as useful as the point at which it can be installed. This one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November 2024 draft is specific on logging. It makes tamper-proof, identifiable logs of access to the environment mandatory</w:t>
      </w:r>
      <w:r>
        <w:t xml:space="preserve"> </w:t>
      </w:r>
      <w:r>
        <w:t xml:space="preserve">“</w:t>
      </w:r>
      <w:r>
        <w:t xml:space="preserve">for at least one year</w:t>
      </w:r>
      <w:r>
        <w:t xml:space="preserve">”</w:t>
      </w:r>
      <w:r>
        <w:t xml:space="preserve"> </w:t>
      </w:r>
      <w:r>
        <w:t xml:space="preserve">(P13), and likewise logs of when files are extracted and by whom, kept for one year (P24); it recommends tamper-proof, identifiable logs of activities inside the environment (P14); and it lists back-up and log files among the matters a termination procedure must cover (P31) (SPUHiN, 2024; requirement numbers as in the draft). That is the one-year floor of Article 73(1)(e) in national form. None of the requirements inspected says how those logs are to be reconciled with deletion.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Tamper-proof, identifiable logs of access to the SPE, at least one year (mandatory); of file extraction, one year (mandatory); of activities (recommended)</w:t>
            </w:r>
          </w:p>
        </w:tc>
        <w:tc>
          <w:tcPr/>
          <w:p>
            <w:pPr>
              <w:pStyle w:val="Compact"/>
              <w:jc w:val="left"/>
            </w:pPr>
            <w:r>
              <w:rPr>
                <w:sz w:val="20"/>
                <w:szCs w:val="20"/>
              </w:rPr>
              <w:t xml:space="preserve">SPUHiN (2024), draft, P13, P24, P14</w:t>
            </w:r>
          </w:p>
        </w:tc>
        <w:tc>
          <w:tcPr/>
          <w:p>
            <w:pPr>
              <w:pStyle w:val="Compact"/>
              <w:jc w:val="left"/>
            </w:pPr>
            <w:r>
              <w:rPr>
                <w:sz w:val="20"/>
                <w:szCs w:val="20"/>
              </w:rPr>
              <w:t xml:space="preserve">Accessor fields kept identifiable for the floor; every access event in the append-only Merkle log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8" w:history="1">
              <w:r>
                <w:rPr>
                  <w:rStyle w:val="Hyperlink"/>
                  <w:sz w:val="20"/>
                  <w:szCs w:val="20"/>
                </w:rPr>
                <w:t xml:space="preserve">§4.8</w:t>
              </w:r>
            </w:hyperlink>
            <w:r>
              <w:rPr>
                <w:sz w:val="20"/>
                <w:szCs w:val="20"/>
              </w:rPr>
              <w:t xml:space="preserve">;</w:t>
            </w:r>
            <w:r>
              <w:rPr>
                <w:sz w:val="20"/>
                <w:szCs w:val="20"/>
              </w:rPr>
              <w:t xml:space="preserve"> </w:t>
            </w:r>
            <w:r>
              <w:rPr>
                <w:rStyle w:val="VerbatimChar"/>
                <w:sz w:val="20"/>
                <w:szCs w:val="20"/>
              </w:rPr>
              <w:t xml:space="preserve">MerkleLog</w:t>
            </w:r>
          </w:p>
        </w:tc>
        <w:tc>
          <w:tcPr/>
          <w:p>
            <w:pPr>
              <w:pStyle w:val="Compact"/>
              <w:jc w:val="left"/>
            </w:pPr>
            <w:r>
              <w:rPr>
                <w:sz w:val="20"/>
                <w:szCs w:val="20"/>
              </w:rPr>
              <w:t xml:space="preserve">Met in the artefact (</w:t>
            </w:r>
            <m:oMath>
              <m:r>
                <m:t>F</m:t>
              </m:r>
              <m:r>
                <m:rPr>
                  <m:sty m:val="p"/>
                </m:rPr>
                <m:t>=</m:t>
              </m:r>
              <m:r>
                <m:t>12</m:t>
              </m:r>
            </m:oMath>
            <w:r>
              <w:rPr>
                <w:sz w:val="20"/>
                <w:szCs w:val="20"/>
              </w:rPr>
              <w:t xml:space="preserve">;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Termination procedure covering deletion of files, back-ups and log files (mandatory)</w:t>
            </w:r>
          </w:p>
        </w:tc>
        <w:tc>
          <w:tcPr/>
          <w:p>
            <w:pPr>
              <w:pStyle w:val="Compact"/>
              <w:jc w:val="left"/>
            </w:pPr>
            <w:r>
              <w:rPr>
                <w:sz w:val="20"/>
                <w:szCs w:val="20"/>
              </w:rPr>
              <w:t xml:space="preserve">SPUHiN (2024), draft, P31</w:t>
            </w:r>
          </w:p>
        </w:tc>
        <w:tc>
          <w:tcPr/>
          <w:p>
            <w:pPr>
              <w:pStyle w:val="Compact"/>
              <w:jc w:val="left"/>
            </w:pPr>
            <w:r>
              <w:rPr>
                <w:sz w:val="20"/>
                <w:szCs w:val="20"/>
              </w:rPr>
              <w:t xml:space="preserve">Supplies the rule for the log files: invalidation at the ceiling, terminal transition after the floor</w:t>
            </w:r>
          </w:p>
        </w:tc>
        <w:tc>
          <w:tcPr/>
          <w:p>
            <w:pPr>
              <w:pStyle w:val="Compact"/>
              <w:jc w:val="left"/>
            </w:pPr>
            <w:hyperlink w:anchor="sec_4_8" w:history="1">
              <w:r>
                <w:rPr>
                  <w:rStyle w:val="Hyperlink"/>
                  <w:sz w:val="20"/>
                  <w:szCs w:val="20"/>
                </w:rPr>
                <w:t xml:space="preserve">§4.8</w:t>
              </w:r>
            </w:hyperlink>
          </w:p>
        </w:tc>
        <w:tc>
          <w:tcPr/>
          <w:p>
            <w:pPr>
              <w:pStyle w:val="Compact"/>
              <w:jc w:val="left"/>
            </w:pPr>
            <w:r>
              <w:rPr>
                <w:sz w:val="20"/>
                <w:szCs w:val="20"/>
              </w:rPr>
              <w:t xml:space="preserve">Met by specification; the terminal transition is not implemented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4"/>
    <w:bookmarkStart w:id="75"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5"/>
    <w:bookmarkEnd w:id="76"/>
    <w:bookmarkStart w:id="88"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7"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7"/>
    <w:bookmarkStart w:id="81" w:name="implementation"/>
    <w:p>
      <w:pPr>
        <w:pStyle w:val="Heading2"/>
      </w:pPr>
      <w:bookmarkStart w:id="1059" w:name="sec_5_2"/>
      <w:r>
        <w:t xml:space="preserve">5.2 Implementation</w:t>
      </w:r>
      <w:bookmarkEnd w:id="1059"/>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 Figure 5.1 maps the modules and the path a record takes through them.</w:t>
      </w:r>
    </w:p>
    <w:p>
      <w:pPr>
        <w:pStyle w:val="CaptionedFigure"/>
      </w:pPr>
      <w:r>
        <w:drawing>
          <wp:inline>
            <wp:extent cx="5753100" cy="2952952"/>
            <wp:effectExtent b="0" l="0" r="0" t="0"/>
            <wp:docPr descr="Figure 5.1. The artefact’s modules and data path. Records enter from the generator or one of the optional layers, are invalidated on schedule, and are checked under both semantics; the optional cryptographic module and the bounded SMT check sit beside the checker and report separately." title="" id="79" name="Picture"/>
            <a:graphic>
              <a:graphicData uri="http://schemas.openxmlformats.org/drawingml/2006/picture">
                <pic:pic>
                  <pic:nvPicPr>
                    <pic:cNvPr descr="figures/fig5_1_trf_artefact.png" id="80" name="Picture"/>
                    <pic:cNvPicPr>
                      <a:picLocks noChangeArrowheads="1" noChangeAspect="1"/>
                    </pic:cNvPicPr>
                  </pic:nvPicPr>
                  <pic:blipFill>
                    <a:blip r:embed="rId78"/>
                    <a:stretch>
                      <a:fillRect/>
                    </a:stretch>
                  </pic:blipFill>
                  <pic:spPr bwMode="auto">
                    <a:xfrm>
                      <a:off x="0" y="0"/>
                      <a:ext cx="5753100" cy="2952952"/>
                    </a:xfrm>
                    <a:prstGeom prst="rect">
                      <a:avLst/>
                    </a:prstGeom>
                    <a:noFill/>
                    <a:ln w="9525">
                      <a:noFill/>
                      <a:headEnd/>
                      <a:tailEnd/>
                    </a:ln>
                  </pic:spPr>
                </pic:pic>
              </a:graphicData>
            </a:graphic>
          </wp:inline>
        </w:drawing>
      </w:r>
    </w:p>
    <w:p>
      <w:pPr>
        <w:pStyle w:val="ImageCaption"/>
      </w:pPr>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533</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671</w:t>
            </w:r>
          </w:p>
        </w:tc>
        <w:tc>
          <w:tcPr/>
          <w:p>
            <w:pPr>
              <w:pStyle w:val="Compact"/>
              <w:jc w:val="left"/>
            </w:pPr>
            <w:r>
              <w:rPr>
                <w:sz w:val="20"/>
                <w:szCs w:val="20"/>
              </w:rPr>
              <w:t xml:space="preserve">Six-tab viewer over the artefact;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81"/>
    <w:bookmarkStart w:id="82"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82"/>
    <w:bookmarkStart w:id="83"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83"/>
    <w:bookmarkStart w:id="84"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84"/>
    <w:bookmarkStart w:id="85"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5"/>
    <w:bookmarkStart w:id="86"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binding to a specific payload survives in the commitment.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6"/>
    <w:bookmarkStart w:id="87"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7"/>
    <w:bookmarkEnd w:id="88"/>
    <w:bookmarkStart w:id="101" w:name="chapter-6.-discussion"/>
    <w:p>
      <w:pPr>
        <w:pStyle w:val="Heading1"/>
      </w:pPr>
      <w:bookmarkStart w:id="1066" w:name="ch_6"/>
      <w:r>
        <w:t xml:space="preserve">Chapter 6. Discussion</w:t>
      </w:r>
      <w:bookmarkEnd w:id="1066"/>
    </w:p>
    <w:bookmarkStart w:id="89" w:name="what-the-thesis-establishes"/>
    <w:p>
      <w:pPr>
        <w:pStyle w:val="Heading2"/>
      </w:pPr>
      <w:bookmarkStart w:id="1067" w:name="sec_6_1"/>
      <w:r>
        <w:t xml:space="preserve">6.1 What the Thesis Establishes</w:t>
      </w:r>
      <w:bookmarkEnd w:id="1067"/>
    </w:p>
    <w:p>
      <w:pPr>
        <w:pStyle w:val="FirstParagraph"/>
      </w:pPr>
      <w:r>
        <w:t xml:space="preserve">Read one way, three obligations cannot be met together. Read another, they can. 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or the consistency proofs between successive log roots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9"/>
    <w:bookmarkStart w:id="90"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90"/>
    <w:bookmarkStart w:id="91" w:name="Xded207afce20f277dc3fb975fe95ea550887e42"/>
    <w:p>
      <w:pPr>
        <w:pStyle w:val="Heading2"/>
      </w:pPr>
      <w:bookmarkStart w:id="1069" w:name="sec_6_3"/>
      <w:r>
        <w:t xml:space="preserve">6.3 Key Destruction and the Limits of Assurance</w:t>
      </w:r>
      <w:bookmarkEnd w:id="1069"/>
    </w:p>
    <w:p>
      <w:pPr>
        <w:pStyle w:val="FirstParagraph"/>
      </w:pPr>
      <w:r>
        <w:t xml:space="preserve">Nobody can watch a key being destroyed. That is the second objection,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1"/>
    <w:bookmarkStart w:id="92" w:name="the-cost-objection"/>
    <w:p>
      <w:pPr>
        <w:pStyle w:val="Heading2"/>
      </w:pPr>
      <w:bookmarkStart w:id="1070" w:name="sec_6_4"/>
      <w:r>
        <w:t xml:space="preserve">6.4 The Cost Objection</w:t>
      </w:r>
      <w:bookmarkEnd w:id="1070"/>
    </w:p>
    <w:p>
      <w:pPr>
        <w:pStyle w:val="FirstParagraph"/>
      </w:pPr>
      <w:r>
        <w:t xml:space="preserve">Per-record keys cost something, and the question is whether the cost is worth paying. 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2"/>
    <w:bookmarkStart w:id="93"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3"/>
    <w:bookmarkStart w:id="94"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A model can be right and still be refused by the people who would have to run it. 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94"/>
    <w:bookmarkStart w:id="95" w:name="Xb09e9d760b9049b450198be4ab64b306a64bdc7"/>
    <w:p>
      <w:pPr>
        <w:pStyle w:val="Heading2"/>
      </w:pPr>
      <w:bookmarkStart w:id="1073" w:name="sec_6_7"/>
      <w:r>
        <w:t xml:space="preserve">6.7 Synthetic Data and the Limits of the Demonstration</w:t>
      </w:r>
      <w:bookmarkEnd w:id="1073"/>
    </w:p>
    <w:p>
      <w:pPr>
        <w:pStyle w:val="FirstParagraph"/>
      </w:pPr>
      <w:r>
        <w:t xml:space="preserve">The patients in this thesis do not exist, and no result depends on who they are. 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95"/>
    <w:bookmarkStart w:id="96" w:name="implications-for-practice-and-policy"/>
    <w:p>
      <w:pPr>
        <w:pStyle w:val="Heading2"/>
      </w:pPr>
      <w:bookmarkStart w:id="1074" w:name="sec_6_8"/>
      <w:r>
        <w:t xml:space="preserve">6.8 Implications for Practice and Policy</w:t>
      </w:r>
      <w:bookmarkEnd w:id="1074"/>
    </w:p>
    <w:p>
      <w:pPr>
        <w:pStyle w:val="FirstParagraph"/>
      </w:pPr>
      <w:r>
        <w:t xml:space="preserve">The provisions that create this collision do not yet apply, and that is the opportunity. 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6"/>
    <w:bookmarkStart w:id="97"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7"/>
    <w:bookmarkStart w:id="98"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8"/>
    <w:bookmarkStart w:id="99" w:name="boundaries-as-contribution"/>
    <w:p>
      <w:pPr>
        <w:pStyle w:val="Heading2"/>
      </w:pPr>
      <w:bookmarkStart w:id="1077" w:name="sec_6_11"/>
      <w:r>
        <w:t xml:space="preserve">6.11 Boundaries as Contribution</w:t>
      </w:r>
      <w:bookmarkEnd w:id="1077"/>
    </w:p>
    <w:p>
      <w:pPr>
        <w:pStyle w:val="FirstParagraph"/>
      </w:pPr>
      <w:r>
        <w:t xml:space="preserve">The limitations that bound the claim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 contribution that states its boundaries can be checked at them.</w:t>
      </w:r>
    </w:p>
    <w:bookmarkEnd w:id="99"/>
    <w:bookmarkStart w:id="100" w:name="summary-1"/>
    <w:p>
      <w:pPr>
        <w:pStyle w:val="Heading2"/>
      </w:pPr>
      <w:bookmarkStart w:id="1078" w:name="sec_6_12"/>
      <w:r>
        <w:t xml:space="preserve">6.12 Summary</w:t>
      </w:r>
      <w:bookmarkEnd w:id="1078"/>
    </w:p>
    <w:p>
      <w:pPr>
        <w:pStyle w:val="FirstParagraph"/>
      </w:pPr>
      <w:r>
        <w:t xml:space="preserve">The thesis establishes four things. Audit-retention floors, the right to erasure and the deletion ceiling conflict only under an assumption about verifiability, and not because of the obligations themselves. On the broad reading of Article 68(12) and for logs kept at patient-record granularity, the conflict arises inside the European Health Data Space Regulation with no data subject acting. A ceiling collides with a floor exactly when Proposition 3 says. And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100"/>
    <w:bookmarkEnd w:id="101"/>
    <w:bookmarkStart w:id="108" w:name="chapter-7.-conclusion"/>
    <w:p>
      <w:pPr>
        <w:pStyle w:val="Heading1"/>
      </w:pPr>
      <w:bookmarkStart w:id="1079" w:name="ch_7"/>
      <w:r>
        <w:t xml:space="preserve">Chapter 7. Conclusion</w:t>
      </w:r>
      <w:bookmarkEnd w:id="1079"/>
    </w:p>
    <w:bookmarkStart w:id="102"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for at least the period the person’s right to learn who accessed their data requires and, on the deployment binding,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consistency proofs and the accumulator layer are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102"/>
    <w:bookmarkStart w:id="103"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103"/>
    <w:bookmarkStart w:id="104"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4"/>
    <w:bookmarkStart w:id="105"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5"/>
    <w:bookmarkStart w:id="106"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6"/>
    <w:bookmarkStart w:id="107"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7"/>
    <w:bookmarkEnd w:id="108"/>
    <w:bookmarkStart w:id="109"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Council of Supply Chain Management Professionals. (n.d.).</w:t>
      </w:r>
      <w:r>
        <w:t xml:space="preserve"> </w:t>
      </w:r>
      <w:r>
        <w:rPr>
          <w:iCs/>
          <w:i/>
        </w:rPr>
        <w:t xml:space="preserve">Frequently asked questions</w:t>
      </w:r>
      <w:r>
        <w:t xml:space="preserve"> </w:t>
      </w:r>
      <w:r>
        <w:t xml:space="preserve">[Includes the CSCMP definition of logistics management]. Retrieved 5 October 2026, from https://cscmp.org/CSCMP/CSCMP/Develop/Starting_Your_Career/Frequently_Asked_Questions.aspx</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Elhub. (2026).</w:t>
      </w:r>
      <w:r>
        <w:t xml:space="preserve"> </w:t>
      </w:r>
      <w:r>
        <w:rPr>
          <w:iCs/>
          <w:i/>
        </w:rPr>
        <w:t xml:space="preserve">Elhubs personvernerklæring</w:t>
      </w:r>
      <w:r>
        <w:t xml:space="preserve"> </w:t>
      </w:r>
      <w:r>
        <w:t xml:space="preserve">[Privacy statement; last updated 31 March 2026]. Elhub AS. Retrieved 5 October 2026, from https://elhub.no/personvern-og-sikkerhet/elhubs-personvernerklaering</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International Energy Agency. (2025).</w:t>
      </w:r>
      <w:r>
        <w:t xml:space="preserve"> </w:t>
      </w:r>
      <w:r>
        <w:rPr>
          <w:iCs/>
          <w:i/>
        </w:rPr>
        <w:t xml:space="preserve">Energy and AI</w:t>
      </w:r>
      <w:r>
        <w:t xml:space="preserve"> </w:t>
      </w:r>
      <w:r>
        <w:t xml:space="preserve">[Executive summary]. IEA. Retrieved 5 October 2026, from https://www.iea.org/reports/energy-and-ai/executive-summary</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Nahmias, S. (1982). Perishable inventory theory: A review.</w:t>
      </w:r>
      <w:r>
        <w:t xml:space="preserve"> </w:t>
      </w:r>
      <w:r>
        <w:rPr>
          <w:iCs/>
          <w:i/>
        </w:rPr>
        <w:t xml:space="preserve">Operations Research, 30</w:t>
      </w:r>
      <w:r>
        <w:t xml:space="preserve">(4), 680–708. https://doi.org/10.1287/opre.30.4.680</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[Consolidated text as last amended by LOV-2026-06-19-49, in force 1 October 2026; § 17 unamended; read 5 October 2026].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9"/>
    <w:bookmarkStart w:id="136"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10"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presents six tabs. Tab 1 runs the thesis configuration, 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 Tab 2 varies population parameters as a teaching aid and is explicitly outside the thesis claims. Tab 3 runs the realism layer and reproduces </w:t>
      </w:r>
      <w:hyperlink w:anchor="tbl_5_7" w:history="1">
        <w:r>
          <w:rPr>
            <w:rStyle w:val="Hyperlink"/>
          </w:rPr>
          <w:t xml:space="preserve">Table 5.7</w:t>
        </w:r>
      </w:hyperlink>
      <w:r>
        <w:t xml:space="preserve">. Tab 4 runs the Norwegian context modules, which are illustrative and report no thesis figure. Tab 5 runs the robustness checks: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10"/>
    <w:bookmarkStart w:id="111"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Six-tab demonstration viewer over the artefact, never a source of results</w:t>
            </w:r>
          </w:p>
        </w:tc>
        <w:tc>
          <w:tcPr/>
          <w:p>
            <w:pPr>
              <w:pStyle w:val="Compact"/>
              <w:jc w:val="left"/>
            </w:pPr>
            <w:r>
              <w:rPr>
                <w:sz w:val="20"/>
                <w:szCs w:val="20"/>
              </w:rPr>
              <w:t xml:space="preserve">671</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streamlit&gt;=1.30</w:t>
            </w:r>
            <w:r>
              <w:rPr>
                <w:sz w:val="20"/>
                <w:szCs w:val="20"/>
              </w:rPr>
              <w:t xml:space="preserve">; the checker itself needs nothing</w:t>
            </w:r>
          </w:p>
        </w:tc>
        <w:tc>
          <w:tcPr/>
          <w:p>
            <w:pPr>
              <w:pStyle w:val="Compact"/>
              <w:jc w:val="left"/>
            </w:pPr>
            <w:r>
              <w:rPr>
                <w:sz w:val="20"/>
                <w:szCs w:val="20"/>
              </w:rPr>
              <w:t xml:space="preserve">1</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11"/>
    <w:bookmarkStart w:id="112"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2"/>
    <w:bookmarkStart w:id="113"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13"/>
    <w:bookmarkStart w:id="114"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14"/>
    <w:bookmarkStart w:id="117" w:name="a.6-what-the-code-does"/>
    <w:p>
      <w:pPr>
        <w:pStyle w:val="Heading2"/>
      </w:pPr>
      <w:r>
        <w:t xml:space="preserve">A.6 What the code does</w:t>
      </w:r>
    </w:p>
    <w:bookmarkStart w:id="115"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15"/>
    <w:bookmarkStart w:id="116"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6"/>
    <w:bookmarkEnd w:id="117"/>
    <w:bookmarkStart w:id="118"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8"/>
    <w:bookmarkStart w:id="119"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9"/>
    <w:bookmarkStart w:id="120"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20"/>
    <w:bookmarkStart w:id="121"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1"/>
    <w:bookmarkStart w:id="122"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2"/>
    <w:bookmarkStart w:id="123"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23"/>
    <w:bookmarkStart w:id="124"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4"/>
    <w:bookmarkStart w:id="125"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bookmarkEnd w:id="125"/>
    <w:bookmarkStart w:id="126"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6"/>
    <w:bookmarkStart w:id="127"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7"/>
    <w:bookmarkStart w:id="128"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8"/>
    <w:bookmarkStart w:id="129"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9"/>
    <w:bookmarkStart w:id="130"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30"/>
    <w:bookmarkStart w:id="131"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31"/>
    <w:bookmarkStart w:id="132"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32"/>
    <w:bookmarkStart w:id="133"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33"/>
    <w:bookmarkStart w:id="134"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34"/>
    <w:bookmarkStart w:id="135"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35"/>
    <w:bookmarkEnd w:id="136"/>
    <w:bookmarkStart w:id="143"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7"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37"/>
    <w:bookmarkStart w:id="138"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8"/>
    <w:bookmarkStart w:id="139"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9"/>
    <w:bookmarkStart w:id="140"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40"/>
    <w:bookmarkStart w:id="141"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41"/>
    <w:bookmarkStart w:id="142"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42"/>
    <w:bookmarkEnd w:id="143"/>
    <w:bookmarkStart w:id="163"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45"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44"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44"/>
    <w:bookmarkEnd w:id="145"/>
    <w:bookmarkStart w:id="146"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6"/>
    <w:bookmarkStart w:id="147"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7"/>
    <w:bookmarkStart w:id="148"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8"/>
    <w:bookmarkStart w:id="153"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9"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9"/>
    <w:bookmarkStart w:id="150"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50"/>
    <w:bookmarkStart w:id="151"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51"/>
    <w:bookmarkStart w:id="152"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52"/>
    <w:bookmarkEnd w:id="153"/>
    <w:bookmarkStart w:id="159"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4"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54"/>
    <w:bookmarkStart w:id="155"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55"/>
    <w:bookmarkStart w:id="156"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6"/>
    <w:bookmarkStart w:id="157"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7"/>
    <w:bookmarkStart w:id="158"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8"/>
    <w:bookmarkEnd w:id="159"/>
    <w:bookmarkStart w:id="160"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60"/>
    <w:bookmarkStart w:id="161"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61"/>
    <w:bookmarkStart w:id="162"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62"/>
    <w:bookmarkEnd w:id="163"/>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68" Target="media/rId68.png"/><Relationship Type="http://schemas.openxmlformats.org/officeDocument/2006/relationships/image" Id="rId78" Target="media/rId78.png"/><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2026-10-05T14:55:59Z</dcterms:created>
  <dcterms:modified xsi:type="dcterms:W3CDTF">2026-10-05T14:55:59Z</dcterms:modified>
</cp:coreProperties>
</file>

<file path=docProps/custom.xml><?xml version="1.0" encoding="utf-8"?>
<Properties xmlns="http://schemas.openxmlformats.org/officeDocument/2006/custom-properties" xmlns:vt="http://schemas.openxmlformats.org/officeDocument/2006/docPropsVTypes"/>
</file>